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27, 2025</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5" w:right="499" w:bottom="36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85-1612845</w:t>
      </w:r>
    </w:p>
    <w:p>
      <w:pPr>
        <w:spacing w:after="0" w:line="12" w:lineRule="exact"/>
        <w:rPr>
          <w:sz w:val="24"/>
          <w:szCs w:val="24"/>
          <w:color w:val="auto"/>
        </w:rPr>
      </w:pPr>
    </w:p>
    <w:p>
      <w:pPr>
        <w:sectPr>
          <w:pgSz w:w="11900" w:h="16838" w:orient="portrait"/>
          <w:cols w:equalWidth="0" w:num="2">
            <w:col w:w="7180" w:space="720"/>
            <w:col w:w="3060"/>
          </w:cols>
          <w:pgMar w:left="440" w:top="225" w:right="499" w:bottom="365"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6900" w:space="720"/>
            <w:col w:w="3340"/>
          </w:cols>
          <w:pgMar w:left="440" w:top="225" w:right="499" w:bottom="365" w:gutter="0" w:footer="0" w:header="0"/>
          <w:type w:val="continuous"/>
        </w:sectPr>
      </w:pP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(617) 674-9274</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0960"/>
          </w:cols>
          <w:pgMar w:left="440" w:top="225" w:right="499" w:bottom="365" w:gutter="0" w:footer="0" w:header="0"/>
          <w:type w:val="continuous"/>
        </w:sectPr>
      </w:pP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 Medicine, Inc. Amended and Restated 2021 Stock Option and Incentive Plan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 Medicine, Inc. Amended and Restated 2021 Employee Stock Purchase Plan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Option Inducement Awards</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Awards</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 Quisel, J.D., Ph.D.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(617) 674-9274</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86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50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William D. Collins, Esq.</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8"/>
              </w:rPr>
              <w:t>Rahul Khara</w:t>
            </w:r>
          </w:p>
        </w:tc>
      </w:tr>
      <w:tr>
        <w:trPr>
          <w:trHeight w:val="216"/>
        </w:trPr>
        <w:tc>
          <w:tcPr>
            <w:tcW w:w="25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Adam Johnson, Esq.</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Chief Legal Officer</w:t>
            </w:r>
          </w:p>
        </w:tc>
      </w:tr>
      <w:tr>
        <w:trPr>
          <w:trHeight w:val="216"/>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Alicia Tschirhart, Esq.</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Disc Medicine, Inc.</w:t>
            </w:r>
          </w:p>
        </w:tc>
      </w:tr>
      <w:tr>
        <w:trPr>
          <w:trHeight w:val="216"/>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Goodwin Procter LLP</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321 Arsenal Street, Suite 101</w:t>
            </w:r>
          </w:p>
        </w:tc>
      </w:tr>
      <w:tr>
        <w:trPr>
          <w:trHeight w:val="216"/>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100 Northern Avenue</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rPr>
              <w:t>Watertown, MA 02472</w:t>
            </w:r>
          </w:p>
        </w:tc>
      </w:tr>
      <w:tr>
        <w:trPr>
          <w:trHeight w:val="216"/>
        </w:trPr>
        <w:tc>
          <w:tcPr>
            <w:tcW w:w="25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Boston, MA 02210</w:t>
            </w:r>
          </w:p>
        </w:tc>
        <w:tc>
          <w:tcPr>
            <w:tcW w:w="502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(617) 674-9274</w:t>
            </w:r>
          </w:p>
        </w:tc>
      </w:tr>
      <w:tr>
        <w:trPr>
          <w:trHeight w:val="238"/>
        </w:trPr>
        <w:tc>
          <w:tcPr>
            <w:tcW w:w="25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(617) 570-1000</w:t>
            </w:r>
          </w:p>
        </w:tc>
        <w:tc>
          <w:tcPr>
            <w:tcW w:w="50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365"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registers (i) additional shares of common stock, $0.0001 par value per share (“Common Stock”), of Disc Medicine, Inc. (the “Registrant”) under the Registrant’s Amended and Restated 2021 Stock Option and Incentive Plan (the “2021 Plan”), (ii) additional shares of Common Stock under the Registrant’s Amended and Restated 2021 Employee Stock Purchase Plan (the “2021 ESPP”) and (iii) shares of Common Stock pursuant to the inducement awards described herein.</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reserved and available for issuance under the 2021 Plan is subject to an automatic annual increase on each January 1, by an amount equal to the lesser of: (i) four percent (4%) of the number of shares of Common Stock issued and outstanding on the immediately preceding December 31 or (ii) such lesser number of shares of Common Stock as determined by the Registrant’s board of directors or the compensation committee of the Registrant’s board of directors. Accordingly, on January 1, 2025, the number of shares of Common Stock reserved and available for issuance under the 2021 Plan increased by 1,194,601 shares.</w:t>
      </w:r>
    </w:p>
    <w:p>
      <w:pPr>
        <w:spacing w:after="0" w:line="18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number of shares of Common Stock reserved and available for issuance under the 2021 ESPP is subject to an automatic increase on each January 1, through January 1, 2031, by the least of (i) 1% of the outstanding number of shares of Common Stock on the immediately preceding December 31, (ii) 43,055 shares of Common Stock, or (iii) such number of shares of Common Stock as determined by the administrator of the 2021 ESPP. Accordingly, on January 1, 2025, the number of shares of Common Stock reserved and available for issuance under the 2021 ESPP increased by 43,055 shares.</w:t>
      </w:r>
    </w:p>
    <w:p>
      <w:pPr>
        <w:spacing w:after="0" w:line="16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Registration Statement also registers shares of Common Stock issuable pursuant to the inducement awards, as described below. To induce the individuals listed below to accept employment with the Registrant, the Registrant granted the following equity awards to such individuals (collectively, the “Inducement Awards”) on the dates listed below:</w:t>
      </w:r>
    </w:p>
    <w:p>
      <w:pPr>
        <w:spacing w:after="0" w:line="81" w:lineRule="exact"/>
        <w:rPr>
          <w:sz w:val="20"/>
          <w:szCs w:val="20"/>
          <w:color w:val="auto"/>
        </w:rPr>
      </w:pPr>
    </w:p>
    <w:p>
      <w:pPr>
        <w:ind w:left="960" w:right="8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55,000 shares of Common Stock and 36,666 restricted stock units granted to induce the recipient to accept employment as the Registrant’s Chief Regulatory Officer, such grant approved on September 14, 2024, and effective as of the commencement of the recipient’s employment with the Registrant on September 16, 2024.</w:t>
      </w:r>
    </w:p>
    <w:p>
      <w:pPr>
        <w:spacing w:after="0" w:line="81"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55,000 shares of Common Stock and 36,666 restricted stock units granted to induce the recipient to accept employment as the Registrant’s Chief Technical Officer, such grant approved on October 10, 2024, and effective as of the commencement of the recipient’s employment with the Registrant on October 23, 2024.</w:t>
      </w:r>
    </w:p>
    <w:p>
      <w:pPr>
        <w:spacing w:after="0" w:line="81" w:lineRule="exact"/>
        <w:rPr>
          <w:rFonts w:ascii="Times New Roman" w:cs="Times New Roman" w:eastAsia="Times New Roman" w:hAnsi="Times New Roman"/>
          <w:sz w:val="18"/>
          <w:szCs w:val="18"/>
          <w:color w:val="auto"/>
        </w:rPr>
      </w:pPr>
    </w:p>
    <w:p>
      <w:pPr>
        <w:ind w:left="960" w:right="32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35,000 shares of Common Stock and 23,333 restricted stock units granted to induce the recipient to accept employment as the Registrant’s Senior Vice President of Finance, Corporate Controller, such grant approved on January 13, 2025, and effective as of the commencement of the recipient’s employment with the Registrant on January 16, 2025.</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Inducement Awards were approved by the Registrant’s independent compensation committee of the board of directors, in compliance with and in reliance on Nasdaq Listing Rule 5635(c)(4). The Inducement Awards were granted outside of the 2021 Plan.</w:t>
      </w:r>
    </w:p>
    <w:p>
      <w:pPr>
        <w:spacing w:after="0" w:line="162" w:lineRule="exact"/>
        <w:rPr>
          <w:sz w:val="20"/>
          <w:szCs w:val="20"/>
          <w:color w:val="auto"/>
        </w:rPr>
      </w:pPr>
    </w:p>
    <w:p>
      <w:pPr>
        <w:ind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additional shares reserved and available for future issuance under the 2021 Plan and 2021 ESPP are of the same class as other securities relating to the 2021 Plan and 2021 ESPP for which the Registrant’s Registration Statements filed on Form S-8 filed with the Securities and Exchange Commission on </w:t>
      </w:r>
      <w:hyperlink r:id="rId19">
        <w:r>
          <w:rPr>
            <w:rFonts w:ascii="Times New Roman" w:cs="Times New Roman" w:eastAsia="Times New Roman" w:hAnsi="Times New Roman"/>
            <w:sz w:val="18"/>
            <w:szCs w:val="18"/>
            <w:u w:val="single" w:color="auto"/>
            <w:color w:val="0000EE"/>
          </w:rPr>
          <w:t>April 13,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333-255194), </w:t>
      </w:r>
      <w:hyperlink r:id="rId20">
        <w:r>
          <w:rPr>
            <w:rFonts w:ascii="Times New Roman" w:cs="Times New Roman" w:eastAsia="Times New Roman" w:hAnsi="Times New Roman"/>
            <w:sz w:val="18"/>
            <w:szCs w:val="18"/>
            <w:u w:val="single" w:color="auto"/>
            <w:color w:val="0000EE"/>
          </w:rPr>
          <w:t>October 14,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333-260243), </w:t>
      </w:r>
      <w:hyperlink r:id="rId21">
        <w:r>
          <w:rPr>
            <w:rFonts w:ascii="Times New Roman" w:cs="Times New Roman" w:eastAsia="Times New Roman" w:hAnsi="Times New Roman"/>
            <w:sz w:val="18"/>
            <w:szCs w:val="18"/>
            <w:u w:val="single" w:color="auto"/>
            <w:color w:val="0000EE"/>
          </w:rPr>
          <w:t>March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333-263410), </w:t>
      </w:r>
      <w:hyperlink r:id="rId22">
        <w:r>
          <w:rPr>
            <w:rFonts w:ascii="Times New Roman" w:cs="Times New Roman" w:eastAsia="Times New Roman" w:hAnsi="Times New Roman"/>
            <w:sz w:val="18"/>
            <w:szCs w:val="18"/>
            <w:u w:val="single" w:color="auto"/>
            <w:color w:val="0000EE"/>
          </w:rPr>
          <w:t>January 17,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333-269271) and </w:t>
      </w:r>
      <w:hyperlink r:id="rId23">
        <w:r>
          <w:rPr>
            <w:rFonts w:ascii="Times New Roman" w:cs="Times New Roman" w:eastAsia="Times New Roman" w:hAnsi="Times New Roman"/>
            <w:sz w:val="18"/>
            <w:szCs w:val="18"/>
            <w:u w:val="single" w:color="auto"/>
            <w:color w:val="0000EE"/>
          </w:rPr>
          <w:t>March 21,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333-278129) are effective. The information contained in the Registrant’s Registration Statements on Form S-8 (Registration No. 333-255194, 333-260243, 333-263410, 333-269271 and 333-278129) is hereby incorporated by reference pursuant to General Instruction E.</w:t>
      </w:r>
    </w:p>
    <w:p>
      <w:pPr>
        <w:sectPr>
          <w:pgSz w:w="11900" w:h="16838" w:orient="portrait"/>
          <w:cols w:equalWidth="0" w:num="1">
            <w:col w:w="10960"/>
          </w:cols>
          <w:pgMar w:left="440" w:top="266"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specified in Part I of Form S-8 is omitted from this filing in accordance with the provisions of Rule 428 under the Securities Act of 1933, as amended (the “Securities Act”) and the introductory note to Part I of the Form S-8 instructions. The documents containing the information specified in Part I will be delivered to the persons to whom the Inducement Awards have been granted as required by Rule 428(b)(1) under the Securities Act.</w:t>
      </w:r>
    </w:p>
    <w:p>
      <w:pPr>
        <w:sectPr>
          <w:pgSz w:w="11900" w:h="16838" w:orient="portrait"/>
          <w:cols w:equalWidth="0" w:num="1">
            <w:col w:w="11000"/>
          </w:cols>
          <w:pgMar w:left="440" w:top="266" w:right="4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filed with the Commission:</w:t>
      </w:r>
    </w:p>
    <w:p>
      <w:pPr>
        <w:spacing w:after="0" w:line="131" w:lineRule="exact"/>
        <w:rPr>
          <w:sz w:val="20"/>
          <w:szCs w:val="20"/>
          <w:color w:val="auto"/>
        </w:rPr>
      </w:pPr>
    </w:p>
    <w:p>
      <w:pPr>
        <w:ind w:left="960" w:right="38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February 27, 2025 (including the information specifically incorporated by reference therein from the Registrant’s definitive proxy statement relating to the 2025 annual meeting of stockholders (other than information furnished rather than filed));</w:t>
      </w:r>
    </w:p>
    <w:p>
      <w:pPr>
        <w:spacing w:after="0" w:line="81"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27">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January 21,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9">
        <w:r>
          <w:rPr>
            <w:rFonts w:ascii="Times New Roman" w:cs="Times New Roman" w:eastAsia="Times New Roman" w:hAnsi="Times New Roman"/>
            <w:sz w:val="18"/>
            <w:szCs w:val="18"/>
            <w:u w:val="single" w:color="auto"/>
            <w:color w:val="0000EE"/>
          </w:rPr>
          <w:t>January 24,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(excluding information furnished pursuant to Item 7.01, or corresponding information furnished under Item 9.01 or included as an exhibit); and</w:t>
      </w:r>
    </w:p>
    <w:p>
      <w:pPr>
        <w:spacing w:after="0" w:line="67"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Registration Statement on </w:t>
      </w:r>
      <w:hyperlink r:id="rId3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2020, and as set forth by the description of the Registrant’s Common Stock set forth in </w:t>
      </w:r>
      <w:hyperlink r:id="rId31">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year ended December 31, 2021, filed with the SEC on March 10, 2022, and as further supplemented by the description of the Registrant’s common stock set forth in the Registrant’s Registration Statement on Form S-4/A, filed with the SEC on December 1, 2022,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80" w:lineRule="exact"/>
        <w:rPr>
          <w:rFonts w:ascii="Times New Roman" w:cs="Times New Roman" w:eastAsia="Times New Roman" w:hAnsi="Times New Roman"/>
          <w:sz w:val="18"/>
          <w:szCs w:val="18"/>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Under no circumstances will any information filed under current Items 2.02 or 7.01 of Form 8-K be deemed incorporated herein by reference unless such Form 8-K expressly provides to the contrary.</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ectPr>
          <w:pgSz w:w="11900" w:h="16838" w:orient="portrait"/>
          <w:cols w:equalWidth="0" w:num="1">
            <w:col w:w="10980"/>
          </w:cols>
          <w:pgMar w:left="440" w:top="266" w:right="479" w:bottom="1440" w:gutter="0" w:footer="0" w:header="0"/>
        </w:sectPr>
      </w:pPr>
    </w:p>
    <w:bookmarkStart w:id="4" w:name="page5"/>
    <w:bookmarkEnd w:id="4"/>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 has adopted provisions in the Registrant’s certificate of incorporation and bylaws that limit or eliminate the personal liability of the Registrant’s directors to the fullest extent permitted by the DGCL, as it now exists or may in the future be amended. Consequently, a director will not be personally liable to the Registrant or its stockholders for monetary damages or breach of fiduciary duty as a director, except for liability for:</w:t>
      </w:r>
    </w:p>
    <w:p>
      <w:pPr>
        <w:spacing w:after="0" w:line="8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purchases, redemptions or other distributions;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Registrant’s bylaws provide that:</w:t>
      </w:r>
    </w:p>
    <w:p>
      <w:pPr>
        <w:spacing w:after="0" w:line="131" w:lineRule="exact"/>
        <w:rPr>
          <w:sz w:val="20"/>
          <w:szCs w:val="20"/>
          <w:color w:val="auto"/>
        </w:rPr>
      </w:pPr>
    </w:p>
    <w:p>
      <w:pPr>
        <w:ind w:left="960" w:right="2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will indemnify its directors, officers and, in the discretion of its board of directors, certain employees to the fullest extent permitted by the DGCL, as it now exists or may in the future be amended; and</w:t>
      </w:r>
    </w:p>
    <w:p>
      <w:pPr>
        <w:spacing w:after="0" w:line="67"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will advance expenses, including attorneys’ fees, to its directors and, in the discretion of its board of directors, to its officers and certain employees, in connection with legal proceedings relating to their service for or on behalf of the registrant, subject to limited exceptions.</w:t>
      </w:r>
    </w:p>
    <w:p>
      <w:pPr>
        <w:spacing w:after="0" w:line="176"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several of its directors and executive officers. These agreements provide that the Registrant will indemnify each of its directors and executive officers to the fullest extent permitted by Delaware law. The Registrant will advance expenses, including attorneys’ fees (but excluding judgments, fines and settlement amounts), to each indemnified director or executive officer in connection with any proceeding in which indemnification is available and the Registrant will indemnify its directors and officers for any action or proceeding arising out of that person’s services as a director or officer brought on behalf of the Registrant or in furtherance of the Registrant’s rights. Additionally, certain of the Registrant’s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the Registrant has agreed in the indemnification agreements that the Registrant’s obligations to those same directors are primary and any obligation of such affiliates or other third parties to advance expenses or to provide indemnification for the expenses or liabilities incurred by those directors are secondary.</w:t>
      </w:r>
    </w:p>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also maintains general liability insurance which covers certain liabilities of its directors and officers arising out of claims based on acts or omissions in their capacities as directors or officers, including liabilities under the Securities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200" w:lineRule="exact"/>
        <w:rPr>
          <w:sz w:val="20"/>
          <w:szCs w:val="20"/>
          <w:color w:val="auto"/>
        </w:rPr>
      </w:pP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8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gridSpan w:val="8"/>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080" w:type="dxa"/>
            <w:vAlign w:val="bottom"/>
            <w:tcBorders>
              <w:bottom w:val="single" w:sz="8" w:color="auto"/>
            </w:tcBorders>
            <w:gridSpan w:val="8"/>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2"/>
                <w:szCs w:val="22"/>
                <w:color w:val="auto"/>
              </w:rPr>
            </w:pPr>
          </w:p>
        </w:tc>
        <w:tc>
          <w:tcPr>
            <w:tcW w:w="10140" w:type="dxa"/>
            <w:vAlign w:val="bottom"/>
            <w:gridSpan w:val="23"/>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Specimen Common Stock Certificate (incorporated by reference to Exhibit 4.1 to Form S-4/A filed on January 19,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140" w:type="dxa"/>
            <w:vAlign w:val="bottom"/>
            <w:gridSpan w:val="23"/>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Second Amended and Restated Articles of Incorporation of Gemini Therapeutics, Inc. (incorporated by reference to Exhibit 3.1 to Current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Report on Form 8-K filed on February 11, 2021).</w:t>
              </w:r>
            </w:hyperlink>
          </w:p>
        </w:tc>
        <w:tc>
          <w:tcPr>
            <w:tcW w:w="5080" w:type="dxa"/>
            <w:vAlign w:val="bottom"/>
            <w:tcBorders>
              <w:top w:val="single" w:sz="8" w:color="0000EE"/>
            </w:tcBorders>
            <w:gridSpan w:val="8"/>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8620" w:type="dxa"/>
            <w:vAlign w:val="bottom"/>
            <w:gridSpan w:val="13"/>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Certificate of Amendment to the Amended and Restated Certificate of Incorporation of the Registrant, dated December</w:t>
              </w:r>
            </w:hyperlink>
          </w:p>
        </w:tc>
        <w:tc>
          <w:tcPr>
            <w:tcW w:w="740" w:type="dxa"/>
            <w:vAlign w:val="bottom"/>
            <w:gridSpan w:val="3"/>
          </w:tcPr>
          <w:p>
            <w:pPr>
              <w:jc w:val="right"/>
              <w:ind w:right="60"/>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28, 2022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(incorporated by reference to Exhibit 3.1 to Current Report on Form 8-K filed on December 29, 2022).</w:t>
              </w:r>
            </w:hyperlink>
          </w:p>
        </w:tc>
        <w:tc>
          <w:tcPr>
            <w:tcW w:w="12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8620" w:type="dxa"/>
            <w:vAlign w:val="bottom"/>
            <w:gridSpan w:val="13"/>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Certificate of Amendment to the Amended and Restated Certificate of Incorporation of the Registrant, dated December</w:t>
              </w:r>
            </w:hyperlink>
          </w:p>
        </w:tc>
        <w:tc>
          <w:tcPr>
            <w:tcW w:w="740" w:type="dxa"/>
            <w:vAlign w:val="bottom"/>
            <w:gridSpan w:val="3"/>
          </w:tcPr>
          <w:p>
            <w:pPr>
              <w:jc w:val="right"/>
              <w:ind w:right="60"/>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29, 2022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(incorporated by reference to Exhibit 3.2 to Current Report on Form 8-K filed on December 29, 2022).</w:t>
              </w:r>
            </w:hyperlink>
          </w:p>
        </w:tc>
        <w:tc>
          <w:tcPr>
            <w:tcW w:w="12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24"/>
                <w:szCs w:val="24"/>
                <w:color w:val="auto"/>
              </w:rPr>
            </w:pPr>
          </w:p>
        </w:tc>
        <w:tc>
          <w:tcPr>
            <w:tcW w:w="10140" w:type="dxa"/>
            <w:vAlign w:val="bottom"/>
            <w:gridSpan w:val="23"/>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Amended and Restated By-laws of Gemini Therapeutics, Inc. (incorporated by reference to Annex C to the Gemini Therapeutics, Inc.’s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5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Proxy Statement/Prospectus on Form S-4/A (Registration No. 333-249785)).</w:t>
              </w:r>
            </w:hyperlink>
          </w:p>
        </w:tc>
        <w:tc>
          <w:tcPr>
            <w:tcW w:w="3040" w:type="dxa"/>
            <w:vAlign w:val="bottom"/>
            <w:tcBorders>
              <w:top w:val="single" w:sz="8" w:color="0000EE"/>
            </w:tcBorders>
            <w:gridSpan w:val="4"/>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86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86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accounting firm.</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482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Goodwin Procter LLP (included as part of Exhibit 5.1).</w:t>
            </w:r>
          </w:p>
        </w:tc>
        <w:tc>
          <w:tcPr>
            <w:tcW w:w="380" w:type="dxa"/>
            <w:vAlign w:val="bottom"/>
            <w:tcBorders>
              <w:top w:val="single" w:sz="8" w:color="0000EE"/>
            </w:tcBorders>
          </w:tcPr>
          <w:p>
            <w:pPr>
              <w:spacing w:after="0"/>
              <w:rPr>
                <w:sz w:val="24"/>
                <w:szCs w:val="24"/>
                <w:color w:val="auto"/>
              </w:rPr>
            </w:pPr>
          </w:p>
        </w:tc>
        <w:tc>
          <w:tcPr>
            <w:tcW w:w="342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3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514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10140" w:type="dxa"/>
            <w:vAlign w:val="bottom"/>
            <w:gridSpan w:val="23"/>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Disc Medicine, Inc. Amended and Restated 2021 Stock Option and Incentive Plan (incorporated by reference to Exhibit 99.1 to the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Registrant’s Registration Statement on Form S-8 (File No. 333-269271) filed on January 17, 2023).</w:t>
              </w:r>
            </w:hyperlink>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24"/>
                <w:szCs w:val="24"/>
                <w:color w:val="auto"/>
              </w:rPr>
            </w:pPr>
          </w:p>
        </w:tc>
        <w:tc>
          <w:tcPr>
            <w:tcW w:w="10140" w:type="dxa"/>
            <w:vAlign w:val="bottom"/>
            <w:gridSpan w:val="23"/>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Forms of Award Agreements under the Disc Medicine, Inc. Amended and Restated 2021 Stock Option and Incentive Plan (incorporated by</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reference to Exhibit 99.2 to the Registrant’s Registration Statement on Form S-8 (File No. 333-269271) filed on January 17, 2023).</w:t>
              </w:r>
            </w:hyperlink>
          </w:p>
        </w:tc>
        <w:tc>
          <w:tcPr>
            <w:tcW w:w="560" w:type="dxa"/>
            <w:vAlign w:val="bottom"/>
            <w:tcBorders>
              <w:top w:val="single" w:sz="8" w:color="0000EE"/>
            </w:tcBorders>
            <w:gridSpan w:val="4"/>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420" w:type="dxa"/>
            <w:vAlign w:val="bottom"/>
          </w:tcPr>
          <w:p>
            <w:pPr>
              <w:spacing w:after="0"/>
              <w:rPr>
                <w:sz w:val="24"/>
                <w:szCs w:val="24"/>
                <w:color w:val="auto"/>
              </w:rPr>
            </w:pPr>
          </w:p>
        </w:tc>
        <w:tc>
          <w:tcPr>
            <w:tcW w:w="10140" w:type="dxa"/>
            <w:vAlign w:val="bottom"/>
            <w:gridSpan w:val="23"/>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Disc Medicine, Inc. Amended and Restated 2021 Employee Stock Purchase Plan (incorporated by reference to Exhibit 99.3 to the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Registrant’s Registration Statement on Form S-8 (File No. 333-269271) filed on January 17, 2023).</w:t>
              </w:r>
            </w:hyperlink>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420" w:type="dxa"/>
            <w:vAlign w:val="bottom"/>
          </w:tcPr>
          <w:p>
            <w:pPr>
              <w:spacing w:after="0"/>
              <w:rPr>
                <w:sz w:val="24"/>
                <w:szCs w:val="24"/>
                <w:color w:val="auto"/>
              </w:rPr>
            </w:pPr>
          </w:p>
        </w:tc>
        <w:tc>
          <w:tcPr>
            <w:tcW w:w="10140" w:type="dxa"/>
            <w:vAlign w:val="bottom"/>
            <w:gridSpan w:val="23"/>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2017 Stock Option and Grant Plan of Disc Medicine, Inc., and form of award agreements thereunder (incorporated by reference to Exhibit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9</w:t>
              </w:r>
              <w:r>
                <w:rPr>
                  <w:rFonts w:ascii="Times New Roman" w:cs="Times New Roman" w:eastAsia="Times New Roman" w:hAnsi="Times New Roman"/>
                  <w:sz w:val="18"/>
                  <w:szCs w:val="18"/>
                  <w:color w:val="0000EE"/>
                  <w:w w:val="99"/>
                </w:rPr>
                <w:t xml:space="preserve"> to Current Report on Form 8-K filed on December 29, 2022).</w:t>
              </w:r>
            </w:hyperlink>
          </w:p>
        </w:tc>
        <w:tc>
          <w:tcPr>
            <w:tcW w:w="3840" w:type="dxa"/>
            <w:vAlign w:val="bottom"/>
            <w:tcBorders>
              <w:top w:val="single" w:sz="8" w:color="0000EE"/>
            </w:tcBorders>
            <w:gridSpan w:val="7"/>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420" w:type="dxa"/>
            <w:vAlign w:val="bottom"/>
          </w:tcPr>
          <w:p>
            <w:pPr>
              <w:spacing w:after="0"/>
              <w:rPr>
                <w:sz w:val="24"/>
                <w:szCs w:val="24"/>
                <w:color w:val="auto"/>
              </w:rPr>
            </w:pPr>
          </w:p>
        </w:tc>
        <w:tc>
          <w:tcPr>
            <w:tcW w:w="93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Form of Non-Qualified Stock Option Agreement Non-Plan Inducement Grant Restricted Stock Unit Award Agreement Non-Plan</w:t>
              </w:r>
            </w:hyperlink>
          </w:p>
        </w:tc>
        <w:tc>
          <w:tcPr>
            <w:tcW w:w="8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Inducement Grant (incorporated by reference to Exhibit 99.5 to the Registrant’s Registration Statement on Form S-8 (File No 333-278129)</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filed on March 21, 2024).</w:t>
              </w:r>
            </w:hyperlink>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c>
          <w:tcPr>
            <w:tcW w:w="394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420" w:type="dxa"/>
            <w:vAlign w:val="bottom"/>
          </w:tcPr>
          <w:p>
            <w:pPr>
              <w:spacing w:after="0"/>
              <w:rPr>
                <w:sz w:val="24"/>
                <w:szCs w:val="24"/>
                <w:color w:val="auto"/>
              </w:rPr>
            </w:pPr>
          </w:p>
        </w:tc>
        <w:tc>
          <w:tcPr>
            <w:tcW w:w="10140" w:type="dxa"/>
            <w:vAlign w:val="bottom"/>
            <w:gridSpan w:val="23"/>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of Restricted Stock Unit Award Agreement Non-Plan Inducement Grant (incorporated by reference to Exhibit 99.6 to the Registrant’s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Registration Statement on Form S-8 (File No 333-278129) filed on March 21, 2024).</w:t>
              </w:r>
            </w:hyperlink>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1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4920" w:type="dxa"/>
            <w:vAlign w:val="bottom"/>
            <w:tcBorders>
              <w:top w:val="single" w:sz="8" w:color="0000EE"/>
            </w:tcBorders>
            <w:gridSpan w:val="9"/>
          </w:tcPr>
          <w:p>
            <w:pPr>
              <w:spacing w:after="0"/>
              <w:rPr>
                <w:sz w:val="24"/>
                <w:szCs w:val="24"/>
                <w:color w:val="auto"/>
              </w:rPr>
            </w:pPr>
          </w:p>
        </w:tc>
        <w:tc>
          <w:tcPr>
            <w:tcW w:w="252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024"/>
          </w:cols>
          <w:pgMar w:left="436" w:top="266" w:right="43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9. Undertakings.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The Registrant hereby undertakes:</w:t>
      </w:r>
    </w:p>
    <w:p>
      <w:pPr>
        <w:spacing w:after="0" w:line="225" w:lineRule="exact"/>
        <w:rPr>
          <w:sz w:val="20"/>
          <w:szCs w:val="20"/>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(iii) 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jc w:val="both"/>
        <w:ind w:left="4" w:right="16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herein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67" w:lineRule="exact"/>
        <w:rPr>
          <w:sz w:val="20"/>
          <w:szCs w:val="20"/>
          <w:color w:val="auto"/>
        </w:rPr>
      </w:pPr>
    </w:p>
    <w:p>
      <w:pPr>
        <w:ind w:left="4" w:right="40" w:hanging="4"/>
        <w:spacing w:after="0" w:line="266"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4" w:lineRule="exact"/>
        <w:rPr>
          <w:sz w:val="20"/>
          <w:szCs w:val="20"/>
          <w:color w:val="auto"/>
        </w:rPr>
      </w:pPr>
    </w:p>
    <w:p>
      <w:pPr>
        <w:ind w:left="4" w:right="40" w:hanging="4"/>
        <w:spacing w:after="0" w:line="258"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Times New Roman" w:cs="Times New Roman" w:eastAsia="Times New Roman" w:hAnsi="Times New Roman"/>
          <w:sz w:val="18"/>
          <w:szCs w:val="18"/>
          <w:color w:val="auto"/>
        </w:rPr>
      </w:pPr>
    </w:p>
    <w:p>
      <w:pPr>
        <w:ind w:left="4" w:right="240" w:hanging="4"/>
        <w:spacing w:after="0" w:line="254" w:lineRule="auto"/>
        <w:tabs>
          <w:tab w:leader="none" w:pos="2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66" w:right="459" w:bottom="1440" w:gutter="0" w:footer="0" w:header="0"/>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Watertown, State of Massachusetts, on February 27,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John Quisel, J.D., Ph.D., Jean Franchi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ectPr>
          <w:pgSz w:w="11900" w:h="16838" w:orient="portrait"/>
          <w:cols w:equalWidth="0" w:num="1">
            <w:col w:w="10920"/>
          </w:cols>
          <w:pgMar w:left="440" w:top="266" w:right="5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7"/>
        </w:trPr>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10"/>
        </w:trPr>
        <w:tc>
          <w:tcPr>
            <w:tcW w:w="3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Quisel</w:t>
            </w:r>
          </w:p>
        </w:tc>
        <w:tc>
          <w:tcPr>
            <w:tcW w:w="12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20" w:type="dxa"/>
            <w:vAlign w:val="bottom"/>
          </w:tcPr>
          <w:p>
            <w:pPr>
              <w:spacing w:after="0"/>
              <w:rPr>
                <w:sz w:val="18"/>
                <w:szCs w:val="18"/>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Quisel, J.D., Ph.D.</w:t>
            </w:r>
          </w:p>
        </w:tc>
        <w:tc>
          <w:tcPr>
            <w:tcW w:w="120" w:type="dxa"/>
            <w:vAlign w:val="bottom"/>
          </w:tcPr>
          <w:p>
            <w:pPr>
              <w:spacing w:after="0"/>
              <w:rPr>
                <w:sz w:val="19"/>
                <w:szCs w:val="19"/>
                <w:color w:val="auto"/>
              </w:rPr>
            </w:pPr>
          </w:p>
        </w:tc>
        <w:tc>
          <w:tcPr>
            <w:tcW w:w="5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Jean Franchi</w:t>
            </w:r>
          </w:p>
        </w:tc>
        <w:tc>
          <w:tcPr>
            <w:tcW w:w="120" w:type="dxa"/>
            <w:vAlign w:val="bottom"/>
          </w:tcPr>
          <w:p>
            <w:pPr>
              <w:spacing w:after="0"/>
              <w:rPr>
                <w:sz w:val="24"/>
                <w:szCs w:val="24"/>
                <w:color w:val="auto"/>
              </w:rPr>
            </w:pPr>
          </w:p>
        </w:tc>
        <w:tc>
          <w:tcPr>
            <w:tcW w:w="5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Jean Franchi</w:t>
            </w:r>
          </w:p>
        </w:tc>
        <w:tc>
          <w:tcPr>
            <w:tcW w:w="120" w:type="dxa"/>
            <w:vAlign w:val="bottom"/>
          </w:tcPr>
          <w:p>
            <w:pPr>
              <w:spacing w:after="0"/>
              <w:rPr>
                <w:sz w:val="19"/>
                <w:szCs w:val="19"/>
                <w:color w:val="auto"/>
              </w:rPr>
            </w:pPr>
          </w:p>
        </w:tc>
        <w:tc>
          <w:tcPr>
            <w:tcW w:w="5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Mona Ashiya</w:t>
            </w:r>
          </w:p>
        </w:tc>
        <w:tc>
          <w:tcPr>
            <w:tcW w:w="12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Mona Ashiya, Ph.D.</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Bitterman</w:t>
            </w:r>
          </w:p>
        </w:tc>
        <w:tc>
          <w:tcPr>
            <w:tcW w:w="12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Kevin Bitterman, Ph.D.</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Chin</w:t>
            </w:r>
          </w:p>
        </w:tc>
        <w:tc>
          <w:tcPr>
            <w:tcW w:w="12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Chin, MS, MBA</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Georges Gemayel</w:t>
            </w:r>
          </w:p>
        </w:tc>
        <w:tc>
          <w:tcPr>
            <w:tcW w:w="12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Georges Gemayel</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Donald Nicholson</w:t>
            </w:r>
          </w:p>
        </w:tc>
        <w:tc>
          <w:tcPr>
            <w:tcW w:w="12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Donald Nicholson, Ph.D.</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Liam Ratcliffe</w:t>
            </w:r>
          </w:p>
        </w:tc>
        <w:tc>
          <w:tcPr>
            <w:tcW w:w="12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Liam Ratcliffe, M.D., Ph.D.</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White</w:t>
            </w:r>
          </w:p>
        </w:tc>
        <w:tc>
          <w:tcPr>
            <w:tcW w:w="12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White, MPP, J.D.</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020"/>
          </w:cols>
          <w:pgMar w:left="440" w:top="26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14500"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7" w:lineRule="exact"/>
        <w:rPr>
          <w:sz w:val="20"/>
          <w:szCs w:val="20"/>
          <w:color w:val="auto"/>
        </w:rPr>
      </w:pPr>
    </w:p>
    <w:p>
      <w:pPr>
        <w:ind w:left="9464"/>
        <w:spacing w:after="0"/>
        <w:rPr>
          <w:sz w:val="20"/>
          <w:szCs w:val="20"/>
          <w:color w:val="auto"/>
        </w:rPr>
      </w:pPr>
      <w:r>
        <w:rPr>
          <w:rFonts w:ascii="Times New Roman" w:cs="Times New Roman" w:eastAsia="Times New Roman" w:hAnsi="Times New Roman"/>
          <w:sz w:val="17"/>
          <w:szCs w:val="17"/>
          <w:color w:val="auto"/>
        </w:rPr>
        <w:t>100 Northern Avenue</w:t>
      </w:r>
    </w:p>
    <w:p>
      <w:pPr>
        <w:spacing w:after="0" w:line="21" w:lineRule="exact"/>
        <w:rPr>
          <w:sz w:val="20"/>
          <w:szCs w:val="20"/>
          <w:color w:val="auto"/>
        </w:rPr>
      </w:pPr>
    </w:p>
    <w:p>
      <w:pPr>
        <w:ind w:left="9444"/>
        <w:spacing w:after="0"/>
        <w:rPr>
          <w:sz w:val="20"/>
          <w:szCs w:val="20"/>
          <w:color w:val="auto"/>
        </w:rPr>
      </w:pPr>
      <w:r>
        <w:rPr>
          <w:rFonts w:ascii="Times New Roman" w:cs="Times New Roman" w:eastAsia="Times New Roman" w:hAnsi="Times New Roman"/>
          <w:sz w:val="18"/>
          <w:szCs w:val="18"/>
          <w:color w:val="auto"/>
        </w:rPr>
        <w:t>Boston, MA 02210</w:t>
      </w:r>
    </w:p>
    <w:p>
      <w:pPr>
        <w:spacing w:after="0" w:line="126" w:lineRule="exact"/>
        <w:rPr>
          <w:sz w:val="20"/>
          <w:szCs w:val="20"/>
          <w:color w:val="auto"/>
        </w:rPr>
      </w:pPr>
    </w:p>
    <w:p>
      <w:pPr>
        <w:ind w:left="9484"/>
        <w:spacing w:after="0"/>
        <w:rPr>
          <w:sz w:val="20"/>
          <w:szCs w:val="20"/>
          <w:color w:val="auto"/>
        </w:rPr>
      </w:pPr>
      <w:r>
        <w:rPr>
          <w:rFonts w:ascii="Times New Roman" w:cs="Times New Roman" w:eastAsia="Times New Roman" w:hAnsi="Times New Roman"/>
          <w:sz w:val="18"/>
          <w:szCs w:val="18"/>
          <w:color w:val="auto"/>
        </w:rPr>
        <w:t xml:space="preserve">goodwinlaw.com      </w:t>
      </w:r>
    </w:p>
    <w:p>
      <w:pPr>
        <w:spacing w:after="0" w:line="27" w:lineRule="exact"/>
        <w:rPr>
          <w:sz w:val="20"/>
          <w:szCs w:val="20"/>
          <w:color w:val="auto"/>
        </w:rPr>
      </w:pPr>
    </w:p>
    <w:p>
      <w:pPr>
        <w:ind w:left="9484"/>
        <w:spacing w:after="0"/>
        <w:rPr>
          <w:sz w:val="20"/>
          <w:szCs w:val="20"/>
          <w:color w:val="auto"/>
        </w:rPr>
      </w:pPr>
      <w:r>
        <w:rPr>
          <w:rFonts w:ascii="Times New Roman" w:cs="Times New Roman" w:eastAsia="Times New Roman" w:hAnsi="Times New Roman"/>
          <w:sz w:val="18"/>
          <w:szCs w:val="18"/>
          <w:color w:val="auto"/>
        </w:rPr>
        <w:t xml:space="preserve">+1 617 570 1000      </w:t>
      </w:r>
    </w:p>
    <w:p>
      <w:pPr>
        <w:spacing w:after="0" w:line="220" w:lineRule="exact"/>
        <w:rPr>
          <w:sz w:val="20"/>
          <w:szCs w:val="20"/>
          <w:color w:val="auto"/>
        </w:rPr>
      </w:pPr>
    </w:p>
    <w:p>
      <w:pPr>
        <w:ind w:left="9684"/>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Being Registered under Registration Statement on Form S-8</w:t>
      </w:r>
    </w:p>
    <w:p>
      <w:pPr>
        <w:spacing w:after="0" w:line="225" w:lineRule="exact"/>
        <w:rPr>
          <w:sz w:val="20"/>
          <w:szCs w:val="20"/>
          <w:color w:val="auto"/>
        </w:rPr>
      </w:pPr>
    </w:p>
    <w:p>
      <w:pPr>
        <w:ind w:left="4" w:right="20"/>
        <w:spacing w:after="0" w:line="270" w:lineRule="auto"/>
        <w:rPr>
          <w:sz w:val="20"/>
          <w:szCs w:val="20"/>
          <w:color w:val="auto"/>
        </w:rPr>
      </w:pPr>
      <w:r>
        <w:rPr>
          <w:rFonts w:ascii="Times New Roman" w:cs="Times New Roman" w:eastAsia="Times New Roman" w:hAnsi="Times New Roman"/>
          <w:sz w:val="17"/>
          <w:szCs w:val="17"/>
          <w:color w:val="auto"/>
        </w:rPr>
        <w:t>We have acted as your counsel in connection with your filing of a Registration Statement on Form S-8 (the “Registration Statement”) pursuant to the Securities Act of 1933, as amended (the “Securities Act”), on or about the date hereof relating to (i) an aggregate of 1,237,656 shares (the “Plan Shares”) of Common Stock, $0.0001 par value per share (“Common Stock”), of Disc Medicine, Inc., a Delaware corporation (the “Company”), that may be issued pursuant to the Company’s 2021 Stock Option and Incentive Plan and 2021 Employee Stock Purchase Plan (collectively, the “Plans”) and</w:t>
      </w:r>
    </w:p>
    <w:p>
      <w:pPr>
        <w:spacing w:after="0" w:line="3" w:lineRule="exact"/>
        <w:rPr>
          <w:sz w:val="20"/>
          <w:szCs w:val="20"/>
          <w:color w:val="auto"/>
        </w:rPr>
      </w:pPr>
    </w:p>
    <w:p>
      <w:pPr>
        <w:jc w:val="both"/>
        <w:ind w:left="4" w:right="260" w:hanging="4"/>
        <w:spacing w:after="0" w:line="253"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241,665 shares (the “Inducement Shares” and, together with the Plan Shares, the “Shares”) of Common Stock that may be issued pursuant to non-qualified option grant agreements and restricted stock unit award agreements providing for employee inducement grants between the Company and certain employees, which were entered into in connection with the commencement of such employees’ employment with the Company pursuant to Nasdaq Listing Rule 5635(c)(4) (collectively, the “Inducement Award Agreements”).</w:t>
      </w:r>
    </w:p>
    <w:p>
      <w:pPr>
        <w:spacing w:after="0" w:line="189"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against payment therefor in accordance with the terms of the Plans or the Inducement Award Agreements, as applicable, will be validly issued, fully paid and nonassessable.</w:t>
      </w:r>
    </w:p>
    <w:p>
      <w:pPr>
        <w:sectPr>
          <w:pgSz w:w="11900" w:h="16838" w:orient="portrait"/>
          <w:cols w:equalWidth="0" w:num="1">
            <w:col w:w="11024"/>
          </w:cols>
          <w:pgMar w:left="436" w:top="117"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0960"/>
          </w:cols>
          <w:pgMar w:left="440" w:top="270" w:right="4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2021 Stock Option and Incentive Plan, as amended and restated, the 2021 Employee Stock Purchase Plan, as amended and restated, the Stock Option Inducement Awards, and the Restricted Stock Unit Inducement Awards of Disc Medicine, Inc. of our reports dated February 27, 2025, with respect to the consolidated financial statements of Disc Medicine, Inc. and the effectiveness of internal control over financial reporting of Disc Medicine, Inc. included in its Annual Report (Form 10-K) for the year ended December 31, 2024,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020"/>
          </w:cols>
          <w:pgMar w:left="440" w:top="117" w:right="4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1—Newly Registered Securities</w:t>
      </w:r>
    </w:p>
    <w:p>
      <w:pPr>
        <w:spacing w:after="0" w:line="254" w:lineRule="exact"/>
        <w:rPr>
          <w:sz w:val="20"/>
          <w:szCs w:val="20"/>
          <w:color w:val="auto"/>
        </w:rPr>
      </w:pPr>
    </w:p>
    <w:tbl>
      <w:tblPr>
        <w:tblLayout w:type="fixed"/>
        <w:tblInd w:w="454" w:type="dxa"/>
        <w:tblCellMar>
          <w:top w:w="0" w:type="dxa"/>
          <w:left w:w="0" w:type="dxa"/>
          <w:bottom w:w="0" w:type="dxa"/>
          <w:right w:w="0" w:type="dxa"/>
        </w:tblCellMar>
      </w:tblPr>
      <w:tr>
        <w:trPr>
          <w:trHeight w:val="144"/>
        </w:trPr>
        <w:tc>
          <w:tcPr>
            <w:tcW w:w="1420" w:type="dxa"/>
            <w:vAlign w:val="bottom"/>
            <w:tcBorders>
              <w:top w:val="single" w:sz="8" w:color="auto"/>
              <w:left w:val="single" w:sz="8" w:color="auto"/>
              <w:right w:val="single" w:sz="8" w:color="auto"/>
            </w:tcBorders>
          </w:tcPr>
          <w:p>
            <w:pPr>
              <w:spacing w:after="0"/>
              <w:rPr>
                <w:sz w:val="12"/>
                <w:szCs w:val="12"/>
                <w:color w:val="auto"/>
              </w:rPr>
            </w:pPr>
          </w:p>
        </w:tc>
        <w:tc>
          <w:tcPr>
            <w:tcW w:w="21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6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2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16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2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1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6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2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9"/>
        </w:trPr>
        <w:tc>
          <w:tcPr>
            <w:tcW w:w="1420" w:type="dxa"/>
            <w:vAlign w:val="bottom"/>
            <w:tcBorders>
              <w:left w:val="single" w:sz="8" w:color="auto"/>
              <w:bottom w:val="single" w:sz="8" w:color="auto"/>
              <w:right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color w:val="auto"/>
                <w:w w:val="95"/>
              </w:rPr>
              <w:t>Security Type</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 (1)</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3"/>
                <w:szCs w:val="13"/>
                <w:color w:val="auto"/>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6"/>
        </w:trPr>
        <w:tc>
          <w:tcPr>
            <w:tcW w:w="1420" w:type="dxa"/>
            <w:vAlign w:val="bottom"/>
            <w:tcBorders>
              <w:left w:val="single" w:sz="8" w:color="auto"/>
              <w:right w:val="single" w:sz="8" w:color="auto"/>
            </w:tcBorders>
          </w:tcPr>
          <w:p>
            <w:pPr>
              <w:jc w:val="center"/>
              <w:ind w:left="57"/>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21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Common Stock, $0.0001</w:t>
            </w:r>
          </w:p>
        </w:tc>
        <w:tc>
          <w:tcPr>
            <w:tcW w:w="10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457(c) and</w:t>
            </w:r>
          </w:p>
        </w:tc>
        <w:tc>
          <w:tcPr>
            <w:tcW w:w="1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41"/>
        </w:trPr>
        <w:tc>
          <w:tcPr>
            <w:tcW w:w="1420" w:type="dxa"/>
            <w:vAlign w:val="bottom"/>
            <w:tcBorders>
              <w:left w:val="single" w:sz="8" w:color="auto"/>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1,194,601 (2) </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$54.11 (3) </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$64,639,860.11 (3)</w:t>
            </w:r>
          </w:p>
        </w:tc>
        <w:tc>
          <w:tcPr>
            <w:tcW w:w="10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w w:val="99"/>
              </w:rPr>
              <w:t>0.0001531 </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$9,896.36</w:t>
            </w:r>
          </w:p>
        </w:tc>
      </w:tr>
      <w:tr>
        <w:trPr>
          <w:trHeight w:val="211"/>
        </w:trPr>
        <w:tc>
          <w:tcPr>
            <w:tcW w:w="1420" w:type="dxa"/>
            <w:vAlign w:val="bottom"/>
            <w:tcBorders>
              <w:left w:val="single" w:sz="8" w:color="auto"/>
              <w:right w:val="single" w:sz="8" w:color="auto"/>
            </w:tcBorders>
          </w:tcPr>
          <w:p>
            <w:pPr>
              <w:jc w:val="center"/>
              <w:ind w:left="57"/>
              <w:spacing w:after="0"/>
              <w:rPr>
                <w:sz w:val="20"/>
                <w:szCs w:val="20"/>
                <w:color w:val="auto"/>
              </w:rPr>
            </w:pPr>
            <w:r>
              <w:rPr>
                <w:rFonts w:ascii="Times New Roman" w:cs="Times New Roman" w:eastAsia="Times New Roman" w:hAnsi="Times New Roman"/>
                <w:sz w:val="18"/>
                <w:szCs w:val="18"/>
                <w:color w:val="auto"/>
                <w:w w:val="99"/>
              </w:rPr>
              <w:t>Equity</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457(c) and</w:t>
            </w:r>
          </w:p>
        </w:tc>
        <w:tc>
          <w:tcPr>
            <w:tcW w:w="1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41"/>
        </w:trPr>
        <w:tc>
          <w:tcPr>
            <w:tcW w:w="1420" w:type="dxa"/>
            <w:vAlign w:val="bottom"/>
            <w:tcBorders>
              <w:left w:val="single" w:sz="8" w:color="auto"/>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100" w:type="dxa"/>
            <w:vAlign w:val="bottom"/>
            <w:tcBorders>
              <w:bottom w:val="single" w:sz="8" w:color="auto"/>
              <w:right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color w:val="auto"/>
              </w:rPr>
              <w:t xml:space="preserve">43,055(4) </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$45.99 (5)  </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$1,980,099.45 (5)</w:t>
            </w:r>
          </w:p>
        </w:tc>
        <w:tc>
          <w:tcPr>
            <w:tcW w:w="10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w w:val="99"/>
              </w:rPr>
              <w:t>0.0001531 </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$303.15</w:t>
            </w:r>
          </w:p>
        </w:tc>
      </w:tr>
      <w:tr>
        <w:trPr>
          <w:trHeight w:val="211"/>
        </w:trPr>
        <w:tc>
          <w:tcPr>
            <w:tcW w:w="1420" w:type="dxa"/>
            <w:vAlign w:val="bottom"/>
            <w:tcBorders>
              <w:left w:val="single" w:sz="8" w:color="auto"/>
              <w:right w:val="single" w:sz="8" w:color="auto"/>
            </w:tcBorders>
          </w:tcPr>
          <w:p>
            <w:pPr>
              <w:jc w:val="center"/>
              <w:ind w:left="57"/>
              <w:spacing w:after="0"/>
              <w:rPr>
                <w:sz w:val="20"/>
                <w:szCs w:val="20"/>
                <w:color w:val="auto"/>
              </w:rPr>
            </w:pPr>
            <w:r>
              <w:rPr>
                <w:rFonts w:ascii="Times New Roman" w:cs="Times New Roman" w:eastAsia="Times New Roman" w:hAnsi="Times New Roman"/>
                <w:sz w:val="18"/>
                <w:szCs w:val="18"/>
                <w:color w:val="auto"/>
                <w:w w:val="99"/>
              </w:rPr>
              <w:t>Equity</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457(c) and</w:t>
            </w:r>
          </w:p>
        </w:tc>
        <w:tc>
          <w:tcPr>
            <w:tcW w:w="1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41"/>
        </w:trPr>
        <w:tc>
          <w:tcPr>
            <w:tcW w:w="1420" w:type="dxa"/>
            <w:vAlign w:val="bottom"/>
            <w:tcBorders>
              <w:left w:val="single" w:sz="8" w:color="auto"/>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10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 xml:space="preserve">241,665(6) </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$54.11 (3) </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$13,076,493.15 (3)</w:t>
            </w:r>
          </w:p>
        </w:tc>
        <w:tc>
          <w:tcPr>
            <w:tcW w:w="100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8"/>
                <w:szCs w:val="18"/>
                <w:color w:val="auto"/>
                <w:w w:val="99"/>
              </w:rPr>
              <w:t>0.0001531 </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$2,002.01</w:t>
            </w:r>
          </w:p>
        </w:tc>
      </w:tr>
      <w:tr>
        <w:trPr>
          <w:trHeight w:val="239"/>
        </w:trPr>
        <w:tc>
          <w:tcPr>
            <w:tcW w:w="1420" w:type="dxa"/>
            <w:vAlign w:val="bottom"/>
            <w:tcBorders>
              <w:left w:val="single" w:sz="8" w:color="auto"/>
              <w:bottom w:val="single" w:sz="8" w:color="auto"/>
            </w:tcBorders>
          </w:tcPr>
          <w:p>
            <w:pPr>
              <w:spacing w:after="0"/>
              <w:rPr>
                <w:sz w:val="20"/>
                <w:szCs w:val="20"/>
                <w:color w:val="auto"/>
              </w:rPr>
            </w:pPr>
          </w:p>
        </w:tc>
        <w:tc>
          <w:tcPr>
            <w:tcW w:w="3100" w:type="dxa"/>
            <w:vAlign w:val="bottom"/>
            <w:tcBorders>
              <w:bottom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1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$79,696,452.71</w:t>
            </w: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$12,201.53</w:t>
            </w:r>
          </w:p>
        </w:tc>
      </w:tr>
      <w:tr>
        <w:trPr>
          <w:trHeight w:val="236"/>
        </w:trPr>
        <w:tc>
          <w:tcPr>
            <w:tcW w:w="1420" w:type="dxa"/>
            <w:vAlign w:val="bottom"/>
            <w:tcBorders>
              <w:left w:val="single" w:sz="8" w:color="auto"/>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left="737"/>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0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1420" w:type="dxa"/>
            <w:vAlign w:val="bottom"/>
            <w:tcBorders>
              <w:left w:val="single" w:sz="8" w:color="auto"/>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left="737"/>
              <w:spacing w:after="0"/>
              <w:rPr>
                <w:sz w:val="20"/>
                <w:szCs w:val="20"/>
                <w:color w:val="auto"/>
              </w:rPr>
            </w:pPr>
            <w:r>
              <w:rPr>
                <w:rFonts w:ascii="Times New Roman" w:cs="Times New Roman" w:eastAsia="Times New Roman" w:hAnsi="Times New Roman"/>
                <w:sz w:val="18"/>
                <w:szCs w:val="18"/>
                <w:color w:val="auto"/>
              </w:rPr>
              <w:t>Net Fee Due</w:t>
            </w:r>
          </w:p>
        </w:tc>
        <w:tc>
          <w:tcPr>
            <w:tcW w:w="100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$12,201.53</w:t>
            </w:r>
          </w:p>
        </w:tc>
      </w:tr>
    </w:tbl>
    <w:p>
      <w:pPr>
        <w:spacing w:after="0" w:line="221" w:lineRule="exact"/>
        <w:rPr>
          <w:sz w:val="20"/>
          <w:szCs w:val="20"/>
          <w:color w:val="auto"/>
        </w:rPr>
      </w:pPr>
    </w:p>
    <w:p>
      <w:pPr>
        <w:ind w:left="424" w:right="20" w:hanging="424"/>
        <w:spacing w:after="0" w:line="255"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shall also cover any additional shares of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which become issuable under the Registrant’s Amended and Restated 2021 Stock Option and Incentive Plan (the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and the Registrant’s Amended and Restated 2021 Employee Stock Purchase Plan (the “</w:t>
      </w:r>
      <w:r>
        <w:rPr>
          <w:rFonts w:ascii="Times New Roman" w:cs="Times New Roman" w:eastAsia="Times New Roman" w:hAnsi="Times New Roman"/>
          <w:sz w:val="18"/>
          <w:szCs w:val="18"/>
          <w:b w:val="1"/>
          <w:bCs w:val="1"/>
          <w:i w:val="1"/>
          <w:iCs w:val="1"/>
          <w:color w:val="auto"/>
        </w:rPr>
        <w:t>2021 ESPP</w:t>
      </w:r>
      <w:r>
        <w:rPr>
          <w:rFonts w:ascii="Times New Roman" w:cs="Times New Roman" w:eastAsia="Times New Roman" w:hAnsi="Times New Roman"/>
          <w:sz w:val="18"/>
          <w:szCs w:val="18"/>
          <w:color w:val="auto"/>
        </w:rPr>
        <w:t>”) by reason of any stock dividend, stock split, recapitalization or any other similar transaction effected without the receipt of consideration which results in an increase in the number of outstanding shares of Common Stock.</w:t>
      </w:r>
    </w:p>
    <w:p>
      <w:pPr>
        <w:spacing w:after="0" w:line="2"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increase of 1,194,601 shares of Common Stock to the number of shares reserved for issuance under the 2021 Plan, as a result of an automatic increase effective January 1, 2025. Shares available for issuance under the 2021 Plan were previously registered on Registration Statements on Form S-8 filed with the United States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April 12, 2021 (File No. 333-255194), March 10, 2022 (File No. 333-263410), January 17, 2023 (File No. 333-269271) and March 21, 2024 (File No. 333-278129).</w:t>
      </w:r>
    </w:p>
    <w:p>
      <w:pPr>
        <w:spacing w:after="0" w:line="1"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(h) of the Securities Act, and based on $54.11, the average of the high and low sale prices of the Common Stock as reported on Nasdaq on February 24, 2025 (such date being within five business days of the date that this Registration Statement was filed with the Commission).</w:t>
      </w:r>
    </w:p>
    <w:p>
      <w:pPr>
        <w:spacing w:after="0" w:line="1" w:lineRule="exact"/>
        <w:rPr>
          <w:rFonts w:ascii="Times New Roman" w:cs="Times New Roman" w:eastAsia="Times New Roman" w:hAnsi="Times New Roman"/>
          <w:sz w:val="18"/>
          <w:szCs w:val="18"/>
          <w:color w:val="auto"/>
        </w:rPr>
      </w:pPr>
    </w:p>
    <w:p>
      <w:pPr>
        <w:ind w:left="424" w:right="20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increase of 43,055 shares of Common Stock to the number of shares reserved for issuance under the 2021 ESPP, as a result of an automatic increase effective January 1, 2025. Shares available for issuance under the 2021 ESPP were previously registered on Registration Statements on Form S-8 filed with the SEC on October 14, 2022 (File No. 333-260243), January 17, 2023 (File No. 333-269271) and March 21, 2024 (File No. 333-278129).</w:t>
      </w:r>
    </w:p>
    <w:p>
      <w:pPr>
        <w:spacing w:after="0" w:line="1" w:lineRule="exact"/>
        <w:rPr>
          <w:rFonts w:ascii="Times New Roman" w:cs="Times New Roman" w:eastAsia="Times New Roman" w:hAnsi="Times New Roman"/>
          <w:sz w:val="18"/>
          <w:szCs w:val="18"/>
          <w:color w:val="auto"/>
        </w:rPr>
      </w:pPr>
    </w:p>
    <w:p>
      <w:pPr>
        <w:ind w:left="424" w:right="20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(h) of the Securities Act, and based on $45.99, which is 85% of the average of the high and low sale prices of the Common Stock as reported on Nasdaq on February 24, 2025 (such date being within five business days of the date that this Registration Statement was filed with the Commission). Pursuant to the 2021 ESPP, the purchase price of the shares of Common Stock reserved for issuance thereunder will be 85% of the fair market value of a share of Common Stock on the first trading day of the offering period or on the exercise date, whichever is less.</w:t>
      </w:r>
    </w:p>
    <w:p>
      <w:pPr>
        <w:spacing w:after="0" w:line="1" w:lineRule="exact"/>
        <w:rPr>
          <w:rFonts w:ascii="Times New Roman" w:cs="Times New Roman" w:eastAsia="Times New Roman" w:hAnsi="Times New Roman"/>
          <w:sz w:val="18"/>
          <w:szCs w:val="18"/>
          <w:color w:val="auto"/>
        </w:rPr>
      </w:pPr>
    </w:p>
    <w:p>
      <w:pPr>
        <w:ind w:left="424" w:right="80" w:hanging="424"/>
        <w:spacing w:after="0" w:line="255"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number of shares of the Registrant’s Common Stock issuable upon the exercise of stock options and the vesting of restricted stock units granted to the Registrant’s Chief Regulatory Officer, Chief Technical Officer and Senior Vice President of Finance, Corporate Controller, in each case as an inducement material to entry into employment with the Registrant under Nasdaq Listing Rule 5635(c)(4).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45" Type="http://schemas.openxmlformats.org/officeDocument/2006/relationships/image" Target="media/image16.png"/><Relationship Id="rId46" Type="http://schemas.openxmlformats.org/officeDocument/2006/relationships/image" Target="media/image17.png"/><Relationship Id="rId47" Type="http://schemas.openxmlformats.org/officeDocument/2006/relationships/image" Target="media/image18.png"/><Relationship Id="rId48" Type="http://schemas.openxmlformats.org/officeDocument/2006/relationships/image" Target="media/image19.png"/><Relationship Id="rId49" Type="http://schemas.openxmlformats.org/officeDocument/2006/relationships/image" Target="media/image20.png"/><Relationship Id="rId50" Type="http://schemas.openxmlformats.org/officeDocument/2006/relationships/image" Target="media/image21.jpeg"/><Relationship Id="rId51" Type="http://schemas.openxmlformats.org/officeDocument/2006/relationships/image" Target="media/image22.png"/><Relationship Id="rId19" Type="http://schemas.openxmlformats.org/officeDocument/2006/relationships/hyperlink" Target="http://www.sec.gov/Archives/edgar/data/1816736/000121390021021222/ea139346-s8_gemini.htm" TargetMode="External"/><Relationship Id="rId20" Type="http://schemas.openxmlformats.org/officeDocument/2006/relationships/hyperlink" Target="http://www.sec.gov/Archives/edgar/data/1816736/000119312521298746/d242333ds8.htm" TargetMode="External"/><Relationship Id="rId21" Type="http://schemas.openxmlformats.org/officeDocument/2006/relationships/hyperlink" Target="http://www.sec.gov/Archives/edgar/data/1816736/000119312522071297/d200548ds8.htm" TargetMode="External"/><Relationship Id="rId22" Type="http://schemas.openxmlformats.org/officeDocument/2006/relationships/hyperlink" Target="http://www.sec.gov/Archives/edgar/data/1816736/000119312523009656/d435326ds8.htm" TargetMode="External"/><Relationship Id="rId23" Type="http://schemas.openxmlformats.org/officeDocument/2006/relationships/hyperlink" Target="http://www.sec.gov/Archives/edgar/data/1816736/000119312524073358/d804404ds8.htm" TargetMode="External"/><Relationship Id="rId26" Type="http://schemas.openxmlformats.org/officeDocument/2006/relationships/hyperlink" Target="http://www.sec.gov/ix?doc=/Archives/edgar/data/0001816736/000095017025028390/iron-20241231.htm" TargetMode="External"/><Relationship Id="rId27" Type="http://schemas.openxmlformats.org/officeDocument/2006/relationships/hyperlink" Target="http://www.sec.gov/ix?doc=/Archives/edgar/data/1816736/000095017025003859/iron-20250110.htm" TargetMode="External"/><Relationship Id="rId28" Type="http://schemas.openxmlformats.org/officeDocument/2006/relationships/hyperlink" Target="http://www.sec.gov/ix?doc=/Archives/edgar/data/1816736/000119312525009095/d858127d8k.htm" TargetMode="External"/><Relationship Id="rId29" Type="http://schemas.openxmlformats.org/officeDocument/2006/relationships/hyperlink" Target="http://www.sec.gov/ix?doc=/Archives/edgar/data/1816736/000119312525012211/d833002d8k.htm" TargetMode="External"/><Relationship Id="rId30" Type="http://schemas.openxmlformats.org/officeDocument/2006/relationships/hyperlink" Target="http://www.sec.gov/Archives/edgar/data/1816736/000121390020021145/ea125295-8a12b_fsdevelop.htm" TargetMode="External"/><Relationship Id="rId31" Type="http://schemas.openxmlformats.org/officeDocument/2006/relationships/hyperlink" Target="http://www.sec.gov/Archives/edgar/data/1816736/000095017022003288/gmtx-ex4_4.htm" TargetMode="External"/><Relationship Id="rId34" Type="http://schemas.openxmlformats.org/officeDocument/2006/relationships/hyperlink" Target="http://www.sec.gov/Archives/edgar/data/1816736/000121390021002636/fs42021a5ex4-1_fsdevelop.htm" TargetMode="External"/><Relationship Id="rId35" Type="http://schemas.openxmlformats.org/officeDocument/2006/relationships/hyperlink" Target="http://www.sec.gov/Archives/edgar/data/1816736/000121390021008478/ea135023ex3-1_gemini.htm" TargetMode="External"/><Relationship Id="rId36" Type="http://schemas.openxmlformats.org/officeDocument/2006/relationships/hyperlink" Target="http://www.sec.gov/Archives/edgar/data/1816736/000114036122047453/brhc10045896_ex3-1.htm" TargetMode="External"/><Relationship Id="rId37" Type="http://schemas.openxmlformats.org/officeDocument/2006/relationships/hyperlink" Target="http://www.sec.gov/Archives/edgar/data/1816736/000114036122047453/brhc10045896_ex3-2.htm" TargetMode="External"/><Relationship Id="rId38" Type="http://schemas.openxmlformats.org/officeDocument/2006/relationships/hyperlink" Target="http://www.sec.gov/Archives/edgar/data/1816736/000121390021002636/fs42021a5_fsdevelopment.htm" TargetMode="External"/><Relationship Id="rId39" Type="http://schemas.openxmlformats.org/officeDocument/2006/relationships/hyperlink" Target="http://www.sec.gov/Archives/edgar/data/1816736/000119312523009656/d435326dex991.htm" TargetMode="External"/><Relationship Id="rId40" Type="http://schemas.openxmlformats.org/officeDocument/2006/relationships/hyperlink" Target="http://www.sec.gov/Archives/edgar/data/1816736/000119312523009656/d435326dex992.htm" TargetMode="External"/><Relationship Id="rId41" Type="http://schemas.openxmlformats.org/officeDocument/2006/relationships/hyperlink" Target="http://www.sec.gov/Archives/edgar/data/1816736/000119312523009656/d435326dex993.htm" TargetMode="External"/><Relationship Id="rId42" Type="http://schemas.openxmlformats.org/officeDocument/2006/relationships/hyperlink" Target="http://www.sec.gov/Archives/edgar/data/1816736/000114036122047453/brhc10045896_ex10-9.htm" TargetMode="External"/><Relationship Id="rId43" Type="http://schemas.openxmlformats.org/officeDocument/2006/relationships/hyperlink" Target="http://www.sec.gov/Archives/edgar/data/1816736/000119312524073358/d804404dex995.htm" TargetMode="External"/><Relationship Id="rId44" Type="http://schemas.openxmlformats.org/officeDocument/2006/relationships/hyperlink" Target="http://www.sec.gov/Archives/edgar/data/1816736/000119312524073358/d804404d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2025-02-27T08:05:55Z</dcterms:created>
  <dcterms:modified xsi:type="dcterms:W3CDTF">2025-02-27T08:05:55Z</dcterms:modified>
</cp:coreProperties>
</file>