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June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20" w:right="8860" w:firstLine="8"/>
        <w:spacing w:after="0" w:line="251" w:lineRule="exact"/>
        <w:tabs>
          <w:tab w:leader="none" w:pos="10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00" w:hanging="372"/>
        <w:spacing w:after="0"/>
        <w:tabs>
          <w:tab w:leader="none" w:pos="10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10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312" w:right="599" w:bottom="1440" w:gutter="0" w:footer="0" w:header="0"/>
        </w:sectPr>
      </w:pPr>
    </w:p>
    <w:bookmarkStart w:id="1" w:name="page2"/>
    <w:bookmarkEnd w:id="1"/>
    <w:p>
      <w:pPr>
        <w:spacing w:after="0"/>
        <w:tabs>
          <w:tab w:leader="none" w:pos="5440" w:val="left"/>
          <w:tab w:leader="none" w:pos="982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560" w:type="dxa"/>
            <w:vAlign w:val="bottom"/>
            <w:vMerge w:val="restart"/>
          </w:tcPr>
          <w:p>
            <w:pPr>
              <w:jc w:val="right"/>
              <w:ind w:right="256"/>
              <w:spacing w:after="0"/>
              <w:rPr>
                <w:sz w:val="20"/>
                <w:szCs w:val="20"/>
                <w:color w:val="auto"/>
              </w:rPr>
            </w:pPr>
            <w:r>
              <w:rPr>
                <w:rFonts w:ascii="Arial" w:cs="Arial" w:eastAsia="Arial" w:hAnsi="Arial"/>
                <w:sz w:val="29"/>
                <w:szCs w:val="29"/>
                <w:b w:val="1"/>
                <w:bCs w:val="1"/>
                <w:color w:val="auto"/>
                <w:w w:val="86"/>
              </w:rPr>
              <w:t>1</w:t>
            </w:r>
          </w:p>
        </w:tc>
        <w:tc>
          <w:tcPr>
            <w:tcW w:w="2980" w:type="dxa"/>
            <w:vAlign w:val="bottom"/>
          </w:tcPr>
          <w:p>
            <w:pPr>
              <w:ind w:left="42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80" w:type="dxa"/>
            <w:vAlign w:val="bottom"/>
            <w:vMerge w:val="restart"/>
          </w:tcPr>
          <w:p>
            <w:pPr>
              <w:ind w:left="740"/>
              <w:spacing w:after="0"/>
              <w:rPr>
                <w:sz w:val="20"/>
                <w:szCs w:val="20"/>
                <w:color w:val="auto"/>
              </w:rPr>
            </w:pPr>
            <w:r>
              <w:rPr>
                <w:rFonts w:ascii="Arial" w:cs="Arial" w:eastAsia="Arial" w:hAnsi="Arial"/>
                <w:sz w:val="20"/>
                <w:szCs w:val="20"/>
                <w:color w:val="auto"/>
                <w:w w:val="87"/>
              </w:rPr>
              <w:t>Adage Capital Partners,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72"/>
        <w:spacing w:after="0" w:line="182" w:lineRule="auto"/>
        <w:tabs>
          <w:tab w:leader="none" w:pos="170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72"/>
        <w:spacing w:after="0"/>
        <w:tabs>
          <w:tab w:leader="none" w:pos="17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4</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w w:val="92"/>
              </w:rPr>
              <w:t>Delaware</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9"/>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7"/>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2"/>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20" w:type="dxa"/>
            <w:vAlign w:val="bottom"/>
            <w:vMerge w:val="continue"/>
          </w:tcPr>
          <w:p>
            <w:pPr>
              <w:spacing w:after="0"/>
              <w:rPr>
                <w:sz w:val="20"/>
                <w:szCs w:val="20"/>
                <w:color w:val="auto"/>
              </w:rPr>
            </w:pP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w w:val="87"/>
              </w:rPr>
              <w:t>1,162,624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10</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w w:val="96"/>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11</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5.24%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12</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0"/>
                <w:szCs w:val="20"/>
                <w:color w:val="auto"/>
              </w:rPr>
              <w:t>PN</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1" w:hanging="261"/>
        <w:spacing w:after="0" w:line="281" w:lineRule="exact"/>
        <w:tabs>
          <w:tab w:leader="none" w:pos="261" w:val="left"/>
        </w:tabs>
        <w:numPr>
          <w:ilvl w:val="0"/>
          <w:numId w:val="4"/>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204" w:lineRule="exact"/>
        <w:rPr>
          <w:rFonts w:ascii="Arial" w:cs="Arial" w:eastAsia="Arial" w:hAnsi="Arial"/>
          <w:sz w:val="19"/>
          <w:szCs w:val="19"/>
          <w:color w:val="auto"/>
        </w:rPr>
      </w:pPr>
    </w:p>
    <w:p>
      <w:pPr>
        <w:ind w:left="281" w:hanging="281"/>
        <w:spacing w:after="0" w:line="262" w:lineRule="exact"/>
        <w:tabs>
          <w:tab w:leader="none" w:pos="281"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1"/>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9" w:space="720"/>
            <w:col w:w="1021"/>
          </w:cols>
          <w:pgMar w:left="320" w:top="472" w:right="339" w:bottom="1440" w:gutter="0" w:footer="0" w:header="0"/>
          <w:type w:val="continuous"/>
        </w:sectPr>
      </w:pPr>
    </w:p>
    <w:bookmarkStart w:id="2" w:name="page3"/>
    <w:bookmarkEnd w:id="2"/>
    <w:p>
      <w:pPr>
        <w:spacing w:after="0"/>
        <w:tabs>
          <w:tab w:leader="none" w:pos="5440" w:val="left"/>
          <w:tab w:leader="none" w:pos="982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560" w:type="dxa"/>
            <w:vAlign w:val="bottom"/>
            <w:vMerge w:val="restart"/>
          </w:tcPr>
          <w:p>
            <w:pPr>
              <w:jc w:val="right"/>
              <w:ind w:right="256"/>
              <w:spacing w:after="0"/>
              <w:rPr>
                <w:sz w:val="20"/>
                <w:szCs w:val="20"/>
                <w:color w:val="auto"/>
              </w:rPr>
            </w:pPr>
            <w:r>
              <w:rPr>
                <w:rFonts w:ascii="Arial" w:cs="Arial" w:eastAsia="Arial" w:hAnsi="Arial"/>
                <w:sz w:val="29"/>
                <w:szCs w:val="29"/>
                <w:b w:val="1"/>
                <w:bCs w:val="1"/>
                <w:color w:val="auto"/>
                <w:w w:val="86"/>
              </w:rPr>
              <w:t>1</w:t>
            </w:r>
          </w:p>
        </w:tc>
        <w:tc>
          <w:tcPr>
            <w:tcW w:w="3480" w:type="dxa"/>
            <w:vAlign w:val="bottom"/>
          </w:tcPr>
          <w:p>
            <w:pPr>
              <w:ind w:left="42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480" w:type="dxa"/>
            <w:vAlign w:val="bottom"/>
            <w:vMerge w:val="restart"/>
          </w:tcPr>
          <w:p>
            <w:pPr>
              <w:ind w:left="740"/>
              <w:spacing w:after="0"/>
              <w:rPr>
                <w:sz w:val="20"/>
                <w:szCs w:val="20"/>
                <w:color w:val="auto"/>
              </w:rPr>
            </w:pPr>
            <w:r>
              <w:rPr>
                <w:rFonts w:ascii="Arial" w:cs="Arial" w:eastAsia="Arial" w:hAnsi="Arial"/>
                <w:sz w:val="20"/>
                <w:szCs w:val="20"/>
                <w:color w:val="auto"/>
                <w:w w:val="88"/>
              </w:rPr>
              <w:t>Adage Capital Partners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72"/>
        <w:spacing w:after="0" w:line="182" w:lineRule="auto"/>
        <w:tabs>
          <w:tab w:leader="none" w:pos="1700" w:val="left"/>
        </w:tabs>
        <w:numPr>
          <w:ilvl w:val="0"/>
          <w:numId w:val="5"/>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72"/>
        <w:spacing w:after="0"/>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4</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w w:val="92"/>
              </w:rPr>
              <w:t>Delaware</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9"/>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7"/>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2"/>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20" w:type="dxa"/>
            <w:vAlign w:val="bottom"/>
            <w:vMerge w:val="continue"/>
          </w:tcPr>
          <w:p>
            <w:pPr>
              <w:spacing w:after="0"/>
              <w:rPr>
                <w:sz w:val="20"/>
                <w:szCs w:val="20"/>
                <w:color w:val="auto"/>
              </w:rPr>
            </w:pP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w w:val="87"/>
              </w:rPr>
              <w:t>1,162,624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10</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w w:val="96"/>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11</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5.24%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12</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OO</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1" w:hanging="261"/>
        <w:spacing w:after="0" w:line="281" w:lineRule="exact"/>
        <w:tabs>
          <w:tab w:leader="none" w:pos="261" w:val="left"/>
        </w:tabs>
        <w:numPr>
          <w:ilvl w:val="0"/>
          <w:numId w:val="7"/>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204" w:lineRule="exact"/>
        <w:rPr>
          <w:rFonts w:ascii="Arial" w:cs="Arial" w:eastAsia="Arial" w:hAnsi="Arial"/>
          <w:sz w:val="19"/>
          <w:szCs w:val="19"/>
          <w:color w:val="auto"/>
        </w:rPr>
      </w:pPr>
    </w:p>
    <w:p>
      <w:pPr>
        <w:ind w:left="281" w:hanging="281"/>
        <w:spacing w:after="0" w:line="262" w:lineRule="exact"/>
        <w:tabs>
          <w:tab w:leader="none" w:pos="281"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1"/>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9" w:space="720"/>
            <w:col w:w="1021"/>
          </w:cols>
          <w:pgMar w:left="320" w:top="472" w:right="339" w:bottom="1440" w:gutter="0" w:footer="0" w:header="0"/>
          <w:type w:val="continuous"/>
        </w:sectPr>
      </w:pPr>
    </w:p>
    <w:bookmarkStart w:id="3" w:name="page4"/>
    <w:bookmarkEnd w:id="3"/>
    <w:p>
      <w:pPr>
        <w:spacing w:after="0"/>
        <w:tabs>
          <w:tab w:leader="none" w:pos="5440" w:val="left"/>
          <w:tab w:leader="none" w:pos="982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560" w:type="dxa"/>
            <w:vAlign w:val="bottom"/>
            <w:vMerge w:val="restart"/>
          </w:tcPr>
          <w:p>
            <w:pPr>
              <w:jc w:val="right"/>
              <w:ind w:right="256"/>
              <w:spacing w:after="0"/>
              <w:rPr>
                <w:sz w:val="20"/>
                <w:szCs w:val="20"/>
                <w:color w:val="auto"/>
              </w:rPr>
            </w:pPr>
            <w:r>
              <w:rPr>
                <w:rFonts w:ascii="Arial" w:cs="Arial" w:eastAsia="Arial" w:hAnsi="Arial"/>
                <w:sz w:val="29"/>
                <w:szCs w:val="29"/>
                <w:b w:val="1"/>
                <w:bCs w:val="1"/>
                <w:color w:val="auto"/>
                <w:w w:val="86"/>
              </w:rPr>
              <w:t>1</w:t>
            </w:r>
          </w:p>
        </w:tc>
        <w:tc>
          <w:tcPr>
            <w:tcW w:w="3380" w:type="dxa"/>
            <w:vAlign w:val="bottom"/>
          </w:tcPr>
          <w:p>
            <w:pPr>
              <w:ind w:left="42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380" w:type="dxa"/>
            <w:vAlign w:val="bottom"/>
            <w:vMerge w:val="restart"/>
          </w:tcPr>
          <w:p>
            <w:pPr>
              <w:ind w:left="740"/>
              <w:spacing w:after="0"/>
              <w:rPr>
                <w:sz w:val="20"/>
                <w:szCs w:val="20"/>
                <w:color w:val="auto"/>
              </w:rPr>
            </w:pPr>
            <w:r>
              <w:rPr>
                <w:rFonts w:ascii="Arial" w:cs="Arial" w:eastAsia="Arial" w:hAnsi="Arial"/>
                <w:sz w:val="20"/>
                <w:szCs w:val="20"/>
                <w:color w:val="auto"/>
                <w:w w:val="88"/>
              </w:rPr>
              <w:t>Adage Capital Management,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72"/>
        <w:spacing w:after="0" w:line="182" w:lineRule="auto"/>
        <w:tabs>
          <w:tab w:leader="none" w:pos="1700" w:val="left"/>
        </w:tabs>
        <w:numPr>
          <w:ilvl w:val="0"/>
          <w:numId w:val="8"/>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72"/>
        <w:spacing w:after="0"/>
        <w:tabs>
          <w:tab w:leader="none" w:pos="1700" w:val="left"/>
        </w:tabs>
        <w:numPr>
          <w:ilvl w:val="0"/>
          <w:numId w:val="9"/>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4</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w w:val="92"/>
              </w:rPr>
              <w:t>Delaware</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9"/>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7"/>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2"/>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20" w:type="dxa"/>
            <w:vAlign w:val="bottom"/>
            <w:vMerge w:val="continue"/>
          </w:tcPr>
          <w:p>
            <w:pPr>
              <w:spacing w:after="0"/>
              <w:rPr>
                <w:sz w:val="20"/>
                <w:szCs w:val="20"/>
                <w:color w:val="auto"/>
              </w:rPr>
            </w:pP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w w:val="87"/>
              </w:rPr>
              <w:t>1,162,624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10</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w w:val="96"/>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11</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5.24%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12</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PN, IA</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1" w:hanging="261"/>
        <w:spacing w:after="0" w:line="281" w:lineRule="exact"/>
        <w:tabs>
          <w:tab w:leader="none" w:pos="261" w:val="left"/>
        </w:tabs>
        <w:numPr>
          <w:ilvl w:val="0"/>
          <w:numId w:val="10"/>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204" w:lineRule="exact"/>
        <w:rPr>
          <w:rFonts w:ascii="Arial" w:cs="Arial" w:eastAsia="Arial" w:hAnsi="Arial"/>
          <w:sz w:val="19"/>
          <w:szCs w:val="19"/>
          <w:color w:val="auto"/>
        </w:rPr>
      </w:pPr>
    </w:p>
    <w:p>
      <w:pPr>
        <w:ind w:left="281" w:hanging="281"/>
        <w:spacing w:after="0" w:line="262" w:lineRule="exact"/>
        <w:tabs>
          <w:tab w:leader="none" w:pos="281"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1"/>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9" w:space="720"/>
            <w:col w:w="1021"/>
          </w:cols>
          <w:pgMar w:left="320" w:top="472" w:right="339" w:bottom="1440" w:gutter="0" w:footer="0" w:header="0"/>
          <w:type w:val="continuous"/>
        </w:sectPr>
      </w:pPr>
    </w:p>
    <w:bookmarkStart w:id="4" w:name="page5"/>
    <w:bookmarkEnd w:id="4"/>
    <w:p>
      <w:pPr>
        <w:spacing w:after="0"/>
        <w:tabs>
          <w:tab w:leader="none" w:pos="5440" w:val="left"/>
          <w:tab w:leader="none" w:pos="982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560" w:type="dxa"/>
            <w:vAlign w:val="bottom"/>
            <w:vMerge w:val="restart"/>
          </w:tcPr>
          <w:p>
            <w:pPr>
              <w:jc w:val="right"/>
              <w:ind w:right="256"/>
              <w:spacing w:after="0"/>
              <w:rPr>
                <w:sz w:val="20"/>
                <w:szCs w:val="20"/>
                <w:color w:val="auto"/>
              </w:rPr>
            </w:pPr>
            <w:r>
              <w:rPr>
                <w:rFonts w:ascii="Arial" w:cs="Arial" w:eastAsia="Arial" w:hAnsi="Arial"/>
                <w:sz w:val="29"/>
                <w:szCs w:val="29"/>
                <w:b w:val="1"/>
                <w:bCs w:val="1"/>
                <w:color w:val="auto"/>
                <w:w w:val="86"/>
              </w:rPr>
              <w:t>1</w:t>
            </w:r>
          </w:p>
        </w:tc>
        <w:tc>
          <w:tcPr>
            <w:tcW w:w="2740" w:type="dxa"/>
            <w:vAlign w:val="bottom"/>
          </w:tcPr>
          <w:p>
            <w:pPr>
              <w:ind w:left="42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Robert Atchinson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72"/>
        <w:spacing w:after="0" w:line="182" w:lineRule="auto"/>
        <w:tabs>
          <w:tab w:leader="none" w:pos="1700" w:val="left"/>
        </w:tabs>
        <w:numPr>
          <w:ilvl w:val="0"/>
          <w:numId w:val="11"/>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72"/>
        <w:spacing w:after="0"/>
        <w:tabs>
          <w:tab w:leader="none" w:pos="1700" w:val="left"/>
        </w:tabs>
        <w:numPr>
          <w:ilvl w:val="0"/>
          <w:numId w:val="12"/>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4</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6500" w:type="dxa"/>
            <w:vAlign w:val="bottom"/>
            <w:gridSpan w:val="3"/>
            <w:vMerge w:val="restart"/>
          </w:tcPr>
          <w:p>
            <w:pPr>
              <w:ind w:left="48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65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9"/>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7"/>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2"/>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20" w:type="dxa"/>
            <w:vAlign w:val="bottom"/>
            <w:vMerge w:val="continue"/>
          </w:tcPr>
          <w:p>
            <w:pPr>
              <w:spacing w:after="0"/>
              <w:rPr>
                <w:sz w:val="20"/>
                <w:szCs w:val="20"/>
                <w:color w:val="auto"/>
              </w:rPr>
            </w:pP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w w:val="87"/>
              </w:rPr>
              <w:t>1,162,624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10</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w w:val="96"/>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11</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5.24%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12</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61" w:hanging="261"/>
        <w:spacing w:after="0" w:line="281" w:lineRule="exact"/>
        <w:tabs>
          <w:tab w:leader="none" w:pos="261" w:val="left"/>
        </w:tabs>
        <w:numPr>
          <w:ilvl w:val="0"/>
          <w:numId w:val="13"/>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204" w:lineRule="exact"/>
        <w:rPr>
          <w:rFonts w:ascii="Arial" w:cs="Arial" w:eastAsia="Arial" w:hAnsi="Arial"/>
          <w:sz w:val="19"/>
          <w:szCs w:val="19"/>
          <w:color w:val="auto"/>
        </w:rPr>
      </w:pPr>
    </w:p>
    <w:p>
      <w:pPr>
        <w:ind w:left="281" w:hanging="281"/>
        <w:spacing w:after="0" w:line="262" w:lineRule="exact"/>
        <w:tabs>
          <w:tab w:leader="none" w:pos="281"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1"/>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9" w:space="720"/>
            <w:col w:w="1021"/>
          </w:cols>
          <w:pgMar w:left="320" w:top="472" w:right="339" w:bottom="1440" w:gutter="0" w:footer="0" w:header="0"/>
          <w:type w:val="continuous"/>
        </w:sectPr>
      </w:pPr>
    </w:p>
    <w:bookmarkStart w:id="5" w:name="page6"/>
    <w:bookmarkEnd w:id="5"/>
    <w:p>
      <w:pPr>
        <w:spacing w:after="0"/>
        <w:tabs>
          <w:tab w:leader="none" w:pos="5440" w:val="left"/>
          <w:tab w:leader="none" w:pos="982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560" w:type="dxa"/>
            <w:vAlign w:val="bottom"/>
            <w:vMerge w:val="restart"/>
          </w:tcPr>
          <w:p>
            <w:pPr>
              <w:jc w:val="right"/>
              <w:ind w:right="256"/>
              <w:spacing w:after="0"/>
              <w:rPr>
                <w:sz w:val="20"/>
                <w:szCs w:val="20"/>
                <w:color w:val="auto"/>
              </w:rPr>
            </w:pPr>
            <w:r>
              <w:rPr>
                <w:rFonts w:ascii="Arial" w:cs="Arial" w:eastAsia="Arial" w:hAnsi="Arial"/>
                <w:sz w:val="29"/>
                <w:szCs w:val="29"/>
                <w:b w:val="1"/>
                <w:bCs w:val="1"/>
                <w:color w:val="auto"/>
                <w:w w:val="86"/>
              </w:rPr>
              <w:t>1</w:t>
            </w:r>
          </w:p>
        </w:tc>
        <w:tc>
          <w:tcPr>
            <w:tcW w:w="2740" w:type="dxa"/>
            <w:vAlign w:val="bottom"/>
          </w:tcPr>
          <w:p>
            <w:pPr>
              <w:ind w:left="42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Phillip Gross</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72"/>
        <w:spacing w:after="0" w:line="182" w:lineRule="auto"/>
        <w:tabs>
          <w:tab w:leader="none" w:pos="1700" w:val="left"/>
        </w:tabs>
        <w:numPr>
          <w:ilvl w:val="0"/>
          <w:numId w:val="14"/>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72"/>
        <w:spacing w:after="0"/>
        <w:tabs>
          <w:tab w:leader="none" w:pos="1700" w:val="left"/>
        </w:tabs>
        <w:numPr>
          <w:ilvl w:val="0"/>
          <w:numId w:val="15"/>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4</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6500" w:type="dxa"/>
            <w:vAlign w:val="bottom"/>
            <w:gridSpan w:val="3"/>
            <w:vMerge w:val="restart"/>
          </w:tcPr>
          <w:p>
            <w:pPr>
              <w:ind w:left="48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65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9"/>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7"/>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20" w:type="dxa"/>
            <w:vAlign w:val="bottom"/>
            <w:vMerge w:val="restart"/>
          </w:tcPr>
          <w:p>
            <w:pPr>
              <w:jc w:val="center"/>
              <w:ind w:right="5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2"/>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20" w:type="dxa"/>
            <w:vAlign w:val="bottom"/>
          </w:tcPr>
          <w:p>
            <w:pPr>
              <w:jc w:val="center"/>
              <w:ind w:right="5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00" w:type="dxa"/>
            <w:vAlign w:val="bottom"/>
            <w:vMerge w:val="restart"/>
          </w:tcPr>
          <w:p>
            <w:pPr>
              <w:ind w:left="420"/>
              <w:spacing w:after="0"/>
              <w:rPr>
                <w:sz w:val="20"/>
                <w:szCs w:val="20"/>
                <w:color w:val="auto"/>
              </w:rPr>
            </w:pPr>
            <w:r>
              <w:rPr>
                <w:rFonts w:ascii="Arial" w:cs="Arial" w:eastAsia="Arial" w:hAnsi="Arial"/>
                <w:sz w:val="20"/>
                <w:szCs w:val="20"/>
                <w:color w:val="auto"/>
              </w:rPr>
              <w:t>1,162,624</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98"/>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20" w:type="dxa"/>
            <w:vAlign w:val="bottom"/>
            <w:vMerge w:val="continue"/>
          </w:tcPr>
          <w:p>
            <w:pPr>
              <w:spacing w:after="0"/>
              <w:rPr>
                <w:sz w:val="20"/>
                <w:szCs w:val="20"/>
                <w:color w:val="auto"/>
              </w:rPr>
            </w:pP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w w:val="87"/>
              </w:rPr>
              <w:t>1,162,624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10</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w w:val="96"/>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11</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5.24%</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2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12</w:t>
            </w:r>
          </w:p>
        </w:tc>
        <w:tc>
          <w:tcPr>
            <w:tcW w:w="650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1" w:hanging="261"/>
        <w:spacing w:after="0" w:line="281" w:lineRule="exact"/>
        <w:tabs>
          <w:tab w:leader="none" w:pos="261" w:val="left"/>
        </w:tabs>
        <w:numPr>
          <w:ilvl w:val="0"/>
          <w:numId w:val="16"/>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204" w:lineRule="exact"/>
        <w:rPr>
          <w:rFonts w:ascii="Arial" w:cs="Arial" w:eastAsia="Arial" w:hAnsi="Arial"/>
          <w:sz w:val="19"/>
          <w:szCs w:val="19"/>
          <w:color w:val="auto"/>
        </w:rPr>
      </w:pPr>
    </w:p>
    <w:p>
      <w:pPr>
        <w:ind w:left="281" w:hanging="281"/>
        <w:spacing w:after="0" w:line="262" w:lineRule="exact"/>
        <w:tabs>
          <w:tab w:leader="none" w:pos="281"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1"/>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9" w:space="720"/>
            <w:col w:w="1021"/>
          </w:cols>
          <w:pgMar w:left="320" w:top="472" w:right="339" w:bottom="1440" w:gutter="0" w:footer="0" w:header="0"/>
          <w:type w:val="continuous"/>
        </w:sectPr>
      </w:pPr>
    </w:p>
    <w:bookmarkStart w:id="6" w:name="page7"/>
    <w:bookmarkEnd w:id="6"/>
    <w:p>
      <w:pPr>
        <w:spacing w:after="0"/>
        <w:tabs>
          <w:tab w:leader="none" w:pos="5440" w:val="left"/>
          <w:tab w:leader="none" w:pos="982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11 Pages</w:t>
      </w:r>
    </w:p>
    <w:p>
      <w:pPr>
        <w:sectPr>
          <w:pgSz w:w="11900" w:h="16838" w:orient="portrait"/>
          <w:cols w:equalWidth="0" w:num="1">
            <w:col w:w="11240"/>
          </w:cols>
          <w:pgMar w:left="320" w:top="472" w:right="3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1(a).</w:t>
            </w:r>
          </w:p>
        </w:tc>
        <w:tc>
          <w:tcPr>
            <w:tcW w:w="9760" w:type="dxa"/>
            <w:vAlign w:val="bottom"/>
            <w:gridSpan w:val="18"/>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60" w:type="dxa"/>
            <w:vAlign w:val="bottom"/>
          </w:tcPr>
          <w:p>
            <w:pPr>
              <w:spacing w:after="0"/>
              <w:rPr>
                <w:sz w:val="17"/>
                <w:szCs w:val="17"/>
                <w:color w:val="auto"/>
              </w:rPr>
            </w:pPr>
          </w:p>
        </w:tc>
        <w:tc>
          <w:tcPr>
            <w:tcW w:w="9760" w:type="dxa"/>
            <w:vAlign w:val="bottom"/>
            <w:gridSpan w:val="18"/>
          </w:tcPr>
          <w:p>
            <w:pPr>
              <w:ind w:left="440"/>
              <w:spacing w:after="0" w:line="206" w:lineRule="exact"/>
              <w:rPr>
                <w:sz w:val="20"/>
                <w:szCs w:val="20"/>
                <w:color w:val="auto"/>
              </w:rPr>
            </w:pPr>
            <w:r>
              <w:rPr>
                <w:rFonts w:ascii="Arial" w:cs="Arial" w:eastAsia="Arial" w:hAnsi="Arial"/>
                <w:sz w:val="20"/>
                <w:szCs w:val="20"/>
                <w:color w:val="auto"/>
              </w:rPr>
              <w:t>The name of the issuer is Disc Medicine, Inc. (the “Company”).</w:t>
            </w:r>
          </w:p>
        </w:tc>
      </w:tr>
      <w:tr>
        <w:trPr>
          <w:trHeight w:val="20"/>
        </w:trPr>
        <w:tc>
          <w:tcPr>
            <w:tcW w:w="1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3"/>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1(b).</w:t>
            </w:r>
          </w:p>
        </w:tc>
        <w:tc>
          <w:tcPr>
            <w:tcW w:w="9760" w:type="dxa"/>
            <w:vAlign w:val="bottom"/>
            <w:gridSpan w:val="18"/>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29"/>
        </w:trPr>
        <w:tc>
          <w:tcPr>
            <w:tcW w:w="1260" w:type="dxa"/>
            <w:vAlign w:val="bottom"/>
          </w:tcPr>
          <w:p>
            <w:pPr>
              <w:spacing w:after="0"/>
              <w:rPr>
                <w:sz w:val="19"/>
                <w:szCs w:val="19"/>
                <w:color w:val="auto"/>
              </w:rPr>
            </w:pPr>
          </w:p>
        </w:tc>
        <w:tc>
          <w:tcPr>
            <w:tcW w:w="9760" w:type="dxa"/>
            <w:vAlign w:val="bottom"/>
            <w:gridSpan w:val="18"/>
          </w:tcPr>
          <w:p>
            <w:pPr>
              <w:ind w:left="440"/>
              <w:spacing w:after="0"/>
              <w:rPr>
                <w:sz w:val="20"/>
                <w:szCs w:val="20"/>
                <w:color w:val="auto"/>
              </w:rPr>
            </w:pPr>
            <w:r>
              <w:rPr>
                <w:rFonts w:ascii="Arial" w:cs="Arial" w:eastAsia="Arial" w:hAnsi="Arial"/>
                <w:sz w:val="20"/>
                <w:szCs w:val="20"/>
                <w:color w:val="auto"/>
                <w:w w:val="91"/>
              </w:rPr>
              <w:t>The Company’s principal executive offices are located at 321 Arsenal Street, Suite 101, Watertown, Massachusetts</w:t>
            </w:r>
          </w:p>
        </w:tc>
      </w:tr>
      <w:tr>
        <w:trPr>
          <w:trHeight w:val="250"/>
        </w:trPr>
        <w:tc>
          <w:tcPr>
            <w:tcW w:w="1260" w:type="dxa"/>
            <w:vAlign w:val="bottom"/>
          </w:tcPr>
          <w:p>
            <w:pPr>
              <w:spacing w:after="0"/>
              <w:rPr>
                <w:sz w:val="21"/>
                <w:szCs w:val="21"/>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02472.</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438"/>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2(a).</w:t>
            </w:r>
          </w:p>
        </w:tc>
        <w:tc>
          <w:tcPr>
            <w:tcW w:w="9760" w:type="dxa"/>
            <w:vAlign w:val="bottom"/>
            <w:gridSpan w:val="18"/>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60" w:type="dxa"/>
            <w:vAlign w:val="bottom"/>
          </w:tcPr>
          <w:p>
            <w:pPr>
              <w:spacing w:after="0"/>
              <w:rPr>
                <w:sz w:val="21"/>
                <w:szCs w:val="21"/>
                <w:color w:val="auto"/>
              </w:rPr>
            </w:pPr>
          </w:p>
        </w:tc>
        <w:tc>
          <w:tcPr>
            <w:tcW w:w="9760" w:type="dxa"/>
            <w:vAlign w:val="bottom"/>
            <w:gridSpan w:val="18"/>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w:t>
            </w:r>
          </w:p>
        </w:tc>
        <w:tc>
          <w:tcPr>
            <w:tcW w:w="8660" w:type="dxa"/>
            <w:vAlign w:val="bottom"/>
            <w:gridSpan w:val="17"/>
          </w:tcPr>
          <w:p>
            <w:pPr>
              <w:ind w:left="120"/>
              <w:spacing w:after="0"/>
              <w:rPr>
                <w:sz w:val="20"/>
                <w:szCs w:val="20"/>
                <w:color w:val="auto"/>
              </w:rPr>
            </w:pPr>
            <w:r>
              <w:rPr>
                <w:rFonts w:ascii="Arial" w:cs="Arial" w:eastAsia="Arial" w:hAnsi="Arial"/>
                <w:sz w:val="20"/>
                <w:szCs w:val="20"/>
                <w:color w:val="auto"/>
                <w:w w:val="92"/>
              </w:rPr>
              <w:t>Adage Capital Partners, L.P., a Delaware limited partnership (“ACP”) with respect to the Common Stock</w:t>
            </w: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0" w:type="dxa"/>
            <w:vAlign w:val="bottom"/>
            <w:gridSpan w:val="10"/>
          </w:tcPr>
          <w:p>
            <w:pPr>
              <w:ind w:left="120"/>
              <w:spacing w:after="0"/>
              <w:rPr>
                <w:sz w:val="20"/>
                <w:szCs w:val="20"/>
                <w:color w:val="auto"/>
              </w:rPr>
            </w:pPr>
            <w:r>
              <w:rPr>
                <w:rFonts w:ascii="Arial" w:cs="Arial" w:eastAsia="Arial" w:hAnsi="Arial"/>
                <w:sz w:val="20"/>
                <w:szCs w:val="20"/>
                <w:color w:val="auto"/>
              </w:rPr>
              <w:t>directly owned by it;</w:t>
            </w:r>
          </w:p>
        </w:tc>
        <w:tc>
          <w:tcPr>
            <w:tcW w:w="380" w:type="dxa"/>
            <w:vAlign w:val="bottom"/>
            <w:tcBorders>
              <w:top w:val="single" w:sz="8" w:color="auto"/>
            </w:tcBorders>
          </w:tcPr>
          <w:p>
            <w:pPr>
              <w:spacing w:after="0"/>
              <w:rPr>
                <w:sz w:val="22"/>
                <w:szCs w:val="22"/>
                <w:color w:val="auto"/>
              </w:rPr>
            </w:pPr>
          </w:p>
        </w:tc>
        <w:tc>
          <w:tcPr>
            <w:tcW w:w="3280" w:type="dxa"/>
            <w:vAlign w:val="bottom"/>
            <w:gridSpan w:val="6"/>
          </w:tcPr>
          <w:p>
            <w:pPr>
              <w:spacing w:after="0"/>
              <w:rPr>
                <w:sz w:val="22"/>
                <w:szCs w:val="22"/>
                <w:color w:val="auto"/>
              </w:rPr>
            </w:pPr>
          </w:p>
        </w:tc>
      </w:tr>
      <w:tr>
        <w:trPr>
          <w:trHeight w:val="438"/>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(ii)</w:t>
            </w:r>
          </w:p>
        </w:tc>
        <w:tc>
          <w:tcPr>
            <w:tcW w:w="8660" w:type="dxa"/>
            <w:vAlign w:val="bottom"/>
            <w:gridSpan w:val="17"/>
          </w:tcPr>
          <w:p>
            <w:pPr>
              <w:ind w:left="120"/>
              <w:spacing w:after="0"/>
              <w:rPr>
                <w:sz w:val="20"/>
                <w:szCs w:val="20"/>
                <w:color w:val="auto"/>
              </w:rPr>
            </w:pPr>
            <w:r>
              <w:rPr>
                <w:rFonts w:ascii="Arial" w:cs="Arial" w:eastAsia="Arial" w:hAnsi="Arial"/>
                <w:sz w:val="20"/>
                <w:szCs w:val="20"/>
                <w:color w:val="auto"/>
                <w:w w:val="94"/>
              </w:rPr>
              <w:t>Adage Capital Partners GP,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60" w:type="dxa"/>
            <w:vAlign w:val="bottom"/>
            <w:gridSpan w:val="17"/>
          </w:tcPr>
          <w:p>
            <w:pPr>
              <w:ind w:left="120"/>
              <w:spacing w:after="0" w:line="206" w:lineRule="exact"/>
              <w:rPr>
                <w:sz w:val="20"/>
                <w:szCs w:val="20"/>
                <w:color w:val="auto"/>
              </w:rPr>
            </w:pPr>
            <w:r>
              <w:rPr>
                <w:rFonts w:ascii="Arial" w:cs="Arial" w:eastAsia="Arial" w:hAnsi="Arial"/>
                <w:sz w:val="20"/>
                <w:szCs w:val="20"/>
                <w:color w:val="auto"/>
                <w:w w:val="89"/>
              </w:rPr>
              <w:t>Delaware (“ACPGP”), as general partner of ACP with respect to the Common Stock directly owned by ACP;</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(iii)</w:t>
            </w:r>
          </w:p>
        </w:tc>
        <w:tc>
          <w:tcPr>
            <w:tcW w:w="8660" w:type="dxa"/>
            <w:vAlign w:val="bottom"/>
            <w:gridSpan w:val="17"/>
          </w:tcPr>
          <w:p>
            <w:pPr>
              <w:ind w:left="120"/>
              <w:spacing w:after="0"/>
              <w:rPr>
                <w:sz w:val="20"/>
                <w:szCs w:val="20"/>
                <w:color w:val="auto"/>
              </w:rPr>
            </w:pPr>
            <w:r>
              <w:rPr>
                <w:rFonts w:ascii="Arial" w:cs="Arial" w:eastAsia="Arial" w:hAnsi="Arial"/>
                <w:sz w:val="20"/>
                <w:szCs w:val="20"/>
                <w:color w:val="auto"/>
                <w:w w:val="91"/>
              </w:rPr>
              <w:t>Adage Capital Management, L.P., a Delaware limited partnership (“ACM”), as the investment manager of</w:t>
            </w: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380" w:type="dxa"/>
            <w:vAlign w:val="bottom"/>
            <w:gridSpan w:val="11"/>
          </w:tcPr>
          <w:p>
            <w:pPr>
              <w:ind w:left="120"/>
              <w:spacing w:after="0"/>
              <w:rPr>
                <w:sz w:val="20"/>
                <w:szCs w:val="20"/>
                <w:color w:val="auto"/>
              </w:rPr>
            </w:pPr>
            <w:r>
              <w:rPr>
                <w:rFonts w:ascii="Arial" w:cs="Arial" w:eastAsia="Arial" w:hAnsi="Arial"/>
                <w:sz w:val="20"/>
                <w:szCs w:val="20"/>
                <w:color w:val="auto"/>
                <w:w w:val="92"/>
              </w:rPr>
              <w:t>ACP, with respect to the Common Stock directly owned by ACP;</w:t>
            </w:r>
          </w:p>
        </w:tc>
        <w:tc>
          <w:tcPr>
            <w:tcW w:w="440" w:type="dxa"/>
            <w:vAlign w:val="bottom"/>
            <w:tcBorders>
              <w:top w:val="single" w:sz="8" w:color="auto"/>
            </w:tcBorders>
            <w:gridSpan w:val="3"/>
          </w:tcPr>
          <w:p>
            <w:pPr>
              <w:spacing w:after="0"/>
              <w:rPr>
                <w:sz w:val="22"/>
                <w:szCs w:val="22"/>
                <w:color w:val="auto"/>
              </w:rPr>
            </w:pPr>
          </w:p>
        </w:tc>
        <w:tc>
          <w:tcPr>
            <w:tcW w:w="2840" w:type="dxa"/>
            <w:vAlign w:val="bottom"/>
            <w:gridSpan w:val="3"/>
          </w:tcPr>
          <w:p>
            <w:pPr>
              <w:spacing w:after="0"/>
              <w:rPr>
                <w:sz w:val="22"/>
                <w:szCs w:val="22"/>
                <w:color w:val="auto"/>
              </w:rPr>
            </w:pPr>
          </w:p>
        </w:tc>
      </w:tr>
      <w:tr>
        <w:trPr>
          <w:trHeight w:val="414"/>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(iv)</w:t>
            </w:r>
          </w:p>
        </w:tc>
        <w:tc>
          <w:tcPr>
            <w:tcW w:w="8660" w:type="dxa"/>
            <w:vAlign w:val="bottom"/>
            <w:gridSpan w:val="17"/>
          </w:tcPr>
          <w:p>
            <w:pPr>
              <w:ind w:left="120"/>
              <w:spacing w:after="0"/>
              <w:rPr>
                <w:sz w:val="20"/>
                <w:szCs w:val="20"/>
                <w:color w:val="auto"/>
              </w:rPr>
            </w:pPr>
            <w:r>
              <w:rPr>
                <w:rFonts w:ascii="Arial" w:cs="Arial" w:eastAsia="Arial" w:hAnsi="Arial"/>
                <w:sz w:val="20"/>
                <w:szCs w:val="20"/>
                <w:color w:val="auto"/>
                <w:w w:val="91"/>
              </w:rPr>
              <w:t>Robert Atchinson (“Mr. Atchinson”), as (1) managing member of Adage Capital Advisors, L.L.C., a limited</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gridSpan w:val="17"/>
          </w:tcPr>
          <w:p>
            <w:pPr>
              <w:ind w:left="120"/>
              <w:spacing w:after="0" w:line="209" w:lineRule="exact"/>
              <w:rPr>
                <w:sz w:val="20"/>
                <w:szCs w:val="20"/>
                <w:color w:val="auto"/>
              </w:rPr>
            </w:pPr>
            <w:r>
              <w:rPr>
                <w:rFonts w:ascii="Arial" w:cs="Arial" w:eastAsia="Arial" w:hAnsi="Arial"/>
                <w:sz w:val="20"/>
                <w:szCs w:val="20"/>
                <w:color w:val="auto"/>
                <w:w w:val="90"/>
              </w:rPr>
              <w:t>liability company organized under the laws of the State of Delaware (“ACA”), managing member of ACPGP</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gridSpan w:val="17"/>
          </w:tcPr>
          <w:p>
            <w:pPr>
              <w:ind w:left="120"/>
              <w:spacing w:after="0"/>
              <w:rPr>
                <w:sz w:val="20"/>
                <w:szCs w:val="20"/>
                <w:color w:val="auto"/>
              </w:rPr>
            </w:pPr>
            <w:r>
              <w:rPr>
                <w:rFonts w:ascii="Arial" w:cs="Arial" w:eastAsia="Arial" w:hAnsi="Arial"/>
                <w:sz w:val="20"/>
                <w:szCs w:val="20"/>
                <w:color w:val="auto"/>
              </w:rPr>
              <w:t>and (2) managing member of Adage Capital Partners LLC, a Delaware limited liability company</w:t>
            </w:r>
          </w:p>
        </w:tc>
      </w:tr>
      <w:tr>
        <w:trPr>
          <w:trHeight w:val="206"/>
        </w:trPr>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60" w:type="dxa"/>
            <w:vAlign w:val="bottom"/>
            <w:gridSpan w:val="17"/>
          </w:tcPr>
          <w:p>
            <w:pPr>
              <w:ind w:left="120"/>
              <w:spacing w:after="0" w:line="206" w:lineRule="exact"/>
              <w:rPr>
                <w:sz w:val="20"/>
                <w:szCs w:val="20"/>
                <w:color w:val="auto"/>
              </w:rPr>
            </w:pPr>
            <w:r>
              <w:rPr>
                <w:rFonts w:ascii="Arial" w:cs="Arial" w:eastAsia="Arial" w:hAnsi="Arial"/>
                <w:sz w:val="20"/>
                <w:szCs w:val="20"/>
                <w:color w:val="auto"/>
                <w:w w:val="95"/>
              </w:rPr>
              <w:t>(“ACPLLC”), general partner of ACM, with respect to the Common Stock directly owned by ACP; and</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(v)</w:t>
            </w:r>
          </w:p>
        </w:tc>
        <w:tc>
          <w:tcPr>
            <w:tcW w:w="8660" w:type="dxa"/>
            <w:vAlign w:val="bottom"/>
            <w:gridSpan w:val="17"/>
          </w:tcPr>
          <w:p>
            <w:pPr>
              <w:ind w:left="120"/>
              <w:spacing w:after="0"/>
              <w:rPr>
                <w:sz w:val="20"/>
                <w:szCs w:val="20"/>
                <w:color w:val="auto"/>
              </w:rPr>
            </w:pPr>
            <w:r>
              <w:rPr>
                <w:rFonts w:ascii="Arial" w:cs="Arial" w:eastAsia="Arial" w:hAnsi="Arial"/>
                <w:sz w:val="20"/>
                <w:szCs w:val="20"/>
                <w:color w:val="auto"/>
                <w:w w:val="96"/>
              </w:rPr>
              <w:t>Phillip Gross (“Mr. Gross”), as (1) managing member of ACA, managing member of ACPGP and (2)</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gridSpan w:val="17"/>
          </w:tcPr>
          <w:p>
            <w:pPr>
              <w:ind w:left="120"/>
              <w:spacing w:after="0"/>
              <w:rPr>
                <w:sz w:val="20"/>
                <w:szCs w:val="20"/>
                <w:color w:val="auto"/>
              </w:rPr>
            </w:pPr>
            <w:r>
              <w:rPr>
                <w:rFonts w:ascii="Arial" w:cs="Arial" w:eastAsia="Arial" w:hAnsi="Arial"/>
                <w:sz w:val="20"/>
                <w:szCs w:val="20"/>
                <w:color w:val="auto"/>
                <w:w w:val="90"/>
              </w:rPr>
              <w:t>managing member of ACPLLC, general partner of ACM, with respect to the Common Stock directly owned</w:t>
            </w:r>
          </w:p>
        </w:tc>
      </w:tr>
      <w:tr>
        <w:trPr>
          <w:trHeight w:val="250"/>
        </w:trPr>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60" w:type="dxa"/>
            <w:vAlign w:val="bottom"/>
            <w:gridSpan w:val="17"/>
          </w:tcPr>
          <w:p>
            <w:pPr>
              <w:ind w:left="120"/>
              <w:spacing w:after="0"/>
              <w:rPr>
                <w:sz w:val="20"/>
                <w:szCs w:val="20"/>
                <w:color w:val="auto"/>
              </w:rPr>
            </w:pPr>
            <w:r>
              <w:rPr>
                <w:rFonts w:ascii="Arial" w:cs="Arial" w:eastAsia="Arial" w:hAnsi="Arial"/>
                <w:sz w:val="20"/>
                <w:szCs w:val="20"/>
                <w:color w:val="auto"/>
              </w:rPr>
              <w:t>by ACP.</w:t>
            </w:r>
          </w:p>
        </w:tc>
      </w:tr>
      <w:tr>
        <w:trPr>
          <w:trHeight w:val="415"/>
        </w:trPr>
        <w:tc>
          <w:tcPr>
            <w:tcW w:w="1260" w:type="dxa"/>
            <w:vAlign w:val="bottom"/>
          </w:tcPr>
          <w:p>
            <w:pPr>
              <w:spacing w:after="0"/>
              <w:rPr>
                <w:sz w:val="24"/>
                <w:szCs w:val="24"/>
                <w:color w:val="auto"/>
              </w:rPr>
            </w:pPr>
          </w:p>
        </w:tc>
        <w:tc>
          <w:tcPr>
            <w:tcW w:w="9760" w:type="dxa"/>
            <w:vAlign w:val="bottom"/>
            <w:gridSpan w:val="18"/>
          </w:tcPr>
          <w:p>
            <w:pPr>
              <w:ind w:left="440"/>
              <w:spacing w:after="0"/>
              <w:rPr>
                <w:sz w:val="20"/>
                <w:szCs w:val="20"/>
                <w:color w:val="auto"/>
              </w:rPr>
            </w:pPr>
            <w:r>
              <w:rPr>
                <w:rFonts w:ascii="Arial" w:cs="Arial" w:eastAsia="Arial" w:hAnsi="Arial"/>
                <w:sz w:val="20"/>
                <w:szCs w:val="20"/>
                <w:color w:val="auto"/>
                <w:w w:val="8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6800" w:type="dxa"/>
            <w:vAlign w:val="bottom"/>
            <w:gridSpan w:val="14"/>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9760" w:type="dxa"/>
            <w:vAlign w:val="bottom"/>
            <w:gridSpan w:val="18"/>
          </w:tcPr>
          <w:p>
            <w:pPr>
              <w:ind w:left="440"/>
              <w:spacing w:after="0"/>
              <w:rPr>
                <w:sz w:val="20"/>
                <w:szCs w:val="20"/>
                <w:color w:val="auto"/>
              </w:rPr>
            </w:pPr>
            <w:r>
              <w:rPr>
                <w:rFonts w:ascii="Arial" w:cs="Arial" w:eastAsia="Arial" w:hAnsi="Arial"/>
                <w:sz w:val="20"/>
                <w:szCs w:val="20"/>
                <w:color w:val="auto"/>
                <w:w w:val="93"/>
              </w:rPr>
              <w:t>herein with respect to persons other than the Reporting Persons are made on information and belief after making</w:t>
            </w:r>
          </w:p>
        </w:tc>
      </w:tr>
      <w:tr>
        <w:trPr>
          <w:trHeight w:val="250"/>
        </w:trPr>
        <w:tc>
          <w:tcPr>
            <w:tcW w:w="1260" w:type="dxa"/>
            <w:vAlign w:val="bottom"/>
          </w:tcPr>
          <w:p>
            <w:pPr>
              <w:spacing w:after="0"/>
              <w:rPr>
                <w:sz w:val="21"/>
                <w:szCs w:val="21"/>
                <w:color w:val="auto"/>
              </w:rPr>
            </w:pPr>
          </w:p>
        </w:tc>
        <w:tc>
          <w:tcPr>
            <w:tcW w:w="9760" w:type="dxa"/>
            <w:vAlign w:val="bottom"/>
            <w:gridSpan w:val="18"/>
          </w:tcPr>
          <w:p>
            <w:pPr>
              <w:ind w:left="440"/>
              <w:spacing w:after="0"/>
              <w:rPr>
                <w:sz w:val="20"/>
                <w:szCs w:val="20"/>
                <w:color w:val="auto"/>
              </w:rPr>
            </w:pPr>
            <w:r>
              <w:rPr>
                <w:rFonts w:ascii="Arial" w:cs="Arial" w:eastAsia="Arial" w:hAnsi="Arial"/>
                <w:sz w:val="20"/>
                <w:szCs w:val="20"/>
                <w:color w:val="auto"/>
              </w:rPr>
              <w:t>inquiry to the appropriate party.</w:t>
            </w:r>
          </w:p>
        </w:tc>
      </w:tr>
      <w:tr>
        <w:trPr>
          <w:trHeight w:val="438"/>
        </w:trPr>
        <w:tc>
          <w:tcPr>
            <w:tcW w:w="1260" w:type="dxa"/>
            <w:vAlign w:val="bottom"/>
          </w:tcPr>
          <w:p>
            <w:pPr>
              <w:spacing w:after="0"/>
              <w:rPr>
                <w:sz w:val="24"/>
                <w:szCs w:val="24"/>
                <w:color w:val="auto"/>
              </w:rPr>
            </w:pPr>
          </w:p>
        </w:tc>
        <w:tc>
          <w:tcPr>
            <w:tcW w:w="9760" w:type="dxa"/>
            <w:vAlign w:val="bottom"/>
            <w:gridSpan w:val="18"/>
          </w:tcPr>
          <w:p>
            <w:pPr>
              <w:ind w:left="440"/>
              <w:spacing w:after="0"/>
              <w:rPr>
                <w:sz w:val="20"/>
                <w:szCs w:val="20"/>
                <w:color w:val="auto"/>
              </w:rPr>
            </w:pPr>
            <w:r>
              <w:rPr>
                <w:rFonts w:ascii="Arial" w:cs="Arial" w:eastAsia="Arial" w:hAnsi="Arial"/>
                <w:sz w:val="20"/>
                <w:szCs w:val="20"/>
                <w:color w:val="auto"/>
                <w:w w:val="92"/>
              </w:rPr>
              <w:t>The filing of this statement should not be construed in and of itself as an admission by any Reporting Person as to</w:t>
            </w:r>
          </w:p>
        </w:tc>
      </w:tr>
      <w:tr>
        <w:trPr>
          <w:trHeight w:val="250"/>
        </w:trPr>
        <w:tc>
          <w:tcPr>
            <w:tcW w:w="1260" w:type="dxa"/>
            <w:vAlign w:val="bottom"/>
          </w:tcPr>
          <w:p>
            <w:pPr>
              <w:spacing w:after="0"/>
              <w:rPr>
                <w:sz w:val="21"/>
                <w:szCs w:val="21"/>
                <w:color w:val="auto"/>
              </w:rPr>
            </w:pPr>
          </w:p>
        </w:tc>
        <w:tc>
          <w:tcPr>
            <w:tcW w:w="9760" w:type="dxa"/>
            <w:vAlign w:val="bottom"/>
            <w:gridSpan w:val="18"/>
          </w:tcPr>
          <w:p>
            <w:pPr>
              <w:ind w:left="44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60" w:type="dxa"/>
            <w:vAlign w:val="bottom"/>
            <w:gridSpan w:val="18"/>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760" w:type="dxa"/>
            <w:vAlign w:val="bottom"/>
            <w:gridSpan w:val="18"/>
          </w:tcPr>
          <w:p>
            <w:pPr>
              <w:ind w:left="420"/>
              <w:spacing w:after="0"/>
              <w:rPr>
                <w:sz w:val="20"/>
                <w:szCs w:val="20"/>
                <w:color w:val="auto"/>
              </w:rPr>
            </w:pPr>
            <w:r>
              <w:rPr>
                <w:rFonts w:ascii="Arial" w:cs="Arial" w:eastAsia="Arial" w:hAnsi="Arial"/>
                <w:sz w:val="20"/>
                <w:szCs w:val="20"/>
                <w:color w:val="auto"/>
                <w:w w:val="92"/>
              </w:rPr>
              <w:t>The address of the business office of each of the Reporting Persons is 200 Clarendon Street, 52nd Floor, Boston,</w:t>
            </w:r>
          </w:p>
        </w:tc>
      </w:tr>
      <w:tr>
        <w:trPr>
          <w:trHeight w:val="250"/>
        </w:trPr>
        <w:tc>
          <w:tcPr>
            <w:tcW w:w="1260" w:type="dxa"/>
            <w:vAlign w:val="bottom"/>
          </w:tcPr>
          <w:p>
            <w:pPr>
              <w:spacing w:after="0"/>
              <w:rPr>
                <w:sz w:val="21"/>
                <w:szCs w:val="21"/>
                <w:color w:val="auto"/>
              </w:rPr>
            </w:pPr>
          </w:p>
        </w:tc>
        <w:tc>
          <w:tcPr>
            <w:tcW w:w="9760" w:type="dxa"/>
            <w:vAlign w:val="bottom"/>
            <w:gridSpan w:val="18"/>
          </w:tcPr>
          <w:p>
            <w:pPr>
              <w:ind w:left="420"/>
              <w:spacing w:after="0"/>
              <w:rPr>
                <w:sz w:val="20"/>
                <w:szCs w:val="20"/>
                <w:color w:val="auto"/>
              </w:rPr>
            </w:pPr>
            <w:r>
              <w:rPr>
                <w:rFonts w:ascii="Arial" w:cs="Arial" w:eastAsia="Arial" w:hAnsi="Arial"/>
                <w:sz w:val="20"/>
                <w:szCs w:val="20"/>
                <w:color w:val="auto"/>
              </w:rPr>
              <w:t>Massachusetts 02116.</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60" w:type="dxa"/>
            <w:vAlign w:val="bottom"/>
            <w:gridSpan w:val="18"/>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230"/>
        </w:trPr>
        <w:tc>
          <w:tcPr>
            <w:tcW w:w="1260" w:type="dxa"/>
            <w:vAlign w:val="bottom"/>
          </w:tcPr>
          <w:p>
            <w:pPr>
              <w:spacing w:after="0"/>
              <w:rPr>
                <w:sz w:val="19"/>
                <w:szCs w:val="19"/>
                <w:color w:val="auto"/>
              </w:rPr>
            </w:pPr>
          </w:p>
        </w:tc>
        <w:tc>
          <w:tcPr>
            <w:tcW w:w="9760" w:type="dxa"/>
            <w:vAlign w:val="bottom"/>
            <w:gridSpan w:val="18"/>
          </w:tcPr>
          <w:p>
            <w:pPr>
              <w:ind w:left="420"/>
              <w:spacing w:after="0"/>
              <w:rPr>
                <w:sz w:val="20"/>
                <w:szCs w:val="20"/>
                <w:color w:val="auto"/>
              </w:rPr>
            </w:pPr>
            <w:r>
              <w:rPr>
                <w:rFonts w:ascii="Arial" w:cs="Arial" w:eastAsia="Arial" w:hAnsi="Arial"/>
                <w:sz w:val="20"/>
                <w:szCs w:val="20"/>
                <w:color w:val="auto"/>
                <w:w w:val="97"/>
              </w:rPr>
              <w:t>ACP is a limited partnership organized under the laws of the State of Delaware. ACPGP and ACA are limited</w:t>
            </w:r>
          </w:p>
        </w:tc>
      </w:tr>
      <w:tr>
        <w:trPr>
          <w:trHeight w:val="230"/>
        </w:trPr>
        <w:tc>
          <w:tcPr>
            <w:tcW w:w="1260" w:type="dxa"/>
            <w:vAlign w:val="bottom"/>
          </w:tcPr>
          <w:p>
            <w:pPr>
              <w:spacing w:after="0"/>
              <w:rPr>
                <w:sz w:val="19"/>
                <w:szCs w:val="19"/>
                <w:color w:val="auto"/>
              </w:rPr>
            </w:pPr>
          </w:p>
        </w:tc>
        <w:tc>
          <w:tcPr>
            <w:tcW w:w="9760" w:type="dxa"/>
            <w:vAlign w:val="bottom"/>
            <w:gridSpan w:val="18"/>
          </w:tcPr>
          <w:p>
            <w:pPr>
              <w:ind w:left="420"/>
              <w:spacing w:after="0"/>
              <w:rPr>
                <w:sz w:val="20"/>
                <w:szCs w:val="20"/>
                <w:color w:val="auto"/>
              </w:rPr>
            </w:pPr>
            <w:r>
              <w:rPr>
                <w:rFonts w:ascii="Arial" w:cs="Arial" w:eastAsia="Arial" w:hAnsi="Arial"/>
                <w:sz w:val="20"/>
                <w:szCs w:val="20"/>
                <w:color w:val="auto"/>
                <w:w w:val="92"/>
              </w:rPr>
              <w:t>liability companies organized under the laws of the State of Delaware. Messrs. Gross and Atchinson are citizens of</w:t>
            </w:r>
          </w:p>
        </w:tc>
      </w:tr>
      <w:tr>
        <w:trPr>
          <w:trHeight w:val="250"/>
        </w:trPr>
        <w:tc>
          <w:tcPr>
            <w:tcW w:w="1260" w:type="dxa"/>
            <w:vAlign w:val="bottom"/>
          </w:tcPr>
          <w:p>
            <w:pPr>
              <w:spacing w:after="0"/>
              <w:rPr>
                <w:sz w:val="21"/>
                <w:szCs w:val="21"/>
                <w:color w:val="auto"/>
              </w:rPr>
            </w:pPr>
          </w:p>
        </w:tc>
        <w:tc>
          <w:tcPr>
            <w:tcW w:w="9760" w:type="dxa"/>
            <w:vAlign w:val="bottom"/>
            <w:gridSpan w:val="18"/>
          </w:tcPr>
          <w:p>
            <w:pPr>
              <w:ind w:left="420"/>
              <w:spacing w:after="0"/>
              <w:rPr>
                <w:sz w:val="20"/>
                <w:szCs w:val="20"/>
                <w:color w:val="auto"/>
              </w:rPr>
            </w:pPr>
            <w:r>
              <w:rPr>
                <w:rFonts w:ascii="Arial" w:cs="Arial" w:eastAsia="Arial" w:hAnsi="Arial"/>
                <w:sz w:val="20"/>
                <w:szCs w:val="20"/>
                <w:color w:val="auto"/>
              </w:rPr>
              <w:t>the United States.</w:t>
            </w:r>
          </w:p>
        </w:tc>
      </w:tr>
    </w:tbl>
    <w:p>
      <w:pPr>
        <w:sectPr>
          <w:pgSz w:w="11900" w:h="16838" w:orient="portrait"/>
          <w:cols w:equalWidth="0" w:num="1">
            <w:col w:w="11240"/>
          </w:cols>
          <w:pgMar w:left="320" w:top="472" w:right="339" w:bottom="1440" w:gutter="0" w:footer="0" w:header="0"/>
          <w:type w:val="continuous"/>
        </w:sectPr>
      </w:pPr>
    </w:p>
    <w:bookmarkStart w:id="7" w:name="page8"/>
    <w:bookmarkEnd w:id="7"/>
    <w:p>
      <w:pPr>
        <w:spacing w:after="0"/>
        <w:tabs>
          <w:tab w:leader="none" w:pos="5440" w:val="left"/>
          <w:tab w:leader="none" w:pos="982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240"/>
          </w:cols>
          <w:pgMar w:left="320" w:top="472" w:right="339" w:bottom="1440" w:gutter="0" w:footer="0" w:header="0"/>
        </w:sectPr>
      </w:pP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60" w:type="dxa"/>
            <w:vAlign w:val="bottom"/>
            <w:gridSpan w:val="5"/>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760" w:type="dxa"/>
            <w:vAlign w:val="bottom"/>
            <w:gridSpan w:val="5"/>
          </w:tcPr>
          <w:p>
            <w:pPr>
              <w:ind w:left="420"/>
              <w:spacing w:after="0" w:line="206" w:lineRule="exact"/>
              <w:rPr>
                <w:sz w:val="20"/>
                <w:szCs w:val="20"/>
                <w:color w:val="auto"/>
              </w:rPr>
            </w:pPr>
            <w:r>
              <w:rPr>
                <w:rFonts w:ascii="Arial" w:cs="Arial" w:eastAsia="Arial" w:hAnsi="Arial"/>
                <w:sz w:val="20"/>
                <w:szCs w:val="20"/>
                <w:color w:val="auto"/>
              </w:rPr>
              <w:t>Common Stock, par value $0.0001 per share (the “Common Stock”).</w:t>
            </w:r>
          </w:p>
        </w:tc>
      </w:tr>
      <w:tr>
        <w:trPr>
          <w:trHeight w:val="46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360" w:type="dxa"/>
            <w:vAlign w:val="bottom"/>
            <w:gridSpan w:val="3"/>
          </w:tcPr>
          <w:p>
            <w:pPr>
              <w:ind w:left="42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1500" w:type="dxa"/>
            <w:vAlign w:val="bottom"/>
            <w:gridSpan w:val="2"/>
          </w:tcPr>
          <w:p>
            <w:pPr>
              <w:ind w:left="420"/>
              <w:spacing w:after="0"/>
              <w:rPr>
                <w:sz w:val="20"/>
                <w:szCs w:val="20"/>
                <w:color w:val="auto"/>
              </w:rPr>
            </w:pPr>
            <w:r>
              <w:rPr>
                <w:rFonts w:ascii="Arial" w:cs="Arial" w:eastAsia="Arial" w:hAnsi="Arial"/>
                <w:sz w:val="20"/>
                <w:szCs w:val="20"/>
                <w:color w:val="auto"/>
              </w:rPr>
              <w:t>254604101</w:t>
            </w:r>
          </w:p>
        </w:tc>
        <w:tc>
          <w:tcPr>
            <w:tcW w:w="2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160" w:type="dxa"/>
            <w:vAlign w:val="bottom"/>
          </w:tcPr>
          <w:p>
            <w:pPr>
              <w:spacing w:after="0"/>
              <w:rPr>
                <w:sz w:val="21"/>
                <w:szCs w:val="2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60" w:type="dxa"/>
            <w:vAlign w:val="bottom"/>
            <w:gridSpan w:val="5"/>
          </w:tcPr>
          <w:p>
            <w:pPr>
              <w:ind w:left="420"/>
              <w:spacing w:after="0"/>
              <w:rPr>
                <w:sz w:val="20"/>
                <w:szCs w:val="20"/>
                <w:color w:val="auto"/>
              </w:rPr>
            </w:pPr>
            <w:r>
              <w:rPr>
                <w:rFonts w:ascii="Arial" w:cs="Arial" w:eastAsia="Arial" w:hAnsi="Arial"/>
                <w:sz w:val="20"/>
                <w:szCs w:val="20"/>
                <w:b w:val="1"/>
                <w:bCs w:val="1"/>
                <w:color w:val="auto"/>
                <w:w w:val="97"/>
              </w:rPr>
              <w:t>IF THIS STATEMENT IS FILED PURSUANT TO Rules 13d-1(b), OR 13d-2(b) OR (c), CHECK WHETHER</w:t>
            </w:r>
          </w:p>
        </w:tc>
      </w:tr>
      <w:tr>
        <w:trPr>
          <w:trHeight w:val="198"/>
        </w:trPr>
        <w:tc>
          <w:tcPr>
            <w:tcW w:w="1260" w:type="dxa"/>
            <w:vAlign w:val="bottom"/>
          </w:tcPr>
          <w:p>
            <w:pPr>
              <w:spacing w:after="0"/>
              <w:rPr>
                <w:sz w:val="17"/>
                <w:szCs w:val="17"/>
                <w:color w:val="auto"/>
              </w:rPr>
            </w:pPr>
          </w:p>
        </w:tc>
        <w:tc>
          <w:tcPr>
            <w:tcW w:w="9760" w:type="dxa"/>
            <w:vAlign w:val="bottom"/>
            <w:gridSpan w:val="5"/>
          </w:tcPr>
          <w:p>
            <w:pPr>
              <w:ind w:left="420"/>
              <w:spacing w:after="0" w:line="198" w:lineRule="exact"/>
              <w:rPr>
                <w:sz w:val="20"/>
                <w:szCs w:val="20"/>
                <w:color w:val="auto"/>
              </w:rPr>
            </w:pPr>
            <w:r>
              <w:rPr>
                <w:rFonts w:ascii="Arial" w:cs="Arial" w:eastAsia="Arial" w:hAnsi="Arial"/>
                <w:sz w:val="20"/>
                <w:szCs w:val="20"/>
                <w:b w:val="1"/>
                <w:bCs w:val="1"/>
                <w:color w:val="auto"/>
              </w:rPr>
              <w:t>THE PERSON FILING IS A:</w:t>
            </w:r>
          </w:p>
        </w:tc>
      </w:tr>
      <w:tr>
        <w:trPr>
          <w:trHeight w:val="334"/>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(a)</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8"/>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(b)</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(c)</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(d)</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(e)</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(f)</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20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(g)</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20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(h)</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393"/>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(i)</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w w:val="92"/>
              </w:rPr>
              <w:t>A church plan that is excluded from the definition of an investment company under Section 3(c)(14)</w:t>
            </w:r>
          </w:p>
        </w:tc>
      </w:tr>
      <w:tr>
        <w:trPr>
          <w:trHeight w:val="250"/>
        </w:trPr>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of the Investment Company Act;</w:t>
            </w:r>
          </w:p>
        </w:tc>
      </w:tr>
      <w:tr>
        <w:trPr>
          <w:trHeight w:val="50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(j)</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(k)</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Group, in accordance with Rule 13d-1(b)(1)(ii)(K).</w:t>
            </w:r>
          </w:p>
        </w:tc>
      </w:tr>
    </w:tbl>
    <w:p>
      <w:pPr>
        <w:spacing w:after="0" w:line="163"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pacing w:after="0" w:line="18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800" w:right="58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90" w:lineRule="exact"/>
        <w:rPr>
          <w:sz w:val="20"/>
          <w:szCs w:val="20"/>
          <w:color w:val="auto"/>
        </w:rPr>
      </w:pPr>
    </w:p>
    <w:p>
      <w:pPr>
        <w:ind w:left="1800" w:right="160"/>
        <w:spacing w:after="0" w:line="328" w:lineRule="auto"/>
        <w:rPr>
          <w:sz w:val="20"/>
          <w:szCs w:val="20"/>
          <w:color w:val="auto"/>
        </w:rPr>
      </w:pPr>
      <w:r>
        <w:rPr>
          <w:rFonts w:ascii="Arial" w:cs="Arial" w:eastAsia="Arial" w:hAnsi="Arial"/>
          <w:sz w:val="16"/>
          <w:szCs w:val="16"/>
          <w:color w:val="auto"/>
        </w:rPr>
        <w:t>The percentage set forth in this Schedule 13G is calculated based upon 22,171,161 shares of Common Stock reported to be outstanding in the Company’s Prospectus filed pursuant to Rule 424(b)(5) with the Securities and Exchange Commission on June 15, 2023, and in the Company's Current Report on Form 8-K filed with the Securities and Exchange Commission on June 16, 2023, after giving effect to the completion of the offering, as described therein.</w:t>
      </w:r>
    </w:p>
    <w:p>
      <w:pPr>
        <w:sectPr>
          <w:pgSz w:w="11900" w:h="16838" w:orient="portrait"/>
          <w:cols w:equalWidth="0" w:num="1">
            <w:col w:w="11240"/>
          </w:cols>
          <w:pgMar w:left="320" w:top="472" w:right="339" w:bottom="1440" w:gutter="0" w:footer="0" w:header="0"/>
          <w:type w:val="continuous"/>
        </w:sectPr>
      </w:pPr>
    </w:p>
    <w:bookmarkStart w:id="8" w:name="page9"/>
    <w:bookmarkEnd w:id="8"/>
    <w:p>
      <w:pPr>
        <w:spacing w:after="0"/>
        <w:tabs>
          <w:tab w:leader="none" w:pos="5440" w:val="left"/>
          <w:tab w:leader="none" w:pos="982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240"/>
          </w:cols>
          <w:pgMar w:left="320" w:top="472"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 w:leader="none" w:pos="3620" w:val="left"/>
          <w:tab w:leader="none" w:pos="4240" w:val="left"/>
          <w:tab w:leader="none" w:pos="6120" w:val="left"/>
          <w:tab w:leader="none" w:pos="6560" w:val="left"/>
          <w:tab w:leader="none" w:pos="716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right="320"/>
        <w:spacing w:after="0" w:line="244" w:lineRule="auto"/>
        <w:rPr>
          <w:sz w:val="20"/>
          <w:szCs w:val="20"/>
          <w:color w:val="auto"/>
        </w:rPr>
      </w:pPr>
      <w:r>
        <w:rPr>
          <w:rFonts w:ascii="Arial" w:cs="Arial" w:eastAsia="Arial" w:hAnsi="Arial"/>
          <w:sz w:val="20"/>
          <w:szCs w:val="20"/>
          <w:b w:val="1"/>
          <w:bCs w:val="1"/>
          <w:color w:val="auto"/>
        </w:rPr>
        <w:t xml:space="preserve">SECURITY 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80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72" w:right="339" w:bottom="1440" w:gutter="0" w:footer="0" w:header="0"/>
          <w:type w:val="continuous"/>
        </w:sectPr>
      </w:pPr>
    </w:p>
    <w:bookmarkStart w:id="9" w:name="page10"/>
    <w:bookmarkEnd w:id="9"/>
    <w:p>
      <w:pPr>
        <w:spacing w:after="0"/>
        <w:tabs>
          <w:tab w:leader="none" w:pos="5440" w:val="left"/>
          <w:tab w:leader="none" w:pos="974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11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June 30,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MANAGEMENT,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p>
      <w:pPr>
        <w:sectPr>
          <w:pgSz w:w="11900" w:h="16838" w:orient="portrait"/>
          <w:cols w:equalWidth="0" w:num="1">
            <w:col w:w="11240"/>
          </w:cols>
          <w:pgMar w:left="320" w:top="472" w:right="339" w:bottom="1440" w:gutter="0" w:footer="0" w:header="0"/>
        </w:sectPr>
      </w:pPr>
    </w:p>
    <w:bookmarkStart w:id="10" w:name="page11"/>
    <w:bookmarkEnd w:id="10"/>
    <w:p>
      <w:pPr>
        <w:spacing w:after="0"/>
        <w:tabs>
          <w:tab w:leader="none" w:pos="5440" w:val="left"/>
          <w:tab w:leader="none" w:pos="9740" w:val="left"/>
        </w:tabs>
        <w:rPr>
          <w:sz w:val="20"/>
          <w:szCs w:val="20"/>
          <w:color w:val="auto"/>
        </w:rPr>
      </w:pPr>
      <w:r>
        <w:rPr>
          <w:rFonts w:ascii="Arial" w:cs="Arial" w:eastAsia="Arial" w:hAnsi="Arial"/>
          <w:sz w:val="18"/>
          <w:szCs w:val="18"/>
          <w:b w:val="1"/>
          <w:bCs w:val="1"/>
          <w:color w:val="auto"/>
        </w:rPr>
        <w:t>CUSIP No. 254604101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11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 June 30,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MANAGEMENT,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2"/>
      <w:numFmt w:val="bullet"/>
      <w:start w:val="1"/>
    </w:lvl>
  </w:abstractNum>
  <w:abstractNum w:abstractNumId="14">
    <w:nsid w:val="41A7C4C9"/>
    <w:multiLevelType w:val="hybridMultilevel"/>
    <w:lvl w:ilvl="0">
      <w:lvlJc w:val="left"/>
      <w:lvlText w:val="3"/>
      <w:numFmt w:val="bullet"/>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2023-06-30T15:39:40Z</dcterms:created>
  <dcterms:modified xsi:type="dcterms:W3CDTF">2023-06-30T15:39:40Z</dcterms:modified>
</cp:coreProperties>
</file>