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154305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173355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9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46"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44"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_____________________ to _____________________</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001-39438</w:t>
      </w:r>
    </w:p>
    <w:p>
      <w:pPr>
        <w:spacing w:after="0" w:line="20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0"/>
          <w:szCs w:val="40"/>
          <w:b w:val="1"/>
          <w:bCs w:val="1"/>
          <w:color w:val="auto"/>
        </w:rPr>
        <w:t>GEMINI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-266065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20" w:lineRule="exact"/>
        <w:rPr>
          <w:sz w:val="24"/>
          <w:szCs w:val="24"/>
          <w:color w:val="auto"/>
        </w:rPr>
      </w:pPr>
    </w:p>
    <w:tbl>
      <w:tblPr>
        <w:tblLayout w:type="fixed"/>
        <w:tblInd w:w="1160" w:type="dxa"/>
        <w:tblCellMar>
          <w:top w:w="0" w:type="dxa"/>
          <w:left w:w="0" w:type="dxa"/>
          <w:bottom w:w="0" w:type="dxa"/>
          <w:right w:w="0" w:type="dxa"/>
        </w:tblCellMar>
      </w:tblPr>
      <w:tr>
        <w:trPr>
          <w:trHeight w:val="209"/>
        </w:trPr>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Borders>
              <w:top w:val="single" w:sz="8" w:color="auto"/>
            </w:tcBorders>
          </w:tcPr>
          <w:p>
            <w:pPr>
              <w:spacing w:after="0"/>
              <w:rPr>
                <w:sz w:val="18"/>
                <w:szCs w:val="18"/>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85-1612845</w:t>
            </w:r>
          </w:p>
        </w:tc>
      </w:tr>
      <w:tr>
        <w:trPr>
          <w:trHeight w:val="142"/>
        </w:trPr>
        <w:tc>
          <w:tcPr>
            <w:tcW w:w="33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 State or other jurisdiction of</w:t>
            </w:r>
          </w:p>
        </w:tc>
        <w:tc>
          <w:tcPr>
            <w:tcW w:w="2240" w:type="dxa"/>
            <w:vAlign w:val="bottom"/>
          </w:tcPr>
          <w:p>
            <w:pPr>
              <w:spacing w:after="0"/>
              <w:rPr>
                <w:sz w:val="12"/>
                <w:szCs w:val="12"/>
                <w:color w:val="auto"/>
              </w:rPr>
            </w:pPr>
          </w:p>
        </w:tc>
        <w:tc>
          <w:tcPr>
            <w:tcW w:w="2180" w:type="dxa"/>
            <w:vAlign w:val="bottom"/>
          </w:tcPr>
          <w:p>
            <w:pPr>
              <w:jc w:val="center"/>
              <w:ind w:left="1130"/>
              <w:spacing w:after="0" w:line="142"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47"/>
        </w:trPr>
        <w:tc>
          <w:tcPr>
            <w:tcW w:w="3340" w:type="dxa"/>
            <w:vAlign w:val="bottom"/>
          </w:tcPr>
          <w:p>
            <w:pPr>
              <w:jc w:val="center"/>
              <w:spacing w:after="0" w:line="147" w:lineRule="exact"/>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2240" w:type="dxa"/>
            <w:vAlign w:val="bottom"/>
          </w:tcPr>
          <w:p>
            <w:pPr>
              <w:spacing w:after="0"/>
              <w:rPr>
                <w:sz w:val="12"/>
                <w:szCs w:val="12"/>
                <w:color w:val="auto"/>
              </w:rPr>
            </w:pPr>
          </w:p>
        </w:tc>
        <w:tc>
          <w:tcPr>
            <w:tcW w:w="2180" w:type="dxa"/>
            <w:vAlign w:val="bottom"/>
          </w:tcPr>
          <w:p>
            <w:pPr>
              <w:jc w:val="center"/>
              <w:ind w:left="1130"/>
              <w:spacing w:after="0" w:line="147" w:lineRule="exact"/>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38"/>
        </w:trPr>
        <w:tc>
          <w:tcPr>
            <w:tcW w:w="3340" w:type="dxa"/>
            <w:vAlign w:val="bottom"/>
          </w:tcPr>
          <w:p>
            <w:pPr>
              <w:jc w:val="center"/>
              <w:spacing w:after="0" w:line="239" w:lineRule="exact"/>
              <w:rPr>
                <w:sz w:val="20"/>
                <w:szCs w:val="20"/>
                <w:color w:val="auto"/>
              </w:rPr>
            </w:pPr>
            <w:r>
              <w:rPr>
                <w:rFonts w:ascii="Times New Roman" w:cs="Times New Roman" w:eastAsia="Times New Roman" w:hAnsi="Times New Roman"/>
                <w:sz w:val="18"/>
                <w:szCs w:val="18"/>
                <w:b w:val="1"/>
                <w:bCs w:val="1"/>
                <w:color w:val="auto"/>
                <w:w w:val="99"/>
              </w:rPr>
              <w:t>297 Boston Post Road #248, Wayland, MA</w:t>
            </w:r>
            <w:r>
              <w:rPr>
                <w:rFonts w:ascii="Times New Roman" w:cs="Times New Roman" w:eastAsia="Times New Roman" w:hAnsi="Times New Roman"/>
                <w:sz w:val="24"/>
                <w:szCs w:val="24"/>
                <w:b w:val="1"/>
                <w:bCs w:val="1"/>
                <w:color w:val="auto"/>
                <w:w w:val="99"/>
                <w:vertAlign w:val="superscript"/>
              </w:rPr>
              <w:t>1</w:t>
            </w:r>
          </w:p>
        </w:tc>
        <w:tc>
          <w:tcPr>
            <w:tcW w:w="44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01778</w:t>
            </w:r>
          </w:p>
        </w:tc>
      </w:tr>
      <w:tr>
        <w:trPr>
          <w:trHeight w:val="166"/>
        </w:trPr>
        <w:tc>
          <w:tcPr>
            <w:tcW w:w="3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240" w:type="dxa"/>
            <w:vAlign w:val="bottom"/>
          </w:tcPr>
          <w:p>
            <w:pPr>
              <w:spacing w:after="0"/>
              <w:rPr>
                <w:sz w:val="14"/>
                <w:szCs w:val="14"/>
                <w:color w:val="auto"/>
              </w:rPr>
            </w:pPr>
          </w:p>
        </w:tc>
        <w:tc>
          <w:tcPr>
            <w:tcW w:w="2180" w:type="dxa"/>
            <w:vAlign w:val="bottom"/>
          </w:tcPr>
          <w:p>
            <w:pPr>
              <w:jc w:val="center"/>
              <w:ind w:left="1130"/>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401-4400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156845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4"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4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1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GMTX</w:t>
            </w:r>
          </w:p>
        </w:tc>
        <w:tc>
          <w:tcPr>
            <w:tcW w:w="120" w:type="dxa"/>
            <w:vAlign w:val="bottom"/>
          </w:tcPr>
          <w:p>
            <w:pPr>
              <w:spacing w:after="0"/>
              <w:rPr>
                <w:sz w:val="17"/>
                <w:szCs w:val="17"/>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c>
          <w:tcPr>
            <w:tcW w:w="0" w:type="dxa"/>
            <w:vAlign w:val="bottom"/>
          </w:tcPr>
          <w:p>
            <w:pPr>
              <w:spacing w:after="0"/>
              <w:rPr>
                <w:sz w:val="1"/>
                <w:szCs w:val="1"/>
                <w:color w:val="auto"/>
              </w:rPr>
            </w:pPr>
          </w:p>
        </w:tc>
      </w:tr>
    </w:tbl>
    <w:p>
      <w:pPr>
        <w:spacing w:after="0" w:line="208" w:lineRule="exact"/>
        <w:rPr>
          <w:sz w:val="24"/>
          <w:szCs w:val="24"/>
          <w:color w:val="auto"/>
        </w:rPr>
      </w:pPr>
    </w:p>
    <w:p>
      <w:pPr>
        <w:ind w:firstLine="509"/>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 w:lineRule="exact"/>
        <w:rPr>
          <w:sz w:val="24"/>
          <w:szCs w:val="24"/>
          <w:color w:val="auto"/>
        </w:rPr>
      </w:pPr>
    </w:p>
    <w:p>
      <w:pPr>
        <w:ind w:right="180" w:firstLine="509"/>
        <w:spacing w:after="0" w:line="22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jc w:val="both"/>
        <w:ind w:right="300" w:firstLine="509"/>
        <w:spacing w:after="0" w:line="25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18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20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Emerging growth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17" w:lineRule="exact"/>
        <w:rPr>
          <w:sz w:val="24"/>
          <w:szCs w:val="24"/>
          <w:color w:val="auto"/>
        </w:rPr>
      </w:pPr>
    </w:p>
    <w:p>
      <w:pPr>
        <w:ind w:right="80" w:firstLine="509"/>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520" w:right="2120"/>
        <w:spacing w:after="0" w:line="22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As of August 5, 2022, the registrant had 43,244,453 shares of common stock, $0.0001 par value per share, outstanding.</w:t>
      </w:r>
    </w:p>
    <w:p>
      <w:pPr>
        <w:spacing w:after="0" w:line="22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The Company does not currently maintain a physical headquarters but maintains a mailing address at 297 Boston Post Road #248, Wayland, MA 01778.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00" w:lineRule="exact"/>
        <w:rPr>
          <w:sz w:val="20"/>
          <w:szCs w:val="20"/>
          <w:color w:val="auto"/>
        </w:rPr>
      </w:pPr>
    </w:p>
    <w:p>
      <w:pPr>
        <w:spacing w:after="0" w:line="21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risks and uncertainties, which are made pursuant to the safe harbor provisions of Section 27A of the Securities Act of 1933, as amended, and Section 21E of the Securities Exchange Act of 1934, as amended (the “Exchange Act”). These forward-looking statements relate to expectations for future financial performance, business strategies or expectations for our business. These forward-looking statements are based on information available as of the date of this report and our management’s current expectations, forecasts and assumptions, and involve a number of judgments, risks and uncertainties. Accordingly, forward-looking statements should not be relied upon as representing our views as of any subsequent date. We do not undertake any obligation to update forward-looking statements to reflect events or circumstances after the date they were made, whether as a result of new information, future events or otherwise, except as may be required under applicable securities laws. Specifically, forward-looking statements may include, but are not limited to, statements relating to or about:</w:t>
      </w:r>
    </w:p>
    <w:p>
      <w:pPr>
        <w:spacing w:after="0" w:line="200"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on a timely basis or at all, the potential transaction with Disc Medicine, Inc. (“Disc”) announced on August 10, 2022;</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evaluate strategic alternatives during the pendency of the merger with Disc, given limitations in the merger agreement;</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our restructuring, and the savings benefits we expect to receive from the restructuring;</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retaining, or changes required in, our current officers, key employees or directors;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public securities’ potential liquidity and trading;</w:t>
      </w:r>
    </w:p>
    <w:p>
      <w:pPr>
        <w:spacing w:after="0" w:line="21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clinical trials and any available data therefrom to demonstrate acceptable safety and efficacy of our product candidates, including GEM103, our lead product candidate;</w:t>
      </w:r>
    </w:p>
    <w:p>
      <w:pPr>
        <w:spacing w:after="0" w:line="148"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any clinical trials for GEM103 and our other product candidates, to the extent relevant, including statements regarding the timing of initiation and completion of studies or trials and related preparatory work,</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during which the results of the trials, if any, will become available, and our research and development programs;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and likelihood of regulatory filings;</w:t>
      </w:r>
    </w:p>
    <w:p>
      <w:pPr>
        <w:spacing w:after="0" w:line="21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marketing approvals of our product candidates and to meet existing or future regulatory standards or comply with post-approval requirements, to the extent relevant;</w:t>
      </w:r>
    </w:p>
    <w:p>
      <w:pPr>
        <w:spacing w:after="0" w:line="148"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market size and the size of the patient populations for our product candidates, if approved for commercial use;</w:t>
      </w:r>
    </w:p>
    <w:p>
      <w:pPr>
        <w:spacing w:after="0" w:line="1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 expectations regarding our ability to obtain and maintain intellectual property protection;</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government regulations;</w:t>
      </w:r>
    </w:p>
    <w:p>
      <w:pPr>
        <w:spacing w:after="0" w:line="21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expectations regarding developments and projections relating to our competitors and any competing therapies that are or become available;</w:t>
      </w:r>
    </w:p>
    <w:p>
      <w:pPr>
        <w:spacing w:after="0" w:line="14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expectations regarding developments and projections relating to our competitors and industry;</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our executive, financial and strategic alternatives teams;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profitability and, to the extent we continue to operate our business, the need for additional capital;</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business related expenditures; and</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 w:name="page3"/>
    <w:bookmarkEnd w:id="2"/>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known and unknown litigation.</w:t>
      </w:r>
    </w:p>
    <w:p>
      <w:pPr>
        <w:spacing w:after="0" w:line="2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Other statements preceded by, followed by or that include the words “may,” “can,” “should,” “will,” “estimate,” “plan,” “project,” “forecast,” “intend,” “expect,” “anticipate,” “believe,” “seek,” “target” or similar expressions, or the negative of these terms, are intended to identify forward-looking statements, although not all forward-looking statements contain these identifying words.</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Any or all forward-looking statements may turn out to be incorrect. Because forward-looking statements are inherently subject to risks and uncertainties, some of which cannot be predicted or quantified, you should not rely on these forward-looking statements as predictions of future events. As a result of a number of known and unknown risks and uncertainties, our actual results or performance may be materially different from those expressed or implied by these forward-looking statements. Some factors that could cause actual results to differ include:</w:t>
      </w:r>
    </w:p>
    <w:p>
      <w:pPr>
        <w:spacing w:after="0" w:line="177" w:lineRule="exact"/>
        <w:rPr>
          <w:sz w:val="20"/>
          <w:szCs w:val="20"/>
          <w:color w:val="auto"/>
        </w:rPr>
      </w:pPr>
    </w:p>
    <w:p>
      <w:pPr>
        <w:jc w:val="both"/>
        <w:ind w:left="760" w:hanging="378"/>
        <w:spacing w:after="0" w:line="250"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or any delays in, our proposed transaction with Disc, including the occurrence of any change, effect, event, development, matter, state of facts, series of events or circumstances that could give rise to the termination of the agreement and plan of merger and reorganization with Disc related to the proposed merger transaction, including a termination of such agreement under circumstances that could require us to pay a termination fee to Disc;</w:t>
      </w:r>
    </w:p>
    <w:p>
      <w:pPr>
        <w:spacing w:after="0" w:line="177"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satisfy the conditions to the proposed merger transaction with Disc, including the ability to obtain shareholder approval, on the proposed terms and timeframe;</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stockholders receive any payment on the contingent value rights (CVRs) contemplated by the merger agreement with Disc;</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any strategic alternative process disrupts current plans and operations;</w:t>
      </w:r>
    </w:p>
    <w:p>
      <w:pPr>
        <w:spacing w:after="0" w:line="21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recognize the anticipated benefits of any strategic alternative process or a potential strategic transaction, including the anticipated benefits of the transactions related to the proposed merger transaction with Disc in a timely manner or at all;</w:t>
      </w:r>
    </w:p>
    <w:p>
      <w:pPr>
        <w:spacing w:after="0" w:line="148"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the strategic alternative process or a potential strategic transaction, including the risk of unanticipated costs, liabilities or delays relating to the proposed merger transaction with Disc, including the outcome of any legal proceedings relating to the merger transaction;</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loss of key employees disrupts our operations and our ability to achieve our plans and strategy;</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geopolitical, business, and/or competitive factors; and</w:t>
      </w:r>
    </w:p>
    <w:p>
      <w:pPr>
        <w:spacing w:after="0" w:line="225"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under the section of our most recent Annual Report on Form 10-K for the year ended December 31, 2021 entitled “Risk Factors” and our other filings with the U.S. Securities and Exchange Commission (“SEC”).</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563C1"/>
              </w:rPr>
              <w:t>FINANCIAL INFORMATION</w:t>
            </w: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6"/>
        </w:trPr>
        <w:tc>
          <w:tcPr>
            <w:tcW w:w="1140" w:type="dxa"/>
            <w:vAlign w:val="bottom"/>
            <w:gridSpan w:val="2"/>
            <w:vMerge w:val="continue"/>
          </w:tcPr>
          <w:p>
            <w:pPr>
              <w:spacing w:after="0"/>
              <w:rPr>
                <w:sz w:val="13"/>
                <w:szCs w:val="13"/>
                <w:color w:val="auto"/>
              </w:rPr>
            </w:pPr>
          </w:p>
        </w:tc>
        <w:tc>
          <w:tcPr>
            <w:tcW w:w="9300" w:type="dxa"/>
            <w:vAlign w:val="bottom"/>
            <w:gridSpan w:val="19"/>
            <w:vMerge w:val="continue"/>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2"/>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1.</w:t>
            </w:r>
          </w:p>
        </w:tc>
        <w:tc>
          <w:tcPr>
            <w:tcW w:w="2260" w:type="dxa"/>
            <w:vAlign w:val="bottom"/>
            <w:tcBorders>
              <w:top w:val="single" w:sz="8" w:color="0563C1"/>
              <w:bottom w:val="single" w:sz="8" w:color="0563C1"/>
            </w:tcBorders>
            <w:gridSpan w:val="8"/>
          </w:tcPr>
          <w:p>
            <w:pPr>
              <w:spacing w:after="0" w:line="182" w:lineRule="exact"/>
              <w:rPr>
                <w:sz w:val="20"/>
                <w:szCs w:val="20"/>
                <w:color w:val="auto"/>
              </w:rPr>
            </w:pPr>
            <w:r>
              <w:rPr>
                <w:rFonts w:ascii="Times New Roman" w:cs="Times New Roman" w:eastAsia="Times New Roman" w:hAnsi="Times New Roman"/>
                <w:sz w:val="18"/>
                <w:szCs w:val="18"/>
                <w:color w:val="0563C1"/>
                <w:w w:val="92"/>
              </w:rPr>
              <w:t>Financial Statements (Unaudited)</w:t>
            </w:r>
          </w:p>
        </w:tc>
        <w:tc>
          <w:tcPr>
            <w:tcW w:w="80" w:type="dxa"/>
            <w:vAlign w:val="bottom"/>
            <w:tcBorders>
              <w:bottom w:val="single" w:sz="8" w:color="0563C1"/>
            </w:tcBorders>
          </w:tcPr>
          <w:p>
            <w:pPr>
              <w:spacing w:after="0"/>
              <w:rPr>
                <w:sz w:val="15"/>
                <w:szCs w:val="15"/>
                <w:color w:val="auto"/>
              </w:rPr>
            </w:pPr>
          </w:p>
        </w:tc>
        <w:tc>
          <w:tcPr>
            <w:tcW w:w="80" w:type="dxa"/>
            <w:vAlign w:val="bottom"/>
            <w:tcBorders>
              <w:bottom w:val="single" w:sz="8" w:color="0563C1"/>
            </w:tcBorders>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20" w:type="dxa"/>
            <w:vAlign w:val="bottom"/>
            <w:gridSpan w:val="10"/>
          </w:tcPr>
          <w:p>
            <w:pPr>
              <w:spacing w:after="0" w:line="182" w:lineRule="exact"/>
              <w:rPr>
                <w:sz w:val="20"/>
                <w:szCs w:val="20"/>
                <w:color w:val="auto"/>
              </w:rPr>
            </w:pPr>
            <w:r>
              <w:rPr>
                <w:rFonts w:ascii="Times New Roman" w:cs="Times New Roman" w:eastAsia="Times New Roman" w:hAnsi="Times New Roman"/>
                <w:sz w:val="18"/>
                <w:szCs w:val="18"/>
                <w:color w:val="0563C1"/>
                <w:w w:val="99"/>
              </w:rPr>
              <w:t>Condensed Consolidated Balance</w:t>
            </w:r>
          </w:p>
        </w:tc>
        <w:tc>
          <w:tcPr>
            <w:tcW w:w="6880" w:type="dxa"/>
            <w:vAlign w:val="bottom"/>
            <w:gridSpan w:val="9"/>
          </w:tcPr>
          <w:p>
            <w:pPr>
              <w:ind w:left="60"/>
              <w:spacing w:after="0" w:line="182" w:lineRule="exact"/>
              <w:rPr>
                <w:sz w:val="20"/>
                <w:szCs w:val="20"/>
                <w:color w:val="auto"/>
              </w:rPr>
            </w:pPr>
            <w:r>
              <w:rPr>
                <w:rFonts w:ascii="Times New Roman" w:cs="Times New Roman" w:eastAsia="Times New Roman" w:hAnsi="Times New Roman"/>
                <w:sz w:val="18"/>
                <w:szCs w:val="18"/>
                <w:color w:val="0563C1"/>
              </w:rPr>
              <w:t>Sheets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40" w:type="dxa"/>
            <w:vAlign w:val="bottom"/>
            <w:tcBorders>
              <w:top w:val="single" w:sz="8" w:color="0563C1"/>
            </w:tcBorders>
            <w:gridSpan w:val="11"/>
          </w:tcPr>
          <w:p>
            <w:pPr>
              <w:spacing w:after="0" w:line="182" w:lineRule="exact"/>
              <w:rPr>
                <w:sz w:val="20"/>
                <w:szCs w:val="20"/>
                <w:color w:val="auto"/>
              </w:rPr>
            </w:pPr>
            <w:r>
              <w:rPr>
                <w:rFonts w:ascii="Times New Roman" w:cs="Times New Roman" w:eastAsia="Times New Roman" w:hAnsi="Times New Roman"/>
                <w:sz w:val="18"/>
                <w:szCs w:val="18"/>
                <w:color w:val="0563C1"/>
              </w:rPr>
              <w:t>Condensed Consolidated Statements of</w:t>
            </w:r>
          </w:p>
        </w:tc>
        <w:tc>
          <w:tcPr>
            <w:tcW w:w="636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563C1"/>
              </w:rPr>
              <w:t>Operations and Comprehensive Loss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540" w:type="dxa"/>
            <w:vAlign w:val="bottom"/>
            <w:tcBorders>
              <w:top w:val="single" w:sz="8" w:color="0563C1"/>
            </w:tcBorders>
            <w:gridSpan w:val="17"/>
          </w:tcPr>
          <w:p>
            <w:pPr>
              <w:spacing w:after="0" w:line="182" w:lineRule="exact"/>
              <w:rPr>
                <w:sz w:val="20"/>
                <w:szCs w:val="20"/>
                <w:color w:val="auto"/>
              </w:rPr>
            </w:pPr>
            <w:r>
              <w:rPr>
                <w:rFonts w:ascii="Times New Roman" w:cs="Times New Roman" w:eastAsia="Times New Roman" w:hAnsi="Times New Roman"/>
                <w:sz w:val="18"/>
                <w:szCs w:val="18"/>
                <w:color w:val="0563C1"/>
              </w:rPr>
              <w:t>Condensed Consolidated Statements of Stockholders’ Equity</w:t>
            </w:r>
          </w:p>
        </w:tc>
        <w:tc>
          <w:tcPr>
            <w:tcW w:w="9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0" w:type="dxa"/>
            <w:vAlign w:val="bottom"/>
            <w:tcBorders>
              <w:top w:val="single" w:sz="8" w:color="0563C1"/>
            </w:tcBorders>
            <w:gridSpan w:val="15"/>
          </w:tcPr>
          <w:p>
            <w:pPr>
              <w:spacing w:after="0" w:line="182" w:lineRule="exact"/>
              <w:rPr>
                <w:sz w:val="20"/>
                <w:szCs w:val="20"/>
                <w:color w:val="auto"/>
              </w:rPr>
            </w:pPr>
            <w:r>
              <w:rPr>
                <w:rFonts w:ascii="Times New Roman" w:cs="Times New Roman" w:eastAsia="Times New Roman" w:hAnsi="Times New Roman"/>
                <w:sz w:val="18"/>
                <w:szCs w:val="18"/>
                <w:color w:val="0563C1"/>
              </w:rPr>
              <w:t>Condensed Consolidated Statements of Cash Flows</w:t>
            </w:r>
          </w:p>
        </w:tc>
        <w:tc>
          <w:tcPr>
            <w:tcW w:w="400" w:type="dxa"/>
            <w:vAlign w:val="bottom"/>
          </w:tcPr>
          <w:p>
            <w:pPr>
              <w:spacing w:after="0"/>
              <w:rPr>
                <w:sz w:val="15"/>
                <w:szCs w:val="15"/>
                <w:color w:val="auto"/>
              </w:rPr>
            </w:pPr>
          </w:p>
        </w:tc>
        <w:tc>
          <w:tcPr>
            <w:tcW w:w="1660" w:type="dxa"/>
            <w:vAlign w:val="bottom"/>
            <w:gridSpan w:val="2"/>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1380" w:type="dxa"/>
            <w:vAlign w:val="bottom"/>
            <w:gridSpan w:val="3"/>
            <w:shd w:val="clear" w:color="auto" w:fill="0563C1"/>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0" w:type="dxa"/>
            <w:vAlign w:val="bottom"/>
            <w:tcBorders>
              <w:bottom w:val="single" w:sz="8" w:color="0563C1"/>
            </w:tcBorders>
            <w:gridSpan w:val="16"/>
          </w:tcPr>
          <w:p>
            <w:pPr>
              <w:spacing w:after="0" w:line="182" w:lineRule="exact"/>
              <w:rPr>
                <w:sz w:val="20"/>
                <w:szCs w:val="20"/>
                <w:color w:val="auto"/>
              </w:rPr>
            </w:pPr>
            <w:r>
              <w:rPr>
                <w:rFonts w:ascii="Times New Roman" w:cs="Times New Roman" w:eastAsia="Times New Roman" w:hAnsi="Times New Roman"/>
                <w:sz w:val="18"/>
                <w:szCs w:val="18"/>
                <w:color w:val="0563C1"/>
                <w:w w:val="99"/>
              </w:rPr>
              <w:t>Notes to Unaudited Condensed Consolidated Financial Statements</w:t>
            </w:r>
          </w:p>
        </w:tc>
        <w:tc>
          <w:tcPr>
            <w:tcW w:w="4500" w:type="dxa"/>
            <w:vAlign w:val="bottom"/>
            <w:gridSpan w:val="3"/>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9"/>
          </w:tcPr>
          <w:p>
            <w:pPr>
              <w:spacing w:after="0" w:line="182" w:lineRule="exact"/>
              <w:rPr>
                <w:sz w:val="20"/>
                <w:szCs w:val="20"/>
                <w:color w:val="auto"/>
              </w:rPr>
            </w:pPr>
            <w:r>
              <w:rPr>
                <w:rFonts w:ascii="Times New Roman" w:cs="Times New Roman" w:eastAsia="Times New Roman" w:hAnsi="Times New Roman"/>
                <w:sz w:val="18"/>
                <w:szCs w:val="18"/>
                <w:color w:val="0563C1"/>
              </w:rPr>
              <w:t>Management’s Discussion and Analysis of Financial Condition and Results of Operations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563C1"/>
            </w:tcBorders>
            <w:gridSpan w:val="18"/>
          </w:tcPr>
          <w:p>
            <w:pPr>
              <w:spacing w:after="0" w:line="182" w:lineRule="exact"/>
              <w:rPr>
                <w:sz w:val="20"/>
                <w:szCs w:val="20"/>
                <w:color w:val="auto"/>
              </w:rPr>
            </w:pPr>
            <w:r>
              <w:rPr>
                <w:rFonts w:ascii="Times New Roman" w:cs="Times New Roman" w:eastAsia="Times New Roman" w:hAnsi="Times New Roman"/>
                <w:sz w:val="18"/>
                <w:szCs w:val="18"/>
                <w:color w:val="0563C1"/>
              </w:rPr>
              <w:t>Quantitative and Qualitative Disclosures About Market Risk</w:t>
            </w: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563C1"/>
              <w:bottom w:val="single" w:sz="8" w:color="0563C1"/>
            </w:tcBorders>
            <w:gridSpan w:val="5"/>
          </w:tcPr>
          <w:p>
            <w:pPr>
              <w:spacing w:after="0" w:line="182" w:lineRule="exact"/>
              <w:rPr>
                <w:sz w:val="20"/>
                <w:szCs w:val="20"/>
                <w:color w:val="auto"/>
              </w:rPr>
            </w:pPr>
            <w:r>
              <w:rPr>
                <w:rFonts w:ascii="Times New Roman" w:cs="Times New Roman" w:eastAsia="Times New Roman" w:hAnsi="Times New Roman"/>
                <w:sz w:val="18"/>
                <w:szCs w:val="18"/>
                <w:color w:val="0563C1"/>
                <w:w w:val="99"/>
              </w:rPr>
              <w:t>Controls and Procedures</w:t>
            </w:r>
          </w:p>
        </w:tc>
        <w:tc>
          <w:tcPr>
            <w:tcW w:w="20" w:type="dxa"/>
            <w:vAlign w:val="bottom"/>
            <w:tcBorders>
              <w:top w:val="single" w:sz="8" w:color="0563C1"/>
              <w:bottom w:val="single" w:sz="8" w:color="0000EE"/>
            </w:tcBorders>
          </w:tcPr>
          <w:p>
            <w:pPr>
              <w:spacing w:after="0"/>
              <w:rPr>
                <w:sz w:val="15"/>
                <w:szCs w:val="15"/>
                <w:color w:val="auto"/>
              </w:rPr>
            </w:pPr>
          </w:p>
        </w:tc>
        <w:tc>
          <w:tcPr>
            <w:tcW w:w="2580" w:type="dxa"/>
            <w:vAlign w:val="bottom"/>
            <w:tcBorders>
              <w:top w:val="single" w:sz="8" w:color="0563C1"/>
            </w:tcBorders>
            <w:gridSpan w:val="8"/>
          </w:tcPr>
          <w:p>
            <w:pPr>
              <w:spacing w:after="0"/>
              <w:rPr>
                <w:sz w:val="15"/>
                <w:szCs w:val="15"/>
                <w:color w:val="auto"/>
              </w:rPr>
            </w:pPr>
          </w:p>
        </w:tc>
        <w:tc>
          <w:tcPr>
            <w:tcW w:w="492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PART II.</w:t>
            </w:r>
          </w:p>
        </w:tc>
        <w:tc>
          <w:tcPr>
            <w:tcW w:w="1800" w:type="dxa"/>
            <w:vAlign w:val="bottom"/>
            <w:tcBorders>
              <w:bottom w:val="single" w:sz="8" w:color="0563C1"/>
            </w:tcBorders>
            <w:gridSpan w:val="6"/>
          </w:tcPr>
          <w:p>
            <w:pPr>
              <w:spacing w:after="0" w:line="182" w:lineRule="exact"/>
              <w:rPr>
                <w:sz w:val="20"/>
                <w:szCs w:val="20"/>
                <w:color w:val="auto"/>
              </w:rPr>
            </w:pPr>
            <w:r>
              <w:rPr>
                <w:rFonts w:ascii="Times New Roman" w:cs="Times New Roman" w:eastAsia="Times New Roman" w:hAnsi="Times New Roman"/>
                <w:sz w:val="18"/>
                <w:szCs w:val="18"/>
                <w:color w:val="0563C1"/>
                <w:w w:val="93"/>
              </w:rPr>
              <w:t>OTHER INFORMATION</w:t>
            </w:r>
          </w:p>
        </w:tc>
        <w:tc>
          <w:tcPr>
            <w:tcW w:w="100" w:type="dxa"/>
            <w:vAlign w:val="bottom"/>
            <w:tcBorders>
              <w:bottom w:val="single" w:sz="8" w:color="0563C1"/>
            </w:tcBorders>
          </w:tcPr>
          <w:p>
            <w:pPr>
              <w:spacing w:after="0"/>
              <w:rPr>
                <w:sz w:val="15"/>
                <w:szCs w:val="15"/>
                <w:color w:val="auto"/>
              </w:rPr>
            </w:pPr>
          </w:p>
        </w:tc>
        <w:tc>
          <w:tcPr>
            <w:tcW w:w="440" w:type="dxa"/>
            <w:vAlign w:val="bottom"/>
            <w:gridSpan w:val="2"/>
          </w:tcPr>
          <w:p>
            <w:pPr>
              <w:spacing w:after="0"/>
              <w:rPr>
                <w:sz w:val="15"/>
                <w:szCs w:val="15"/>
                <w:color w:val="auto"/>
              </w:rPr>
            </w:pPr>
          </w:p>
        </w:tc>
        <w:tc>
          <w:tcPr>
            <w:tcW w:w="2020" w:type="dxa"/>
            <w:vAlign w:val="bottom"/>
            <w:gridSpan w:val="4"/>
          </w:tcPr>
          <w:p>
            <w:pPr>
              <w:spacing w:after="0"/>
              <w:rPr>
                <w:sz w:val="15"/>
                <w:szCs w:val="15"/>
                <w:color w:val="auto"/>
              </w:rPr>
            </w:pPr>
          </w:p>
        </w:tc>
        <w:tc>
          <w:tcPr>
            <w:tcW w:w="494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1.</w:t>
            </w:r>
          </w:p>
        </w:tc>
        <w:tc>
          <w:tcPr>
            <w:tcW w:w="1900" w:type="dxa"/>
            <w:vAlign w:val="bottom"/>
            <w:gridSpan w:val="7"/>
          </w:tcPr>
          <w:p>
            <w:pPr>
              <w:spacing w:after="0" w:line="182" w:lineRule="exact"/>
              <w:rPr>
                <w:sz w:val="20"/>
                <w:szCs w:val="20"/>
                <w:color w:val="auto"/>
              </w:rPr>
            </w:pPr>
            <w:r>
              <w:rPr>
                <w:rFonts w:ascii="Times New Roman" w:cs="Times New Roman" w:eastAsia="Times New Roman" w:hAnsi="Times New Roman"/>
                <w:sz w:val="18"/>
                <w:szCs w:val="18"/>
                <w:color w:val="0563C1"/>
              </w:rPr>
              <w:t>Legal Proceedings</w:t>
            </w:r>
          </w:p>
        </w:tc>
        <w:tc>
          <w:tcPr>
            <w:tcW w:w="440" w:type="dxa"/>
            <w:vAlign w:val="bottom"/>
            <w:gridSpan w:val="2"/>
          </w:tcPr>
          <w:p>
            <w:pPr>
              <w:spacing w:after="0"/>
              <w:rPr>
                <w:sz w:val="15"/>
                <w:szCs w:val="15"/>
                <w:color w:val="auto"/>
              </w:rPr>
            </w:pPr>
          </w:p>
        </w:tc>
        <w:tc>
          <w:tcPr>
            <w:tcW w:w="2020" w:type="dxa"/>
            <w:vAlign w:val="bottom"/>
            <w:gridSpan w:val="4"/>
          </w:tcPr>
          <w:p>
            <w:pPr>
              <w:spacing w:after="0"/>
              <w:rPr>
                <w:sz w:val="15"/>
                <w:szCs w:val="15"/>
                <w:color w:val="auto"/>
              </w:rPr>
            </w:pPr>
          </w:p>
        </w:tc>
        <w:tc>
          <w:tcPr>
            <w:tcW w:w="494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1A.</w:t>
            </w:r>
          </w:p>
        </w:tc>
        <w:tc>
          <w:tcPr>
            <w:tcW w:w="1340" w:type="dxa"/>
            <w:vAlign w:val="bottom"/>
            <w:tcBorders>
              <w:top w:val="single" w:sz="8" w:color="0563C1"/>
            </w:tcBorders>
            <w:gridSpan w:val="4"/>
          </w:tcPr>
          <w:p>
            <w:pPr>
              <w:spacing w:after="0" w:line="182" w:lineRule="exact"/>
              <w:rPr>
                <w:sz w:val="20"/>
                <w:szCs w:val="20"/>
                <w:color w:val="auto"/>
              </w:rPr>
            </w:pPr>
            <w:r>
              <w:rPr>
                <w:rFonts w:ascii="Times New Roman" w:cs="Times New Roman" w:eastAsia="Times New Roman" w:hAnsi="Times New Roman"/>
                <w:sz w:val="18"/>
                <w:szCs w:val="18"/>
                <w:color w:val="0563C1"/>
              </w:rPr>
              <w:t>Risk Factors</w:t>
            </w:r>
          </w:p>
        </w:tc>
        <w:tc>
          <w:tcPr>
            <w:tcW w:w="1000" w:type="dxa"/>
            <w:vAlign w:val="bottom"/>
            <w:gridSpan w:val="5"/>
          </w:tcPr>
          <w:p>
            <w:pPr>
              <w:spacing w:after="0"/>
              <w:rPr>
                <w:sz w:val="15"/>
                <w:szCs w:val="15"/>
                <w:color w:val="auto"/>
              </w:rPr>
            </w:pPr>
          </w:p>
        </w:tc>
        <w:tc>
          <w:tcPr>
            <w:tcW w:w="2020" w:type="dxa"/>
            <w:vAlign w:val="bottom"/>
            <w:gridSpan w:val="4"/>
          </w:tcPr>
          <w:p>
            <w:pPr>
              <w:spacing w:after="0"/>
              <w:rPr>
                <w:sz w:val="15"/>
                <w:szCs w:val="15"/>
                <w:color w:val="auto"/>
              </w:rPr>
            </w:pPr>
          </w:p>
        </w:tc>
        <w:tc>
          <w:tcPr>
            <w:tcW w:w="494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920" w:type="dxa"/>
            <w:vAlign w:val="bottom"/>
            <w:tcBorders>
              <w:top w:val="single" w:sz="8" w:color="0563C1"/>
            </w:tcBorders>
            <w:gridSpan w:val="2"/>
          </w:tcPr>
          <w:p>
            <w:pPr>
              <w:spacing w:after="0" w:line="182" w:lineRule="exact"/>
              <w:rPr>
                <w:sz w:val="20"/>
                <w:szCs w:val="20"/>
                <w:color w:val="auto"/>
              </w:rPr>
            </w:pPr>
            <w:r>
              <w:rPr>
                <w:rFonts w:ascii="Times New Roman" w:cs="Times New Roman" w:eastAsia="Times New Roman" w:hAnsi="Times New Roman"/>
                <w:sz w:val="18"/>
                <w:szCs w:val="18"/>
                <w:color w:val="0563C1"/>
                <w:w w:val="96"/>
              </w:rPr>
              <w:t>Unregistered</w:t>
            </w:r>
          </w:p>
        </w:tc>
        <w:tc>
          <w:tcPr>
            <w:tcW w:w="8380" w:type="dxa"/>
            <w:vAlign w:val="bottom"/>
            <w:gridSpan w:val="17"/>
          </w:tcPr>
          <w:p>
            <w:pPr>
              <w:ind w:left="60"/>
              <w:spacing w:after="0" w:line="182" w:lineRule="exact"/>
              <w:rPr>
                <w:sz w:val="20"/>
                <w:szCs w:val="20"/>
                <w:color w:val="auto"/>
              </w:rPr>
            </w:pPr>
            <w:r>
              <w:rPr>
                <w:rFonts w:ascii="Times New Roman" w:cs="Times New Roman" w:eastAsia="Times New Roman" w:hAnsi="Times New Roman"/>
                <w:sz w:val="18"/>
                <w:szCs w:val="18"/>
                <w:color w:val="0563C1"/>
              </w:rPr>
              <w:t>Sales of Equity Securities and Use of Proceeds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563C1"/>
            </w:tcBorders>
            <w:gridSpan w:val="13"/>
          </w:tcPr>
          <w:p>
            <w:pPr>
              <w:spacing w:after="0" w:line="182" w:lineRule="exact"/>
              <w:rPr>
                <w:sz w:val="20"/>
                <w:szCs w:val="20"/>
                <w:color w:val="auto"/>
              </w:rPr>
            </w:pPr>
            <w:r>
              <w:rPr>
                <w:rFonts w:ascii="Times New Roman" w:cs="Times New Roman" w:eastAsia="Times New Roman" w:hAnsi="Times New Roman"/>
                <w:sz w:val="18"/>
                <w:szCs w:val="18"/>
                <w:color w:val="0563C1"/>
              </w:rPr>
              <w:t>Defaults Upon Senior Securities</w:t>
            </w:r>
          </w:p>
        </w:tc>
        <w:tc>
          <w:tcPr>
            <w:tcW w:w="494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2340" w:type="dxa"/>
            <w:vAlign w:val="bottom"/>
            <w:tcBorders>
              <w:top w:val="single" w:sz="8" w:color="0563C1"/>
            </w:tcBorders>
            <w:gridSpan w:val="9"/>
          </w:tcPr>
          <w:p>
            <w:pPr>
              <w:spacing w:after="0" w:line="182" w:lineRule="exact"/>
              <w:rPr>
                <w:sz w:val="20"/>
                <w:szCs w:val="20"/>
                <w:color w:val="auto"/>
              </w:rPr>
            </w:pPr>
            <w:r>
              <w:rPr>
                <w:rFonts w:ascii="Times New Roman" w:cs="Times New Roman" w:eastAsia="Times New Roman" w:hAnsi="Times New Roman"/>
                <w:sz w:val="18"/>
                <w:szCs w:val="18"/>
                <w:color w:val="0563C1"/>
              </w:rPr>
              <w:t>Mine Safety Disclosures</w:t>
            </w:r>
          </w:p>
        </w:tc>
        <w:tc>
          <w:tcPr>
            <w:tcW w:w="6960" w:type="dxa"/>
            <w:vAlign w:val="bottom"/>
            <w:gridSpan w:val="10"/>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5.</w:t>
            </w:r>
          </w:p>
        </w:tc>
        <w:tc>
          <w:tcPr>
            <w:tcW w:w="1780" w:type="dxa"/>
            <w:vAlign w:val="bottom"/>
            <w:tcBorders>
              <w:top w:val="single" w:sz="8" w:color="0563C1"/>
            </w:tcBorders>
            <w:gridSpan w:val="5"/>
          </w:tcPr>
          <w:p>
            <w:pPr>
              <w:spacing w:after="0" w:line="182" w:lineRule="exact"/>
              <w:rPr>
                <w:sz w:val="20"/>
                <w:szCs w:val="20"/>
                <w:color w:val="auto"/>
              </w:rPr>
            </w:pPr>
            <w:r>
              <w:rPr>
                <w:rFonts w:ascii="Times New Roman" w:cs="Times New Roman" w:eastAsia="Times New Roman" w:hAnsi="Times New Roman"/>
                <w:sz w:val="18"/>
                <w:szCs w:val="18"/>
                <w:color w:val="0563C1"/>
              </w:rPr>
              <w:t>Other Information</w:t>
            </w:r>
          </w:p>
        </w:tc>
        <w:tc>
          <w:tcPr>
            <w:tcW w:w="7520" w:type="dxa"/>
            <w:vAlign w:val="bottom"/>
            <w:gridSpan w:val="14"/>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563C1"/>
            </w:tcBorders>
            <w:gridSpan w:val="3"/>
          </w:tcPr>
          <w:p>
            <w:pPr>
              <w:spacing w:after="0" w:line="182" w:lineRule="exact"/>
              <w:rPr>
                <w:sz w:val="20"/>
                <w:szCs w:val="20"/>
                <w:color w:val="auto"/>
              </w:rPr>
            </w:pPr>
            <w:r>
              <w:rPr>
                <w:rFonts w:ascii="Times New Roman" w:cs="Times New Roman" w:eastAsia="Times New Roman" w:hAnsi="Times New Roman"/>
                <w:sz w:val="18"/>
                <w:szCs w:val="18"/>
                <w:color w:val="0563C1"/>
              </w:rPr>
              <w:t>Exhibits</w:t>
            </w:r>
          </w:p>
        </w:tc>
        <w:tc>
          <w:tcPr>
            <w:tcW w:w="7980" w:type="dxa"/>
            <w:vAlign w:val="bottom"/>
            <w:gridSpan w:val="1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563C1"/>
              </w:rPr>
              <w:t>Signatures</w:t>
            </w:r>
          </w:p>
        </w:tc>
        <w:tc>
          <w:tcPr>
            <w:tcW w:w="600" w:type="dxa"/>
            <w:vAlign w:val="bottom"/>
            <w:tcBorders>
              <w:top w:val="single" w:sz="8" w:color="0563C1"/>
            </w:tcBorders>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760" w:type="dxa"/>
            <w:vAlign w:val="bottom"/>
            <w:shd w:val="clear" w:color="auto" w:fill="0563C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17"/>
                <w:szCs w:val="17"/>
                <w:color w:val="auto"/>
              </w:rPr>
            </w:pP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6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108,659</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136,627</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current</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8"/>
                <w:szCs w:val="18"/>
                <w:color w:val="auto"/>
              </w:rPr>
            </w:pPr>
          </w:p>
        </w:tc>
      </w:tr>
      <w:tr>
        <w:trPr>
          <w:trHeight w:val="216"/>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4,470</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113,129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140,100</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r>
      <w:tr>
        <w:trPr>
          <w:trHeight w:val="216"/>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113,333</w:t>
            </w:r>
          </w:p>
        </w:tc>
        <w:tc>
          <w:tcPr>
            <w:tcW w:w="3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140,437</w:t>
            </w:r>
          </w:p>
        </w:tc>
        <w:tc>
          <w:tcPr>
            <w:tcW w:w="100" w:type="dxa"/>
            <w:vAlign w:val="bottom"/>
          </w:tcPr>
          <w:p>
            <w:pPr>
              <w:spacing w:after="0"/>
              <w:rPr>
                <w:sz w:val="18"/>
                <w:szCs w:val="18"/>
                <w:color w:val="auto"/>
              </w:rPr>
            </w:pPr>
          </w:p>
        </w:tc>
      </w:tr>
      <w:tr>
        <w:trPr>
          <w:trHeight w:val="20"/>
        </w:trPr>
        <w:tc>
          <w:tcPr>
            <w:tcW w:w="7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6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6,884</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current portion</w:t>
            </w: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8"/>
                <w:szCs w:val="18"/>
                <w:color w:val="auto"/>
              </w:rPr>
            </w:pPr>
          </w:p>
        </w:tc>
      </w:tr>
      <w:tr>
        <w:trPr>
          <w:trHeight w:val="210"/>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6,436</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14,834</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net of current portion and discount</w:t>
            </w: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18"/>
                <w:szCs w:val="18"/>
                <w:color w:val="auto"/>
              </w:rPr>
            </w:pPr>
          </w:p>
        </w:tc>
      </w:tr>
      <w:tr>
        <w:trPr>
          <w:trHeight w:val="210"/>
        </w:trPr>
        <w:tc>
          <w:tcPr>
            <w:tcW w:w="7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6,436</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71"/>
        </w:trPr>
        <w:tc>
          <w:tcPr>
            <w:tcW w:w="764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no shares issued</w:t>
            </w: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outstanding as of June 30, 2022 and December 31, 2021</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171"/>
        </w:trPr>
        <w:tc>
          <w:tcPr>
            <w:tcW w:w="764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Common stock, $0.0001 par value; 250,000,000 shares authorized; 43,244,453 and</w:t>
            </w:r>
          </w:p>
        </w:tc>
        <w:tc>
          <w:tcPr>
            <w:tcW w:w="30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7640" w:type="dxa"/>
            <w:vAlign w:val="bottom"/>
            <w:shd w:val="clear" w:color="auto" w:fill="CFF0FC"/>
          </w:tcPr>
          <w:p>
            <w:pPr>
              <w:ind w:left="340"/>
              <w:spacing w:after="0" w:line="189" w:lineRule="exact"/>
              <w:rPr>
                <w:sz w:val="20"/>
                <w:szCs w:val="20"/>
                <w:color w:val="auto"/>
              </w:rPr>
            </w:pPr>
            <w:r>
              <w:rPr>
                <w:rFonts w:ascii="Times New Roman" w:cs="Times New Roman" w:eastAsia="Times New Roman" w:hAnsi="Times New Roman"/>
                <w:sz w:val="18"/>
                <w:szCs w:val="18"/>
                <w:color w:val="auto"/>
              </w:rPr>
              <w:t>43,208,159 shares issued and outstanding as of June 30, 2022 and December 31,</w:t>
            </w:r>
          </w:p>
        </w:tc>
        <w:tc>
          <w:tcPr>
            <w:tcW w:w="30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76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2021, respectively</w:t>
            </w:r>
          </w:p>
        </w:tc>
        <w:tc>
          <w:tcPr>
            <w:tcW w:w="3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0"/>
                <w:szCs w:val="20"/>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313,904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309,527</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(207,011 )</w:t>
            </w:r>
          </w:p>
        </w:tc>
        <w:tc>
          <w:tcPr>
            <w:tcW w:w="1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(184,690 )</w:t>
            </w:r>
          </w:p>
        </w:tc>
      </w:tr>
      <w:tr>
        <w:trPr>
          <w:trHeight w:val="210"/>
        </w:trPr>
        <w:tc>
          <w:tcPr>
            <w:tcW w:w="76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106,897</w:t>
            </w:r>
          </w:p>
        </w:tc>
        <w:tc>
          <w:tcPr>
            <w:tcW w:w="30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124,841</w:t>
            </w:r>
          </w:p>
        </w:tc>
        <w:tc>
          <w:tcPr>
            <w:tcW w:w="100" w:type="dxa"/>
            <w:vAlign w:val="bottom"/>
            <w:tcBorders>
              <w:top w:val="single" w:sz="8" w:color="CFF0FC"/>
            </w:tcBorders>
          </w:tcPr>
          <w:p>
            <w:pPr>
              <w:spacing w:after="0"/>
              <w:rPr>
                <w:sz w:val="18"/>
                <w:szCs w:val="18"/>
                <w:color w:val="auto"/>
              </w:rPr>
            </w:pPr>
          </w:p>
        </w:tc>
      </w:tr>
      <w:tr>
        <w:trPr>
          <w:trHeight w:val="209"/>
        </w:trPr>
        <w:tc>
          <w:tcPr>
            <w:tcW w:w="7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113,333</w:t>
            </w:r>
          </w:p>
        </w:tc>
        <w:tc>
          <w:tcPr>
            <w:tcW w:w="3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140,437</w:t>
            </w:r>
          </w:p>
        </w:tc>
        <w:tc>
          <w:tcPr>
            <w:tcW w:w="100" w:type="dxa"/>
            <w:vAlign w:val="bottom"/>
          </w:tcPr>
          <w:p>
            <w:pPr>
              <w:spacing w:after="0"/>
              <w:rPr>
                <w:sz w:val="18"/>
                <w:szCs w:val="18"/>
                <w:color w:val="auto"/>
              </w:rPr>
            </w:pPr>
          </w:p>
        </w:tc>
      </w:tr>
      <w:tr>
        <w:trPr>
          <w:trHeight w:val="20"/>
        </w:trPr>
        <w:tc>
          <w:tcPr>
            <w:tcW w:w="764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9540" w:type="dxa"/>
            <w:vAlign w:val="bottom"/>
            <w:gridSpan w:val="4"/>
          </w:tcPr>
          <w:p>
            <w:pPr>
              <w:ind w:left="21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764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76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-4516755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-4516755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-3959860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-3959860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-2262505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-1071245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 w:name="page6"/>
    <w:bookmarkEnd w:id="5"/>
    <w:p>
      <w:pPr>
        <w:ind w:left="4620"/>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20" w:type="dxa"/>
            <w:vAlign w:val="bottom"/>
            <w:gridSpan w:val="5"/>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7"/>
                <w:szCs w:val="17"/>
                <w:color w:val="auto"/>
              </w:rPr>
            </w:pPr>
          </w:p>
        </w:tc>
        <w:tc>
          <w:tcPr>
            <w:tcW w:w="2460" w:type="dxa"/>
            <w:vAlign w:val="bottom"/>
            <w:gridSpan w:val="5"/>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6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2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10,842</w:t>
            </w:r>
          </w:p>
        </w:tc>
        <w:tc>
          <w:tcPr>
            <w:tcW w:w="2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12,384</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22,628</w:t>
            </w:r>
          </w:p>
        </w:tc>
        <w:tc>
          <w:tcPr>
            <w:tcW w:w="100" w:type="dxa"/>
            <w:vAlign w:val="bottom"/>
          </w:tcPr>
          <w:p>
            <w:pPr>
              <w:spacing w:after="0"/>
              <w:rPr>
                <w:sz w:val="18"/>
                <w:szCs w:val="18"/>
                <w:color w:val="auto"/>
              </w:rPr>
            </w:pPr>
          </w:p>
        </w:tc>
      </w:tr>
      <w:tr>
        <w:trPr>
          <w:trHeight w:val="216"/>
        </w:trPr>
        <w:tc>
          <w:tcPr>
            <w:tcW w:w="5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4,654</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5,478</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10,027</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7,234</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16,320</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22,411</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32,810</w:t>
            </w:r>
          </w:p>
        </w:tc>
        <w:tc>
          <w:tcPr>
            <w:tcW w:w="100" w:type="dxa"/>
            <w:vAlign w:val="bottom"/>
          </w:tcPr>
          <w:p>
            <w:pPr>
              <w:spacing w:after="0"/>
              <w:rPr>
                <w:sz w:val="18"/>
                <w:szCs w:val="18"/>
                <w:color w:val="auto"/>
              </w:rPr>
            </w:pPr>
          </w:p>
        </w:tc>
      </w:tr>
      <w:tr>
        <w:trPr>
          <w:trHeight w:val="210"/>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(7,234</w:t>
            </w:r>
          </w:p>
        </w:tc>
        <w:tc>
          <w:tcPr>
            <w:tcW w:w="2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(16,320</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(22,411</w:t>
            </w:r>
          </w:p>
        </w:tc>
        <w:tc>
          <w:tcPr>
            <w:tcW w:w="2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(32,810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(48 )</w:t>
            </w: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(121 )</w:t>
            </w:r>
          </w:p>
        </w:tc>
        <w:tc>
          <w:tcPr>
            <w:tcW w:w="2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(114 )</w:t>
            </w: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(1,969 )</w:t>
            </w:r>
          </w:p>
        </w:tc>
      </w:tr>
      <w:tr>
        <w:trPr>
          <w:trHeight w:val="216"/>
        </w:trPr>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r>
      <w:tr>
        <w:trPr>
          <w:trHeight w:val="216"/>
        </w:trPr>
        <w:tc>
          <w:tcPr>
            <w:tcW w:w="5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conversion of convertible notes</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(711 )</w:t>
            </w:r>
          </w:p>
        </w:tc>
      </w:tr>
      <w:tr>
        <w:trPr>
          <w:trHeight w:val="216"/>
        </w:trPr>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(11 )</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16"/>
        </w:trPr>
        <w:tc>
          <w:tcPr>
            <w:tcW w:w="5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(7,090 )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(16,447 )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(22,321 )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(35,495 )</w:t>
            </w:r>
          </w:p>
        </w:tc>
      </w:tr>
      <w:tr>
        <w:trPr>
          <w:trHeight w:val="20"/>
        </w:trPr>
        <w:tc>
          <w:tcPr>
            <w:tcW w:w="5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68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22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(0.16</w:t>
            </w:r>
          </w:p>
        </w:tc>
        <w:tc>
          <w:tcPr>
            <w:tcW w:w="280" w:type="dxa"/>
            <w:vAlign w:val="bottom"/>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(0.38</w:t>
            </w:r>
          </w:p>
        </w:tc>
        <w:tc>
          <w:tcPr>
            <w:tcW w:w="260" w:type="dxa"/>
            <w:vAlign w:val="bottom"/>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(0.52</w:t>
            </w:r>
          </w:p>
        </w:tc>
        <w:tc>
          <w:tcPr>
            <w:tcW w:w="2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(0.94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4"/>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43,230,523</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43,041,856</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43,221,712</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37,564,936</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-1570990</wp:posOffset>
            </wp:positionV>
            <wp:extent cx="76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-1570990</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-1570990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-1570990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-456565</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-456565</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-456565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-456565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 w:name="page7"/>
    <w:bookmarkEnd w:id="6"/>
    <w:p>
      <w:pPr>
        <w:ind w:left="4620"/>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8"/>
        </w:trPr>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vMerge w:val="restart"/>
          </w:tcPr>
          <w:p>
            <w:pPr>
              <w:spacing w:after="0"/>
              <w:rPr>
                <w:sz w:val="2"/>
                <w:szCs w:val="2"/>
                <w:color w:val="auto"/>
              </w:rPr>
            </w:pPr>
          </w:p>
        </w:tc>
        <w:tc>
          <w:tcPr>
            <w:tcW w:w="1240" w:type="dxa"/>
            <w:vAlign w:val="bottom"/>
            <w:gridSpan w:val="7"/>
            <w:vMerge w:val="restart"/>
          </w:tcPr>
          <w:p>
            <w:pPr>
              <w:jc w:val="center"/>
              <w:ind w:right="760"/>
              <w:spacing w:after="0"/>
              <w:rPr>
                <w:sz w:val="20"/>
                <w:szCs w:val="20"/>
                <w:color w:val="auto"/>
              </w:rPr>
            </w:pPr>
            <w:r>
              <w:rPr>
                <w:rFonts w:ascii="Times New Roman" w:cs="Times New Roman" w:eastAsia="Times New Roman" w:hAnsi="Times New Roman"/>
                <w:sz w:val="13"/>
                <w:szCs w:val="13"/>
                <w:b w:val="1"/>
                <w:bCs w:val="1"/>
                <w:color w:val="auto"/>
                <w:w w:val="95"/>
              </w:rPr>
              <w:t>Series A</w:t>
            </w:r>
          </w:p>
        </w:tc>
        <w:tc>
          <w:tcPr>
            <w:tcW w:w="20" w:type="dxa"/>
            <w:vAlign w:val="bottom"/>
            <w:vMerge w:val="restart"/>
          </w:tcPr>
          <w:p>
            <w:pPr>
              <w:spacing w:after="0"/>
              <w:rPr>
                <w:sz w:val="2"/>
                <w:szCs w:val="2"/>
                <w:color w:val="auto"/>
              </w:rPr>
            </w:pPr>
          </w:p>
        </w:tc>
        <w:tc>
          <w:tcPr>
            <w:tcW w:w="1700" w:type="dxa"/>
            <w:vAlign w:val="bottom"/>
            <w:gridSpan w:val="7"/>
            <w:vMerge w:val="restart"/>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Series B</w:t>
            </w:r>
          </w:p>
        </w:tc>
        <w:tc>
          <w:tcPr>
            <w:tcW w:w="2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7"/>
            <w:vMerge w:val="restart"/>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Old Gemini</w:t>
            </w: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line="20" w:lineRule="exact"/>
              <w:rPr>
                <w:sz w:val="1"/>
                <w:szCs w:val="1"/>
                <w:color w:val="auto"/>
              </w:rPr>
            </w:pPr>
          </w:p>
        </w:tc>
      </w:tr>
      <w:tr>
        <w:trPr>
          <w:trHeight w:val="122"/>
        </w:trPr>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240" w:type="dxa"/>
            <w:vAlign w:val="bottom"/>
            <w:gridSpan w:val="7"/>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1700" w:type="dxa"/>
            <w:vAlign w:val="bottom"/>
            <w:gridSpan w:val="7"/>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gridSpan w:val="7"/>
            <w:vMerge w:val="continue"/>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gridSpan w:val="8"/>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Convertible Preferred</w:t>
            </w:r>
          </w:p>
        </w:tc>
        <w:tc>
          <w:tcPr>
            <w:tcW w:w="20" w:type="dxa"/>
            <w:vAlign w:val="bottom"/>
          </w:tcPr>
          <w:p>
            <w:pPr>
              <w:spacing w:after="0"/>
              <w:rPr>
                <w:sz w:val="11"/>
                <w:szCs w:val="11"/>
                <w:color w:val="auto"/>
              </w:rPr>
            </w:pPr>
          </w:p>
        </w:tc>
        <w:tc>
          <w:tcPr>
            <w:tcW w:w="1700" w:type="dxa"/>
            <w:vAlign w:val="bottom"/>
            <w:gridSpan w:val="7"/>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rPr>
              <w:t>Convertible Preferred</w:t>
            </w:r>
          </w:p>
        </w:tc>
        <w:tc>
          <w:tcPr>
            <w:tcW w:w="20" w:type="dxa"/>
            <w:vAlign w:val="bottom"/>
            <w:shd w:val="clear" w:color="auto" w:fill="000000"/>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7"/>
            <w:vMerge w:val="continue"/>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8"/>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5"/>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820" w:type="dxa"/>
            <w:vAlign w:val="bottom"/>
            <w:gridSpan w:val="5"/>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Accumulat</w:t>
            </w:r>
          </w:p>
        </w:tc>
        <w:tc>
          <w:tcPr>
            <w:tcW w:w="780" w:type="dxa"/>
            <w:vAlign w:val="bottom"/>
            <w:gridSpan w:val="4"/>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stockholder</w:t>
            </w: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Stock</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7"/>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8"/>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4"/>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1"/>
              </w:rPr>
              <w:t>s'</w:t>
            </w:r>
          </w:p>
        </w:tc>
        <w:tc>
          <w:tcPr>
            <w:tcW w:w="0" w:type="dxa"/>
            <w:vAlign w:val="bottom"/>
          </w:tcPr>
          <w:p>
            <w:pPr>
              <w:spacing w:after="0"/>
              <w:rPr>
                <w:sz w:val="1"/>
                <w:szCs w:val="1"/>
                <w:color w:val="auto"/>
              </w:rPr>
            </w:pPr>
          </w:p>
        </w:tc>
      </w:tr>
      <w:tr>
        <w:trPr>
          <w:trHeight w:val="156"/>
        </w:trPr>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top w:val="single" w:sz="8" w:color="auto"/>
            </w:tcBorders>
            <w:gridSpan w:val="2"/>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200" w:type="dxa"/>
            <w:vAlign w:val="bottom"/>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top w:val="single" w:sz="8" w:color="auto"/>
            </w:tcBorders>
            <w:gridSpan w:val="3"/>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gridSpan w:val="2"/>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gridSpan w:val="2"/>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4"/>
          </w:tcPr>
          <w:p>
            <w:pPr>
              <w:jc w:val="center"/>
              <w:ind w:right="300"/>
              <w:spacing w:after="0" w:line="146" w:lineRule="exact"/>
              <w:rPr>
                <w:sz w:val="20"/>
                <w:szCs w:val="20"/>
                <w:color w:val="auto"/>
              </w:rPr>
            </w:pPr>
            <w:r>
              <w:rPr>
                <w:rFonts w:ascii="Times New Roman" w:cs="Times New Roman" w:eastAsia="Times New Roman" w:hAnsi="Times New Roman"/>
                <w:sz w:val="13"/>
                <w:szCs w:val="13"/>
                <w:b w:val="1"/>
                <w:bCs w:val="1"/>
                <w:color w:val="auto"/>
                <w:w w:val="95"/>
              </w:rPr>
              <w:t>capital</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ind w:right="340"/>
              <w:spacing w:after="0" w:line="146" w:lineRule="exact"/>
              <w:rPr>
                <w:sz w:val="20"/>
                <w:szCs w:val="20"/>
                <w:color w:val="auto"/>
              </w:rPr>
            </w:pPr>
            <w:r>
              <w:rPr>
                <w:rFonts w:ascii="Times New Roman" w:cs="Times New Roman" w:eastAsia="Times New Roman" w:hAnsi="Times New Roman"/>
                <w:sz w:val="13"/>
                <w:szCs w:val="13"/>
                <w:b w:val="1"/>
                <w:bCs w:val="1"/>
                <w:color w:val="auto"/>
                <w:w w:val="92"/>
              </w:rPr>
              <w:t>deficit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3"/>
                <w:szCs w:val="13"/>
                <w:b w:val="1"/>
                <w:bCs w:val="1"/>
                <w:color w:val="auto"/>
                <w:w w:val="97"/>
              </w:rPr>
              <w:t>equity</w:t>
            </w:r>
          </w:p>
        </w:tc>
        <w:tc>
          <w:tcPr>
            <w:tcW w:w="0" w:type="dxa"/>
            <w:vAlign w:val="bottom"/>
          </w:tcPr>
          <w:p>
            <w:pPr>
              <w:spacing w:after="0"/>
              <w:rPr>
                <w:sz w:val="1"/>
                <w:szCs w:val="1"/>
                <w:color w:val="auto"/>
              </w:rPr>
            </w:pPr>
          </w:p>
        </w:tc>
      </w:tr>
      <w:tr>
        <w:trPr>
          <w:trHeight w:val="108"/>
        </w:trPr>
        <w:tc>
          <w:tcPr>
            <w:tcW w:w="1840" w:type="dxa"/>
            <w:vAlign w:val="bottom"/>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Balance at December 31, 2020</w:t>
            </w:r>
          </w:p>
        </w:tc>
        <w:tc>
          <w:tcPr>
            <w:tcW w:w="100" w:type="dxa"/>
            <w:vAlign w:val="bottom"/>
          </w:tcPr>
          <w:p>
            <w:pPr>
              <w:spacing w:after="0"/>
              <w:rPr>
                <w:sz w:val="9"/>
                <w:szCs w:val="9"/>
                <w:color w:val="auto"/>
              </w:rPr>
            </w:pPr>
          </w:p>
        </w:tc>
        <w:tc>
          <w:tcPr>
            <w:tcW w:w="600" w:type="dxa"/>
            <w:vAlign w:val="bottom"/>
            <w:tcBorders>
              <w:top w:val="single" w:sz="8" w:color="auto"/>
            </w:tcBorders>
            <w:gridSpan w:val="2"/>
          </w:tcPr>
          <w:p>
            <w:pPr>
              <w:jc w:val="right"/>
              <w:spacing w:after="0" w:line="109" w:lineRule="exact"/>
              <w:rPr>
                <w:sz w:val="20"/>
                <w:szCs w:val="20"/>
                <w:color w:val="auto"/>
              </w:rPr>
            </w:pPr>
            <w:r>
              <w:rPr>
                <w:rFonts w:ascii="Times New Roman" w:cs="Times New Roman" w:eastAsia="Times New Roman" w:hAnsi="Times New Roman"/>
                <w:sz w:val="12"/>
                <w:szCs w:val="12"/>
                <w:color w:val="auto"/>
              </w:rPr>
              <w:t>39,722,0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Borders>
              <w:top w:val="single" w:sz="8" w:color="auto"/>
            </w:tcBorders>
            <w:gridSpan w:val="2"/>
          </w:tcPr>
          <w:p>
            <w:pPr>
              <w:jc w:val="right"/>
              <w:spacing w:after="0" w:line="109" w:lineRule="exact"/>
              <w:rPr>
                <w:sz w:val="20"/>
                <w:szCs w:val="20"/>
                <w:color w:val="auto"/>
              </w:rPr>
            </w:pPr>
            <w:r>
              <w:rPr>
                <w:rFonts w:ascii="Times New Roman" w:cs="Times New Roman" w:eastAsia="Times New Roman" w:hAnsi="Times New Roman"/>
                <w:sz w:val="12"/>
                <w:szCs w:val="12"/>
                <w:color w:val="auto"/>
              </w:rPr>
              <w:t>24,790,9</w:t>
            </w: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Borders>
              <w:top w:val="single" w:sz="8" w:color="auto"/>
            </w:tcBorders>
            <w:gridSpan w:val="2"/>
          </w:tcPr>
          <w:p>
            <w:pPr>
              <w:jc w:val="right"/>
              <w:spacing w:after="0" w:line="109" w:lineRule="exact"/>
              <w:rPr>
                <w:sz w:val="20"/>
                <w:szCs w:val="20"/>
                <w:color w:val="auto"/>
              </w:rPr>
            </w:pPr>
            <w:r>
              <w:rPr>
                <w:rFonts w:ascii="Times New Roman" w:cs="Times New Roman" w:eastAsia="Times New Roman" w:hAnsi="Times New Roman"/>
                <w:sz w:val="12"/>
                <w:szCs w:val="12"/>
                <w:color w:val="auto"/>
              </w:rPr>
              <w:t>6,900,49</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84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(as previously reported)</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47,113</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33,336</w:t>
            </w:r>
          </w:p>
        </w:tc>
        <w:tc>
          <w:tcPr>
            <w:tcW w:w="20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10,504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5"/>
              </w:rPr>
              <w:t>(112,821 )</w:t>
            </w:r>
          </w:p>
        </w:tc>
        <w:tc>
          <w:tcPr>
            <w:tcW w:w="140" w:type="dxa"/>
            <w:vAlign w:val="bottom"/>
          </w:tcPr>
          <w:p>
            <w:pPr>
              <w:spacing w:after="0"/>
              <w:rPr>
                <w:sz w:val="15"/>
                <w:szCs w:val="15"/>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(102,310 )</w:t>
            </w:r>
          </w:p>
        </w:tc>
        <w:tc>
          <w:tcPr>
            <w:tcW w:w="0" w:type="dxa"/>
            <w:vAlign w:val="bottom"/>
          </w:tcPr>
          <w:p>
            <w:pPr>
              <w:spacing w:after="0"/>
              <w:rPr>
                <w:sz w:val="1"/>
                <w:szCs w:val="1"/>
                <w:color w:val="auto"/>
              </w:rPr>
            </w:pPr>
          </w:p>
        </w:tc>
      </w:tr>
      <w:tr>
        <w:trPr>
          <w:trHeight w:val="125"/>
        </w:trPr>
        <w:tc>
          <w:tcPr>
            <w:tcW w:w="184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3"/>
                <w:szCs w:val="13"/>
                <w:color w:val="auto"/>
              </w:rPr>
              <w:t>Retroactive application of the</w:t>
            </w: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840" w:type="dxa"/>
            <w:vAlign w:val="bottom"/>
            <w:shd w:val="clear" w:color="auto" w:fill="CFF0FC"/>
          </w:tcPr>
          <w:p>
            <w:pPr>
              <w:ind w:left="120"/>
              <w:spacing w:after="0" w:line="126" w:lineRule="exact"/>
              <w:rPr>
                <w:sz w:val="20"/>
                <w:szCs w:val="20"/>
                <w:color w:val="auto"/>
              </w:rPr>
            </w:pPr>
            <w:r>
              <w:rPr>
                <w:rFonts w:ascii="Times New Roman" w:cs="Times New Roman" w:eastAsia="Times New Roman" w:hAnsi="Times New Roman"/>
                <w:sz w:val="13"/>
                <w:szCs w:val="13"/>
                <w:color w:val="auto"/>
              </w:rPr>
              <w:t>recapitalization due to the</w:t>
            </w:r>
          </w:p>
        </w:tc>
        <w:tc>
          <w:tcPr>
            <w:tcW w:w="70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(39,722,</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(24,790,</w:t>
            </w:r>
          </w:p>
        </w:tc>
        <w:tc>
          <w:tcPr>
            <w:tcW w:w="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540" w:type="dxa"/>
            <w:vAlign w:val="bottom"/>
            <w:tcBorders>
              <w:left w:val="single" w:sz="8" w:color="CFF0FC"/>
            </w:tcBorders>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(6,900,4</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15,565,</w:t>
            </w:r>
          </w:p>
        </w:tc>
        <w:tc>
          <w:tcPr>
            <w:tcW w:w="1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8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color w:val="auto"/>
              </w:rPr>
              <w:t>Business</w:t>
            </w:r>
          </w:p>
        </w:tc>
        <w:tc>
          <w:tcPr>
            <w:tcW w:w="700" w:type="dxa"/>
            <w:vAlign w:val="bottom"/>
            <w:gridSpan w:val="3"/>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00" w:type="dxa"/>
            <w:vAlign w:val="bottom"/>
            <w:gridSpan w:val="2"/>
            <w:vMerge w:val="continue"/>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540" w:type="dxa"/>
            <w:vAlign w:val="bottom"/>
            <w:tcBorders>
              <w:left w:val="single" w:sz="8" w:color="CFF0FC"/>
            </w:tcBorders>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60" w:type="dxa"/>
            <w:vAlign w:val="bottom"/>
            <w:gridSpan w:val="2"/>
            <w:vMerge w:val="continue"/>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Combination (Note 2)</w:t>
            </w:r>
          </w:p>
        </w:tc>
        <w:tc>
          <w:tcPr>
            <w:tcW w:w="840" w:type="dxa"/>
            <w:vAlign w:val="bottom"/>
            <w:gridSpan w:val="4"/>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088 )</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(47,113 )</w:t>
            </w:r>
          </w:p>
        </w:tc>
        <w:tc>
          <w:tcPr>
            <w:tcW w:w="840" w:type="dxa"/>
            <w:vAlign w:val="bottom"/>
            <w:gridSpan w:val="4"/>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938 )</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(33,336 )</w:t>
            </w:r>
          </w:p>
        </w:tc>
        <w:tc>
          <w:tcPr>
            <w:tcW w:w="20" w:type="dxa"/>
            <w:vAlign w:val="bottom"/>
            <w:shd w:val="clear" w:color="auto" w:fill="000000"/>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660" w:type="dxa"/>
            <w:vAlign w:val="bottom"/>
            <w:tcBorders>
              <w:lef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93 )</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(7 )</w:t>
            </w:r>
          </w:p>
        </w:tc>
        <w:tc>
          <w:tcPr>
            <w:tcW w:w="8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380</w:t>
            </w:r>
          </w:p>
        </w:tc>
        <w:tc>
          <w:tcPr>
            <w:tcW w:w="1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80,454</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80,449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1840" w:type="dxa"/>
            <w:vAlign w:val="bottom"/>
            <w:tcBorders>
              <w:top w:val="single" w:sz="8" w:color="CFF0FC"/>
            </w:tcBorders>
          </w:tcPr>
          <w:p>
            <w:pPr>
              <w:ind w:left="20"/>
              <w:spacing w:after="0" w:line="110" w:lineRule="exact"/>
              <w:rPr>
                <w:sz w:val="20"/>
                <w:szCs w:val="20"/>
                <w:color w:val="auto"/>
              </w:rPr>
            </w:pPr>
            <w:r>
              <w:rPr>
                <w:rFonts w:ascii="Times New Roman" w:cs="Times New Roman" w:eastAsia="Times New Roman" w:hAnsi="Times New Roman"/>
                <w:sz w:val="12"/>
                <w:szCs w:val="12"/>
                <w:b w:val="1"/>
                <w:bCs w:val="1"/>
                <w:color w:val="auto"/>
              </w:rPr>
              <w:t>Balance at December 31, 2020,</w:t>
            </w:r>
          </w:p>
        </w:tc>
        <w:tc>
          <w:tcPr>
            <w:tcW w:w="100" w:type="dxa"/>
            <w:vAlign w:val="bottom"/>
            <w:tcBorders>
              <w:top w:val="single" w:sz="8" w:color="CFF0FC"/>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0" w:type="dxa"/>
            <w:vAlign w:val="bottom"/>
            <w:tcBorders>
              <w:top w:val="single" w:sz="8" w:color="CFF0FC"/>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60" w:type="dxa"/>
            <w:vAlign w:val="bottom"/>
            <w:tcBorders>
              <w:top w:val="single" w:sz="8" w:color="CFF0FC"/>
            </w:tcBorders>
          </w:tcPr>
          <w:p>
            <w:pPr>
              <w:spacing w:after="0"/>
              <w:rPr>
                <w:sz w:val="9"/>
                <w:szCs w:val="9"/>
                <w:color w:val="auto"/>
              </w:rPr>
            </w:pPr>
          </w:p>
        </w:tc>
        <w:tc>
          <w:tcPr>
            <w:tcW w:w="180" w:type="dxa"/>
            <w:vAlign w:val="bottom"/>
            <w:tcBorders>
              <w:top w:val="single" w:sz="8" w:color="CFF0FC"/>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15,565,</w:t>
            </w:r>
          </w:p>
        </w:tc>
        <w:tc>
          <w:tcPr>
            <w:tcW w:w="160" w:type="dxa"/>
            <w:vAlign w:val="bottom"/>
            <w:tcBorders>
              <w:top w:val="single" w:sz="8" w:color="CFF0FC"/>
            </w:tcBorders>
          </w:tcPr>
          <w:p>
            <w:pPr>
              <w:spacing w:after="0"/>
              <w:rPr>
                <w:sz w:val="9"/>
                <w:szCs w:val="9"/>
                <w:color w:val="auto"/>
              </w:rPr>
            </w:pPr>
          </w:p>
        </w:tc>
        <w:tc>
          <w:tcPr>
            <w:tcW w:w="40" w:type="dxa"/>
            <w:vAlign w:val="bottom"/>
            <w:tcBorders>
              <w:top w:val="single" w:sz="8" w:color="CFF0FC"/>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4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60" w:type="dxa"/>
            <w:vAlign w:val="bottom"/>
            <w:tcBorders>
              <w:top w:val="single" w:sz="8" w:color="CFF0FC"/>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b w:val="1"/>
                <w:bCs w:val="1"/>
                <w:color w:val="auto"/>
                <w:w w:val="99"/>
              </w:rPr>
              <w:t>effect of Business Combination</w:t>
            </w:r>
          </w:p>
        </w:tc>
        <w:tc>
          <w:tcPr>
            <w:tcW w:w="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90,958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w w:val="95"/>
              </w:rPr>
              <w:t>(112,821 )</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(21,861 )</w:t>
            </w:r>
          </w:p>
        </w:tc>
        <w:tc>
          <w:tcPr>
            <w:tcW w:w="0" w:type="dxa"/>
            <w:vAlign w:val="bottom"/>
          </w:tcPr>
          <w:p>
            <w:pPr>
              <w:spacing w:after="0"/>
              <w:rPr>
                <w:sz w:val="1"/>
                <w:szCs w:val="1"/>
                <w:color w:val="auto"/>
              </w:rPr>
            </w:pPr>
          </w:p>
        </w:tc>
      </w:tr>
      <w:tr>
        <w:trPr>
          <w:trHeight w:val="171"/>
        </w:trPr>
        <w:tc>
          <w:tcPr>
            <w:tcW w:w="184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(Note 2)</w:t>
            </w:r>
          </w:p>
        </w:tc>
        <w:tc>
          <w:tcPr>
            <w:tcW w:w="7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380</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840" w:type="dxa"/>
            <w:vAlign w:val="bottom"/>
            <w:shd w:val="clear" w:color="auto" w:fill="CFF0FC"/>
          </w:tcPr>
          <w:p>
            <w:pPr>
              <w:ind w:left="20"/>
              <w:spacing w:after="0" w:line="121" w:lineRule="exact"/>
              <w:rPr>
                <w:sz w:val="20"/>
                <w:szCs w:val="20"/>
                <w:color w:val="auto"/>
              </w:rPr>
            </w:pPr>
            <w:r>
              <w:rPr>
                <w:rFonts w:ascii="Times New Roman" w:cs="Times New Roman" w:eastAsia="Times New Roman" w:hAnsi="Times New Roman"/>
                <w:sz w:val="13"/>
                <w:szCs w:val="13"/>
                <w:color w:val="auto"/>
              </w:rPr>
              <w:t>Issuance of common stock upon</w:t>
            </w: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25,041,</w:t>
            </w:r>
          </w:p>
        </w:tc>
        <w:tc>
          <w:tcPr>
            <w:tcW w:w="1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840" w:type="dxa"/>
            <w:vAlign w:val="bottom"/>
            <w:shd w:val="clear" w:color="auto" w:fill="CFF0FC"/>
          </w:tcPr>
          <w:p>
            <w:pPr>
              <w:ind w:left="120"/>
              <w:spacing w:after="0" w:line="126" w:lineRule="exact"/>
              <w:rPr>
                <w:sz w:val="20"/>
                <w:szCs w:val="20"/>
                <w:color w:val="auto"/>
              </w:rPr>
            </w:pPr>
            <w:r>
              <w:rPr>
                <w:rFonts w:ascii="Times New Roman" w:cs="Times New Roman" w:eastAsia="Times New Roman" w:hAnsi="Times New Roman"/>
                <w:sz w:val="13"/>
                <w:szCs w:val="13"/>
                <w:color w:val="auto"/>
              </w:rPr>
              <w:t>Business Combination, net of</w:t>
            </w:r>
          </w:p>
        </w:tc>
        <w:tc>
          <w:tcPr>
            <w:tcW w:w="70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right w:val="single" w:sz="8" w:color="CFF0FC"/>
            </w:tcBorders>
            <w:shd w:val="clear" w:color="auto" w:fill="CFF0FC"/>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540" w:type="dxa"/>
            <w:vAlign w:val="bottom"/>
            <w:tcBorders>
              <w:left w:val="single" w:sz="8" w:color="CFF0FC"/>
            </w:tcBorders>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60" w:type="dxa"/>
            <w:vAlign w:val="bottom"/>
            <w:gridSpan w:val="2"/>
            <w:vMerge w:val="continue"/>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195,880</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195,882</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issuance costs (Note 2)</w:t>
            </w:r>
          </w:p>
        </w:tc>
        <w:tc>
          <w:tcPr>
            <w:tcW w:w="700" w:type="dxa"/>
            <w:vAlign w:val="bottom"/>
            <w:gridSpan w:val="3"/>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0" w:type="dxa"/>
            <w:vAlign w:val="bottom"/>
            <w:gridSpan w:val="2"/>
            <w:vMerge w:val="continue"/>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vMerge w:val="continue"/>
            <w:shd w:val="clear" w:color="auto" w:fill="CFF0FC"/>
          </w:tcPr>
          <w:p>
            <w:pPr>
              <w:spacing w:after="0"/>
              <w:rPr>
                <w:sz w:val="15"/>
                <w:szCs w:val="15"/>
                <w:color w:val="auto"/>
              </w:rPr>
            </w:pPr>
          </w:p>
        </w:tc>
        <w:tc>
          <w:tcPr>
            <w:tcW w:w="200" w:type="dxa"/>
            <w:vAlign w:val="bottom"/>
            <w:tcBorders>
              <w:right w:val="single" w:sz="8" w:color="CFF0FC"/>
            </w:tcBorders>
            <w:shd w:val="clear" w:color="auto" w:fill="CFF0FC"/>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540" w:type="dxa"/>
            <w:vAlign w:val="bottom"/>
            <w:tcBorders>
              <w:left w:val="single" w:sz="8" w:color="CFF0FC"/>
            </w:tcBorders>
            <w:gridSpan w:val="2"/>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gridSpan w:val="2"/>
            <w:vMerge w:val="continue"/>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1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0" w:type="dxa"/>
            <w:vAlign w:val="bottom"/>
            <w:gridSpan w:val="2"/>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gridSpan w:val="2"/>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80" w:type="dxa"/>
            <w:vAlign w:val="bottom"/>
            <w:vMerge w:val="continue"/>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84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Conversion of promissory notes</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2,341,3</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(Note 2)</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14,515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84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3"/>
                <w:szCs w:val="13"/>
                <w:color w:val="auto"/>
              </w:rPr>
              <w:t>Issuance of common stock upon</w:t>
            </w: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exercise of warrants (Note 2)</w:t>
            </w:r>
          </w:p>
        </w:tc>
        <w:tc>
          <w:tcPr>
            <w:tcW w:w="7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right w:val="single" w:sz="8" w:color="CFF0FC"/>
            </w:tcBorders>
            <w:shd w:val="clear" w:color="auto" w:fill="CFF0FC"/>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540" w:type="dxa"/>
            <w:vAlign w:val="bottom"/>
            <w:tcBorders>
              <w:lef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15,257</w:t>
            </w:r>
          </w:p>
        </w:tc>
        <w:tc>
          <w:tcPr>
            <w:tcW w:w="1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84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6"/>
              </w:rPr>
              <w:t>Vesting of restricted common stock</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35,561</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84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3"/>
                <w:szCs w:val="13"/>
                <w:color w:val="auto"/>
              </w:rPr>
              <w:t>Issuance of common stock upon</w:t>
            </w: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7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right w:val="single" w:sz="8" w:color="CFF0FC"/>
            </w:tcBorders>
            <w:shd w:val="clear" w:color="auto" w:fill="CFF0FC"/>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540" w:type="dxa"/>
            <w:vAlign w:val="bottom"/>
            <w:tcBorders>
              <w:lef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3,480</w:t>
            </w:r>
          </w:p>
        </w:tc>
        <w:tc>
          <w:tcPr>
            <w:tcW w:w="1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84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7"/>
              </w:rPr>
              <w:t>Stock-based compensation expense</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1,593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7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right w:val="single" w:sz="8" w:color="CFF0FC"/>
            </w:tcBorders>
            <w:shd w:val="clear" w:color="auto" w:fill="CFF0FC"/>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540" w:type="dxa"/>
            <w:vAlign w:val="bottom"/>
            <w:tcBorders>
              <w:lef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(19,048 )</w:t>
            </w: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(19,048 )</w:t>
            </w:r>
          </w:p>
        </w:tc>
        <w:tc>
          <w:tcPr>
            <w:tcW w:w="0" w:type="dxa"/>
            <w:vAlign w:val="bottom"/>
          </w:tcPr>
          <w:p>
            <w:pPr>
              <w:spacing w:after="0"/>
              <w:rPr>
                <w:sz w:val="1"/>
                <w:szCs w:val="1"/>
                <w:color w:val="auto"/>
              </w:rPr>
            </w:pPr>
          </w:p>
        </w:tc>
      </w:tr>
      <w:tr>
        <w:trPr>
          <w:trHeight w:val="110"/>
        </w:trPr>
        <w:tc>
          <w:tcPr>
            <w:tcW w:w="1840" w:type="dxa"/>
            <w:vAlign w:val="bottom"/>
            <w:tcBorders>
              <w:top w:val="single" w:sz="8" w:color="CFF0FC"/>
            </w:tcBorders>
          </w:tcPr>
          <w:p>
            <w:pPr>
              <w:ind w:left="20"/>
              <w:spacing w:after="0" w:line="110" w:lineRule="exact"/>
              <w:rPr>
                <w:sz w:val="20"/>
                <w:szCs w:val="20"/>
                <w:color w:val="auto"/>
              </w:rPr>
            </w:pPr>
            <w:r>
              <w:rPr>
                <w:rFonts w:ascii="Times New Roman" w:cs="Times New Roman" w:eastAsia="Times New Roman" w:hAnsi="Times New Roman"/>
                <w:sz w:val="12"/>
                <w:szCs w:val="12"/>
                <w:b w:val="1"/>
                <w:bCs w:val="1"/>
                <w:color w:val="auto"/>
              </w:rPr>
              <w:t>Balance at March 31, 2021</w:t>
            </w:r>
          </w:p>
        </w:tc>
        <w:tc>
          <w:tcPr>
            <w:tcW w:w="100" w:type="dxa"/>
            <w:vAlign w:val="bottom"/>
            <w:tcBorders>
              <w:top w:val="single" w:sz="8" w:color="CFF0FC"/>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0" w:type="dxa"/>
            <w:vAlign w:val="bottom"/>
            <w:tcBorders>
              <w:top w:val="single" w:sz="8" w:color="CFF0FC"/>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60" w:type="dxa"/>
            <w:vAlign w:val="bottom"/>
            <w:tcBorders>
              <w:top w:val="single" w:sz="8" w:color="CFF0FC"/>
            </w:tcBorders>
          </w:tcPr>
          <w:p>
            <w:pPr>
              <w:spacing w:after="0"/>
              <w:rPr>
                <w:sz w:val="9"/>
                <w:szCs w:val="9"/>
                <w:color w:val="auto"/>
              </w:rPr>
            </w:pPr>
          </w:p>
        </w:tc>
        <w:tc>
          <w:tcPr>
            <w:tcW w:w="180" w:type="dxa"/>
            <w:vAlign w:val="bottom"/>
            <w:tcBorders>
              <w:top w:val="single" w:sz="8" w:color="CFF0FC"/>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gridSpan w:val="2"/>
          </w:tcPr>
          <w:p>
            <w:pPr>
              <w:jc w:val="right"/>
              <w:spacing w:after="0" w:line="110" w:lineRule="exact"/>
              <w:rPr>
                <w:sz w:val="20"/>
                <w:szCs w:val="20"/>
                <w:color w:val="auto"/>
              </w:rPr>
            </w:pPr>
            <w:r>
              <w:rPr>
                <w:rFonts w:ascii="Times New Roman" w:cs="Times New Roman" w:eastAsia="Times New Roman" w:hAnsi="Times New Roman"/>
                <w:sz w:val="12"/>
                <w:szCs w:val="12"/>
                <w:color w:val="auto"/>
              </w:rPr>
              <w:t>43,002,</w:t>
            </w:r>
          </w:p>
        </w:tc>
        <w:tc>
          <w:tcPr>
            <w:tcW w:w="160" w:type="dxa"/>
            <w:vAlign w:val="bottom"/>
            <w:tcBorders>
              <w:top w:val="single" w:sz="8" w:color="CFF0FC"/>
            </w:tcBorders>
          </w:tcPr>
          <w:p>
            <w:pPr>
              <w:spacing w:after="0"/>
              <w:rPr>
                <w:sz w:val="9"/>
                <w:szCs w:val="9"/>
                <w:color w:val="auto"/>
              </w:rPr>
            </w:pPr>
          </w:p>
        </w:tc>
        <w:tc>
          <w:tcPr>
            <w:tcW w:w="40" w:type="dxa"/>
            <w:vAlign w:val="bottom"/>
            <w:tcBorders>
              <w:top w:val="single" w:sz="8" w:color="CFF0FC"/>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4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60" w:type="dxa"/>
            <w:vAlign w:val="bottom"/>
            <w:tcBorders>
              <w:top w:val="single" w:sz="8" w:color="CFF0FC"/>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840" w:type="dxa"/>
            <w:vAlign w:val="bottom"/>
          </w:tcPr>
          <w:p>
            <w:pPr>
              <w:spacing w:after="0"/>
              <w:rPr>
                <w:sz w:val="15"/>
                <w:szCs w:val="15"/>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303,026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5"/>
              </w:rPr>
              <w:t>(131,869 )</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171,161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84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3"/>
                <w:szCs w:val="13"/>
                <w:color w:val="auto"/>
              </w:rPr>
              <w:t>Issuance of common stock upon</w:t>
            </w:r>
          </w:p>
        </w:tc>
        <w:tc>
          <w:tcPr>
            <w:tcW w:w="100" w:type="dxa"/>
            <w:vAlign w:val="bottom"/>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4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20" w:type="dxa"/>
            <w:vAlign w:val="bottom"/>
            <w:tcBorders>
              <w:top w:val="single" w:sz="8" w:color="auto"/>
              <w:left w:val="single" w:sz="8" w:color="CFF0FC"/>
            </w:tcBorders>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44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auto"/>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7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right w:val="single" w:sz="8" w:color="CFF0FC"/>
            </w:tcBorders>
            <w:shd w:val="clear" w:color="auto" w:fill="CFF0FC"/>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540" w:type="dxa"/>
            <w:vAlign w:val="bottom"/>
            <w:tcBorders>
              <w:lef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52,968</w:t>
            </w:r>
          </w:p>
        </w:tc>
        <w:tc>
          <w:tcPr>
            <w:tcW w:w="1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84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7"/>
              </w:rPr>
              <w:t>Stock-based compensation expense</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2,862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7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right w:val="single" w:sz="8" w:color="CFF0FC"/>
            </w:tcBorders>
            <w:shd w:val="clear" w:color="auto" w:fill="CFF0FC"/>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540" w:type="dxa"/>
            <w:vAlign w:val="bottom"/>
            <w:tcBorders>
              <w:lef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(16,447 )</w:t>
            </w: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(16,447 )</w:t>
            </w:r>
          </w:p>
        </w:tc>
        <w:tc>
          <w:tcPr>
            <w:tcW w:w="0" w:type="dxa"/>
            <w:vAlign w:val="bottom"/>
          </w:tcPr>
          <w:p>
            <w:pPr>
              <w:spacing w:after="0"/>
              <w:rPr>
                <w:sz w:val="1"/>
                <w:szCs w:val="1"/>
                <w:color w:val="auto"/>
              </w:rPr>
            </w:pPr>
          </w:p>
        </w:tc>
      </w:tr>
      <w:tr>
        <w:trPr>
          <w:trHeight w:val="110"/>
        </w:trPr>
        <w:tc>
          <w:tcPr>
            <w:tcW w:w="1840" w:type="dxa"/>
            <w:vAlign w:val="bottom"/>
            <w:tcBorders>
              <w:top w:val="single" w:sz="8" w:color="CFF0FC"/>
            </w:tcBorders>
          </w:tcPr>
          <w:p>
            <w:pPr>
              <w:ind w:left="20"/>
              <w:spacing w:after="0" w:line="110" w:lineRule="exact"/>
              <w:rPr>
                <w:sz w:val="20"/>
                <w:szCs w:val="20"/>
                <w:color w:val="auto"/>
              </w:rPr>
            </w:pPr>
            <w:r>
              <w:rPr>
                <w:rFonts w:ascii="Times New Roman" w:cs="Times New Roman" w:eastAsia="Times New Roman" w:hAnsi="Times New Roman"/>
                <w:sz w:val="12"/>
                <w:szCs w:val="12"/>
                <w:b w:val="1"/>
                <w:bCs w:val="1"/>
                <w:color w:val="auto"/>
              </w:rPr>
              <w:t>Balance at June 30, 2021</w:t>
            </w:r>
          </w:p>
        </w:tc>
        <w:tc>
          <w:tcPr>
            <w:tcW w:w="100" w:type="dxa"/>
            <w:vAlign w:val="bottom"/>
            <w:tcBorders>
              <w:top w:val="single" w:sz="8" w:color="CFF0FC"/>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0" w:type="dxa"/>
            <w:vAlign w:val="bottom"/>
            <w:tcBorders>
              <w:top w:val="single" w:sz="8" w:color="CFF0FC"/>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60" w:type="dxa"/>
            <w:vAlign w:val="bottom"/>
            <w:tcBorders>
              <w:top w:val="single" w:sz="8" w:color="CFF0FC"/>
            </w:tcBorders>
          </w:tcPr>
          <w:p>
            <w:pPr>
              <w:spacing w:after="0"/>
              <w:rPr>
                <w:sz w:val="9"/>
                <w:szCs w:val="9"/>
                <w:color w:val="auto"/>
              </w:rPr>
            </w:pPr>
          </w:p>
        </w:tc>
        <w:tc>
          <w:tcPr>
            <w:tcW w:w="180" w:type="dxa"/>
            <w:vAlign w:val="bottom"/>
            <w:tcBorders>
              <w:top w:val="single" w:sz="8" w:color="CFF0FC"/>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gridSpan w:val="2"/>
          </w:tcPr>
          <w:p>
            <w:pPr>
              <w:jc w:val="right"/>
              <w:spacing w:after="0" w:line="110" w:lineRule="exact"/>
              <w:rPr>
                <w:sz w:val="20"/>
                <w:szCs w:val="20"/>
                <w:color w:val="auto"/>
              </w:rPr>
            </w:pPr>
            <w:r>
              <w:rPr>
                <w:rFonts w:ascii="Times New Roman" w:cs="Times New Roman" w:eastAsia="Times New Roman" w:hAnsi="Times New Roman"/>
                <w:sz w:val="12"/>
                <w:szCs w:val="12"/>
                <w:color w:val="auto"/>
              </w:rPr>
              <w:t>43,055,</w:t>
            </w:r>
          </w:p>
        </w:tc>
        <w:tc>
          <w:tcPr>
            <w:tcW w:w="160" w:type="dxa"/>
            <w:vAlign w:val="bottom"/>
            <w:tcBorders>
              <w:top w:val="single" w:sz="8" w:color="CFF0FC"/>
            </w:tcBorders>
          </w:tcPr>
          <w:p>
            <w:pPr>
              <w:spacing w:after="0"/>
              <w:rPr>
                <w:sz w:val="9"/>
                <w:szCs w:val="9"/>
                <w:color w:val="auto"/>
              </w:rPr>
            </w:pPr>
          </w:p>
        </w:tc>
        <w:tc>
          <w:tcPr>
            <w:tcW w:w="40" w:type="dxa"/>
            <w:vAlign w:val="bottom"/>
            <w:tcBorders>
              <w:top w:val="single" w:sz="8" w:color="CFF0FC"/>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4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60" w:type="dxa"/>
            <w:vAlign w:val="bottom"/>
            <w:tcBorders>
              <w:top w:val="single" w:sz="8" w:color="CFF0FC"/>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305,994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5"/>
              </w:rPr>
              <w:t>(148,316 )</w:t>
            </w:r>
          </w:p>
        </w:tc>
        <w:tc>
          <w:tcPr>
            <w:tcW w:w="140" w:type="dxa"/>
            <w:vAlign w:val="bottom"/>
          </w:tcPr>
          <w:p>
            <w:pPr>
              <w:spacing w:after="0"/>
              <w:rPr>
                <w:sz w:val="15"/>
                <w:szCs w:val="15"/>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157,682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8"/>
            <w:vMerge w:val="restart"/>
          </w:tcPr>
          <w:p>
            <w:pPr>
              <w:jc w:val="right"/>
              <w:ind w:right="820"/>
              <w:spacing w:after="0"/>
              <w:rPr>
                <w:sz w:val="20"/>
                <w:szCs w:val="20"/>
                <w:color w:val="auto"/>
              </w:rPr>
            </w:pPr>
            <w:r>
              <w:rPr>
                <w:rFonts w:ascii="Times New Roman" w:cs="Times New Roman" w:eastAsia="Times New Roman" w:hAnsi="Times New Roman"/>
                <w:sz w:val="13"/>
                <w:szCs w:val="13"/>
                <w:b w:val="1"/>
                <w:bCs w:val="1"/>
                <w:color w:val="auto"/>
              </w:rPr>
              <w:t>Series A</w:t>
            </w: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gridSpan w:val="8"/>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Series B</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gridSpan w:val="6"/>
            <w:vMerge w:val="restart"/>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Old Gemini</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Addition</w:t>
            </w:r>
          </w:p>
        </w:tc>
        <w:tc>
          <w:tcPr>
            <w:tcW w:w="60" w:type="dxa"/>
            <w:vAlign w:val="bottom"/>
          </w:tcPr>
          <w:p>
            <w:pPr>
              <w:spacing w:after="0"/>
              <w:rPr>
                <w:sz w:val="16"/>
                <w:szCs w:val="16"/>
                <w:color w:val="auto"/>
              </w:rPr>
            </w:pPr>
          </w:p>
        </w:tc>
        <w:tc>
          <w:tcPr>
            <w:tcW w:w="760" w:type="dxa"/>
            <w:vAlign w:val="bottom"/>
            <w:gridSpan w:val="4"/>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15"/>
        </w:trPr>
        <w:tc>
          <w:tcPr>
            <w:tcW w:w="1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gridSpan w:val="8"/>
            <w:vMerge w:val="continue"/>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60" w:type="dxa"/>
            <w:vAlign w:val="bottom"/>
            <w:gridSpan w:val="8"/>
            <w:vMerge w:val="continue"/>
          </w:tcPr>
          <w:p>
            <w:pPr>
              <w:spacing w:after="0"/>
              <w:rPr>
                <w:sz w:val="9"/>
                <w:szCs w:val="9"/>
                <w:color w:val="auto"/>
              </w:rPr>
            </w:pPr>
          </w:p>
        </w:tc>
        <w:tc>
          <w:tcPr>
            <w:tcW w:w="120" w:type="dxa"/>
            <w:vAlign w:val="bottom"/>
            <w:tcBorders>
              <w:left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6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gridSpan w:val="8"/>
            <w:vMerge w:val="continue"/>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8"/>
            <w:vMerge w:val="continue"/>
          </w:tcPr>
          <w:p>
            <w:pPr>
              <w:spacing w:after="0"/>
              <w:rPr>
                <w:sz w:val="11"/>
                <w:szCs w:val="11"/>
                <w:color w:val="auto"/>
              </w:rPr>
            </w:pPr>
          </w:p>
        </w:tc>
        <w:tc>
          <w:tcPr>
            <w:tcW w:w="120" w:type="dxa"/>
            <w:vAlign w:val="bottom"/>
            <w:tcBorders>
              <w:lef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6"/>
            <w:vMerge w:val="continue"/>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3"/>
          </w:tcPr>
          <w:p>
            <w:pPr>
              <w:jc w:val="center"/>
              <w:ind w:right="140"/>
              <w:spacing w:after="0" w:line="128" w:lineRule="exact"/>
              <w:rPr>
                <w:sz w:val="20"/>
                <w:szCs w:val="20"/>
                <w:color w:val="auto"/>
              </w:rPr>
            </w:pPr>
            <w:r>
              <w:rPr>
                <w:rFonts w:ascii="Times New Roman" w:cs="Times New Roman" w:eastAsia="Times New Roman" w:hAnsi="Times New Roman"/>
                <w:sz w:val="13"/>
                <w:szCs w:val="13"/>
                <w:b w:val="1"/>
                <w:bCs w:val="1"/>
                <w:color w:val="auto"/>
                <w:w w:val="98"/>
              </w:rPr>
              <w:t>al</w:t>
            </w:r>
          </w:p>
        </w:tc>
        <w:tc>
          <w:tcPr>
            <w:tcW w:w="60" w:type="dxa"/>
            <w:vAlign w:val="bottom"/>
          </w:tcPr>
          <w:p>
            <w:pPr>
              <w:spacing w:after="0"/>
              <w:rPr>
                <w:sz w:val="11"/>
                <w:szCs w:val="11"/>
                <w:color w:val="auto"/>
              </w:rPr>
            </w:pPr>
          </w:p>
        </w:tc>
        <w:tc>
          <w:tcPr>
            <w:tcW w:w="760" w:type="dxa"/>
            <w:vAlign w:val="bottom"/>
            <w:gridSpan w:val="4"/>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w w:val="94"/>
              </w:rPr>
              <w:t>stockholde</w:t>
            </w: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1860" w:type="dxa"/>
            <w:vAlign w:val="bottom"/>
            <w:gridSpan w:val="9"/>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9"/>
              </w:rPr>
              <w:t>Convertible Preferred Stock</w:t>
            </w:r>
          </w:p>
        </w:tc>
        <w:tc>
          <w:tcPr>
            <w:tcW w:w="20" w:type="dxa"/>
            <w:vAlign w:val="bottom"/>
          </w:tcPr>
          <w:p>
            <w:pPr>
              <w:spacing w:after="0"/>
              <w:rPr>
                <w:sz w:val="14"/>
                <w:szCs w:val="14"/>
                <w:color w:val="auto"/>
              </w:rPr>
            </w:pPr>
          </w:p>
        </w:tc>
        <w:tc>
          <w:tcPr>
            <w:tcW w:w="1840" w:type="dxa"/>
            <w:vAlign w:val="bottom"/>
            <w:gridSpan w:val="9"/>
          </w:tcPr>
          <w:p>
            <w:pPr>
              <w:ind w:left="60"/>
              <w:spacing w:after="0"/>
              <w:rPr>
                <w:sz w:val="20"/>
                <w:szCs w:val="20"/>
                <w:color w:val="auto"/>
              </w:rPr>
            </w:pPr>
            <w:r>
              <w:rPr>
                <w:rFonts w:ascii="Times New Roman" w:cs="Times New Roman" w:eastAsia="Times New Roman" w:hAnsi="Times New Roman"/>
                <w:sz w:val="13"/>
                <w:szCs w:val="13"/>
                <w:b w:val="1"/>
                <w:bCs w:val="1"/>
                <w:color w:val="auto"/>
              </w:rPr>
              <w:t>Convertible Preferred Stock</w:t>
            </w:r>
          </w:p>
        </w:tc>
        <w:tc>
          <w:tcPr>
            <w:tcW w:w="120" w:type="dxa"/>
            <w:vAlign w:val="bottom"/>
            <w:tcBorders>
              <w:left w:val="single" w:sz="8" w:color="auto"/>
            </w:tcBorders>
          </w:tcPr>
          <w:p>
            <w:pPr>
              <w:spacing w:after="0"/>
              <w:rPr>
                <w:sz w:val="14"/>
                <w:szCs w:val="14"/>
                <w:color w:val="auto"/>
              </w:rPr>
            </w:pPr>
          </w:p>
        </w:tc>
        <w:tc>
          <w:tcPr>
            <w:tcW w:w="1480" w:type="dxa"/>
            <w:vAlign w:val="bottom"/>
            <w:gridSpan w:val="7"/>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8"/>
          </w:tcPr>
          <w:p>
            <w:pPr>
              <w:ind w:left="2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rs'</w:t>
            </w:r>
          </w:p>
        </w:tc>
        <w:tc>
          <w:tcPr>
            <w:tcW w:w="0" w:type="dxa"/>
            <w:vAlign w:val="bottom"/>
          </w:tcPr>
          <w:p>
            <w:pPr>
              <w:spacing w:after="0"/>
              <w:rPr>
                <w:sz w:val="1"/>
                <w:szCs w:val="1"/>
                <w:color w:val="auto"/>
              </w:rPr>
            </w:pPr>
          </w:p>
        </w:tc>
      </w:tr>
      <w:tr>
        <w:trPr>
          <w:trHeight w:val="155"/>
        </w:trPr>
        <w:tc>
          <w:tcPr>
            <w:tcW w:w="18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gridSpan w:val="2"/>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gridSpan w:val="2"/>
          </w:tcPr>
          <w:p>
            <w:pPr>
              <w:spacing w:after="0"/>
              <w:rPr>
                <w:sz w:val="13"/>
                <w:szCs w:val="13"/>
                <w:color w:val="auto"/>
              </w:rPr>
            </w:pPr>
          </w:p>
        </w:tc>
        <w:tc>
          <w:tcPr>
            <w:tcW w:w="120" w:type="dxa"/>
            <w:vAlign w:val="bottom"/>
            <w:tcBorders>
              <w:left w:val="single" w:sz="8" w:color="auto"/>
            </w:tcBorders>
          </w:tcPr>
          <w:p>
            <w:pPr>
              <w:spacing w:after="0"/>
              <w:rPr>
                <w:sz w:val="13"/>
                <w:szCs w:val="13"/>
                <w:color w:val="auto"/>
              </w:rPr>
            </w:pPr>
          </w:p>
        </w:tc>
        <w:tc>
          <w:tcPr>
            <w:tcW w:w="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w w:val="90"/>
              </w:rPr>
              <w:t>Shares</w:t>
            </w: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3"/>
          </w:tcPr>
          <w:p>
            <w:pPr>
              <w:jc w:val="center"/>
              <w:ind w:right="120"/>
              <w:spacing w:after="0" w:line="146" w:lineRule="exact"/>
              <w:rPr>
                <w:sz w:val="20"/>
                <w:szCs w:val="20"/>
                <w:color w:val="auto"/>
              </w:rPr>
            </w:pPr>
            <w:r>
              <w:rPr>
                <w:rFonts w:ascii="Times New Roman" w:cs="Times New Roman" w:eastAsia="Times New Roman" w:hAnsi="Times New Roman"/>
                <w:sz w:val="13"/>
                <w:szCs w:val="13"/>
                <w:b w:val="1"/>
                <w:bCs w:val="1"/>
                <w:color w:val="auto"/>
                <w:w w:val="95"/>
              </w:rPr>
              <w:t>capital</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ind w:right="280"/>
              <w:spacing w:after="0" w:line="146" w:lineRule="exact"/>
              <w:rPr>
                <w:sz w:val="20"/>
                <w:szCs w:val="20"/>
                <w:color w:val="auto"/>
              </w:rPr>
            </w:pPr>
            <w:r>
              <w:rPr>
                <w:rFonts w:ascii="Times New Roman" w:cs="Times New Roman" w:eastAsia="Times New Roman" w:hAnsi="Times New Roman"/>
                <w:sz w:val="13"/>
                <w:szCs w:val="13"/>
                <w:b w:val="1"/>
                <w:bCs w:val="1"/>
                <w:color w:val="auto"/>
              </w:rPr>
              <w:t>deficit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3"/>
                <w:szCs w:val="13"/>
                <w:b w:val="1"/>
                <w:bCs w:val="1"/>
                <w:color w:val="auto"/>
                <w:w w:val="92"/>
              </w:rPr>
              <w:t>equity</w:t>
            </w:r>
          </w:p>
        </w:tc>
        <w:tc>
          <w:tcPr>
            <w:tcW w:w="0" w:type="dxa"/>
            <w:vAlign w:val="bottom"/>
          </w:tcPr>
          <w:p>
            <w:pPr>
              <w:spacing w:after="0"/>
              <w:rPr>
                <w:sz w:val="1"/>
                <w:szCs w:val="1"/>
                <w:color w:val="auto"/>
              </w:rPr>
            </w:pPr>
          </w:p>
        </w:tc>
      </w:tr>
      <w:tr>
        <w:trPr>
          <w:trHeight w:val="110"/>
        </w:trPr>
        <w:tc>
          <w:tcPr>
            <w:tcW w:w="1840" w:type="dxa"/>
            <w:vAlign w:val="bottom"/>
            <w:shd w:val="clear" w:color="auto" w:fill="CFF0FC"/>
          </w:tcPr>
          <w:p>
            <w:pPr>
              <w:ind w:left="20"/>
              <w:spacing w:after="0" w:line="110" w:lineRule="exact"/>
              <w:rPr>
                <w:sz w:val="20"/>
                <w:szCs w:val="20"/>
                <w:color w:val="auto"/>
              </w:rPr>
            </w:pPr>
            <w:r>
              <w:rPr>
                <w:rFonts w:ascii="Times New Roman" w:cs="Times New Roman" w:eastAsia="Times New Roman" w:hAnsi="Times New Roman"/>
                <w:sz w:val="12"/>
                <w:szCs w:val="12"/>
                <w:b w:val="1"/>
                <w:bCs w:val="1"/>
                <w:color w:val="auto"/>
              </w:rPr>
              <w:t>Balance at December 31, 2021</w:t>
            </w:r>
          </w:p>
        </w:tc>
        <w:tc>
          <w:tcPr>
            <w:tcW w:w="10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600" w:type="dxa"/>
            <w:vAlign w:val="bottom"/>
            <w:tcBorders>
              <w:top w:val="single" w:sz="8" w:color="auto"/>
            </w:tcBorders>
            <w:shd w:val="clear" w:color="auto" w:fill="CFF0FC"/>
          </w:tcPr>
          <w:p>
            <w:pPr>
              <w:spacing w:after="0"/>
              <w:rPr>
                <w:sz w:val="9"/>
                <w:szCs w:val="9"/>
                <w:color w:val="auto"/>
              </w:rPr>
            </w:pPr>
          </w:p>
        </w:tc>
        <w:tc>
          <w:tcPr>
            <w:tcW w:w="4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560" w:type="dxa"/>
            <w:vAlign w:val="bottom"/>
            <w:tcBorders>
              <w:top w:val="single" w:sz="8" w:color="auto"/>
            </w:tcBorders>
            <w:shd w:val="clear" w:color="auto" w:fill="CFF0FC"/>
          </w:tcPr>
          <w:p>
            <w:pPr>
              <w:spacing w:after="0"/>
              <w:rPr>
                <w:sz w:val="9"/>
                <w:szCs w:val="9"/>
                <w:color w:val="auto"/>
              </w:rPr>
            </w:pPr>
          </w:p>
        </w:tc>
        <w:tc>
          <w:tcPr>
            <w:tcW w:w="200" w:type="dxa"/>
            <w:vAlign w:val="bottom"/>
            <w:tcBorders>
              <w:top w:val="single" w:sz="8" w:color="auto"/>
              <w:right w:val="single" w:sz="8" w:color="CFF0FC"/>
            </w:tcBorders>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120" w:type="dxa"/>
            <w:vAlign w:val="bottom"/>
            <w:tcBorders>
              <w:left w:val="single" w:sz="8" w:color="auto"/>
            </w:tcBorders>
            <w:shd w:val="clear" w:color="auto" w:fill="CFF0FC"/>
          </w:tcPr>
          <w:p>
            <w:pPr>
              <w:spacing w:after="0"/>
              <w:rPr>
                <w:sz w:val="9"/>
                <w:szCs w:val="9"/>
                <w:color w:val="auto"/>
              </w:rPr>
            </w:pPr>
          </w:p>
        </w:tc>
        <w:tc>
          <w:tcPr>
            <w:tcW w:w="420" w:type="dxa"/>
            <w:vAlign w:val="bottom"/>
            <w:tcBorders>
              <w:top w:val="single" w:sz="8" w:color="auto"/>
            </w:tcBorders>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40" w:type="dxa"/>
            <w:vAlign w:val="bottom"/>
            <w:tcBorders>
              <w:top w:val="single" w:sz="8" w:color="auto"/>
            </w:tcBorders>
            <w:shd w:val="clear" w:color="auto" w:fill="CFF0FC"/>
          </w:tcPr>
          <w:p>
            <w:pPr>
              <w:spacing w:after="0"/>
              <w:rPr>
                <w:sz w:val="9"/>
                <w:szCs w:val="9"/>
                <w:color w:val="auto"/>
              </w:rPr>
            </w:pPr>
          </w:p>
        </w:tc>
        <w:tc>
          <w:tcPr>
            <w:tcW w:w="200" w:type="dxa"/>
            <w:vAlign w:val="bottom"/>
            <w:tcBorders>
              <w:top w:val="single" w:sz="8" w:color="auto"/>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60" w:type="dxa"/>
            <w:vAlign w:val="bottom"/>
            <w:tcBorders>
              <w:top w:val="single" w:sz="8" w:color="auto"/>
            </w:tcBorders>
            <w:gridSpan w:val="3"/>
            <w:shd w:val="clear" w:color="auto" w:fill="CFF0FC"/>
          </w:tcPr>
          <w:p>
            <w:pPr>
              <w:jc w:val="right"/>
              <w:spacing w:after="0" w:line="110" w:lineRule="exact"/>
              <w:rPr>
                <w:sz w:val="20"/>
                <w:szCs w:val="20"/>
                <w:color w:val="auto"/>
              </w:rPr>
            </w:pPr>
            <w:r>
              <w:rPr>
                <w:rFonts w:ascii="Times New Roman" w:cs="Times New Roman" w:eastAsia="Times New Roman" w:hAnsi="Times New Roman"/>
                <w:sz w:val="12"/>
                <w:szCs w:val="12"/>
                <w:color w:val="auto"/>
              </w:rPr>
              <w:t>43,208</w:t>
            </w:r>
          </w:p>
        </w:tc>
        <w:tc>
          <w:tcPr>
            <w:tcW w:w="20" w:type="dxa"/>
            <w:vAlign w:val="bottom"/>
            <w:tcBorders>
              <w:top w:val="single" w:sz="8" w:color="auto"/>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00" w:type="dxa"/>
            <w:vAlign w:val="bottom"/>
            <w:tcBorders>
              <w:top w:val="single" w:sz="8" w:color="auto"/>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80" w:type="dxa"/>
            <w:vAlign w:val="bottom"/>
            <w:tcBorders>
              <w:top w:val="single" w:sz="8" w:color="auto"/>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48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184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660" w:type="dxa"/>
            <w:vAlign w:val="bottom"/>
            <w:gridSpan w:val="3"/>
            <w:shd w:val="clear" w:color="auto" w:fill="CFF0FC"/>
          </w:tcPr>
          <w:p>
            <w:pPr>
              <w:ind w:left="600"/>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FF0FC"/>
          </w:tcPr>
          <w:p>
            <w:pPr>
              <w:spacing w:after="0"/>
              <w:rPr>
                <w:sz w:val="15"/>
                <w:szCs w:val="15"/>
                <w:color w:val="auto"/>
              </w:rPr>
            </w:pPr>
          </w:p>
        </w:tc>
        <w:tc>
          <w:tcPr>
            <w:tcW w:w="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120" w:type="dxa"/>
            <w:vAlign w:val="bottom"/>
            <w:tcBorders>
              <w:left w:val="single" w:sz="8" w:color="auto"/>
            </w:tcBorders>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29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8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3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4</w:t>
            </w: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$ 309,527</w:t>
            </w:r>
          </w:p>
        </w:tc>
        <w:tc>
          <w:tcPr>
            <w:tcW w:w="120" w:type="dxa"/>
            <w:vAlign w:val="bottom"/>
            <w:shd w:val="clear" w:color="auto" w:fill="CFF0FC"/>
          </w:tcPr>
          <w:p>
            <w:pPr>
              <w:spacing w:after="0"/>
              <w:rPr>
                <w:sz w:val="15"/>
                <w:szCs w:val="15"/>
                <w:color w:val="auto"/>
              </w:rPr>
            </w:pPr>
          </w:p>
        </w:tc>
        <w:tc>
          <w:tcPr>
            <w:tcW w:w="1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(184,690 )</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124,841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84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Issuance of common stock upon</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left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60" w:type="dxa"/>
            <w:vAlign w:val="bottom"/>
            <w:gridSpan w:val="3"/>
          </w:tcPr>
          <w:p>
            <w:pPr>
              <w:ind w:left="600"/>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lef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19,000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25</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84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3"/>
                <w:szCs w:val="13"/>
                <w:color w:val="auto"/>
              </w:rPr>
              <w:t>Stock-based compensation</w:t>
            </w: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20" w:type="dxa"/>
            <w:vAlign w:val="bottom"/>
            <w:tcBorders>
              <w:left w:val="single" w:sz="8" w:color="auto"/>
            </w:tcBorders>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expense</w:t>
            </w: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660" w:type="dxa"/>
            <w:vAlign w:val="bottom"/>
            <w:gridSpan w:val="3"/>
            <w:shd w:val="clear" w:color="auto" w:fill="CFF0FC"/>
          </w:tcPr>
          <w:p>
            <w:pPr>
              <w:ind w:left="600"/>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120" w:type="dxa"/>
            <w:vAlign w:val="bottom"/>
            <w:tcBorders>
              <w:left w:val="single" w:sz="8" w:color="auto"/>
            </w:tcBorders>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1,976</w:t>
            </w: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1,976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60" w:type="dxa"/>
            <w:vAlign w:val="bottom"/>
            <w:gridSpan w:val="3"/>
          </w:tcPr>
          <w:p>
            <w:pPr>
              <w:ind w:left="600"/>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lef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(15,231 )</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(15,231 )</w:t>
            </w:r>
          </w:p>
        </w:tc>
        <w:tc>
          <w:tcPr>
            <w:tcW w:w="0" w:type="dxa"/>
            <w:vAlign w:val="bottom"/>
          </w:tcPr>
          <w:p>
            <w:pPr>
              <w:spacing w:after="0"/>
              <w:rPr>
                <w:sz w:val="1"/>
                <w:szCs w:val="1"/>
                <w:color w:val="auto"/>
              </w:rPr>
            </w:pPr>
          </w:p>
        </w:tc>
      </w:tr>
      <w:tr>
        <w:trPr>
          <w:trHeight w:val="110"/>
        </w:trPr>
        <w:tc>
          <w:tcPr>
            <w:tcW w:w="1840" w:type="dxa"/>
            <w:vAlign w:val="bottom"/>
            <w:shd w:val="clear" w:color="auto" w:fill="CFF0FC"/>
          </w:tcPr>
          <w:p>
            <w:pPr>
              <w:ind w:left="20"/>
              <w:spacing w:after="0" w:line="110" w:lineRule="exact"/>
              <w:rPr>
                <w:sz w:val="20"/>
                <w:szCs w:val="20"/>
                <w:color w:val="auto"/>
              </w:rPr>
            </w:pPr>
            <w:r>
              <w:rPr>
                <w:rFonts w:ascii="Times New Roman" w:cs="Times New Roman" w:eastAsia="Times New Roman" w:hAnsi="Times New Roman"/>
                <w:sz w:val="12"/>
                <w:szCs w:val="12"/>
                <w:b w:val="1"/>
                <w:bCs w:val="1"/>
                <w:color w:val="auto"/>
              </w:rPr>
              <w:t>Balance at March 31, 2022</w:t>
            </w:r>
          </w:p>
        </w:tc>
        <w:tc>
          <w:tcPr>
            <w:tcW w:w="10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600" w:type="dxa"/>
            <w:vAlign w:val="bottom"/>
            <w:tcBorders>
              <w:top w:val="single" w:sz="8" w:color="auto"/>
            </w:tcBorders>
            <w:shd w:val="clear" w:color="auto" w:fill="CFF0FC"/>
          </w:tcPr>
          <w:p>
            <w:pPr>
              <w:spacing w:after="0"/>
              <w:rPr>
                <w:sz w:val="9"/>
                <w:szCs w:val="9"/>
                <w:color w:val="auto"/>
              </w:rPr>
            </w:pPr>
          </w:p>
        </w:tc>
        <w:tc>
          <w:tcPr>
            <w:tcW w:w="4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560" w:type="dxa"/>
            <w:vAlign w:val="bottom"/>
            <w:tcBorders>
              <w:top w:val="single" w:sz="8" w:color="auto"/>
            </w:tcBorders>
            <w:shd w:val="clear" w:color="auto" w:fill="CFF0FC"/>
          </w:tcPr>
          <w:p>
            <w:pPr>
              <w:spacing w:after="0"/>
              <w:rPr>
                <w:sz w:val="9"/>
                <w:szCs w:val="9"/>
                <w:color w:val="auto"/>
              </w:rPr>
            </w:pPr>
          </w:p>
        </w:tc>
        <w:tc>
          <w:tcPr>
            <w:tcW w:w="200" w:type="dxa"/>
            <w:vAlign w:val="bottom"/>
            <w:tcBorders>
              <w:top w:val="single" w:sz="8" w:color="auto"/>
              <w:right w:val="single" w:sz="8" w:color="CFF0FC"/>
            </w:tcBorders>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120" w:type="dxa"/>
            <w:vAlign w:val="bottom"/>
            <w:tcBorders>
              <w:left w:val="single" w:sz="8" w:color="auto"/>
            </w:tcBorders>
            <w:shd w:val="clear" w:color="auto" w:fill="CFF0FC"/>
          </w:tcPr>
          <w:p>
            <w:pPr>
              <w:spacing w:after="0"/>
              <w:rPr>
                <w:sz w:val="9"/>
                <w:szCs w:val="9"/>
                <w:color w:val="auto"/>
              </w:rPr>
            </w:pPr>
          </w:p>
        </w:tc>
        <w:tc>
          <w:tcPr>
            <w:tcW w:w="420" w:type="dxa"/>
            <w:vAlign w:val="bottom"/>
            <w:tcBorders>
              <w:top w:val="single" w:sz="8" w:color="auto"/>
            </w:tcBorders>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40" w:type="dxa"/>
            <w:vAlign w:val="bottom"/>
            <w:tcBorders>
              <w:top w:val="single" w:sz="8" w:color="auto"/>
            </w:tcBorders>
            <w:shd w:val="clear" w:color="auto" w:fill="CFF0FC"/>
          </w:tcPr>
          <w:p>
            <w:pPr>
              <w:spacing w:after="0"/>
              <w:rPr>
                <w:sz w:val="9"/>
                <w:szCs w:val="9"/>
                <w:color w:val="auto"/>
              </w:rPr>
            </w:pPr>
          </w:p>
        </w:tc>
        <w:tc>
          <w:tcPr>
            <w:tcW w:w="200" w:type="dxa"/>
            <w:vAlign w:val="bottom"/>
            <w:tcBorders>
              <w:top w:val="single" w:sz="8" w:color="auto"/>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60" w:type="dxa"/>
            <w:vAlign w:val="bottom"/>
            <w:tcBorders>
              <w:top w:val="single" w:sz="8" w:color="auto"/>
            </w:tcBorders>
            <w:gridSpan w:val="3"/>
            <w:shd w:val="clear" w:color="auto" w:fill="CFF0FC"/>
          </w:tcPr>
          <w:p>
            <w:pPr>
              <w:jc w:val="right"/>
              <w:spacing w:after="0" w:line="110" w:lineRule="exact"/>
              <w:rPr>
                <w:sz w:val="20"/>
                <w:szCs w:val="20"/>
                <w:color w:val="auto"/>
              </w:rPr>
            </w:pPr>
            <w:r>
              <w:rPr>
                <w:rFonts w:ascii="Times New Roman" w:cs="Times New Roman" w:eastAsia="Times New Roman" w:hAnsi="Times New Roman"/>
                <w:sz w:val="12"/>
                <w:szCs w:val="12"/>
                <w:color w:val="auto"/>
              </w:rPr>
              <w:t>43,227</w:t>
            </w:r>
          </w:p>
        </w:tc>
        <w:tc>
          <w:tcPr>
            <w:tcW w:w="20" w:type="dxa"/>
            <w:vAlign w:val="bottom"/>
            <w:tcBorders>
              <w:top w:val="single" w:sz="8" w:color="auto"/>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00" w:type="dxa"/>
            <w:vAlign w:val="bottom"/>
            <w:tcBorders>
              <w:top w:val="single" w:sz="8" w:color="auto"/>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80" w:type="dxa"/>
            <w:vAlign w:val="bottom"/>
            <w:tcBorders>
              <w:top w:val="single" w:sz="8" w:color="auto"/>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48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84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660" w:type="dxa"/>
            <w:vAlign w:val="bottom"/>
            <w:gridSpan w:val="3"/>
            <w:shd w:val="clear" w:color="auto" w:fill="CFF0FC"/>
          </w:tcPr>
          <w:p>
            <w:pPr>
              <w:ind w:left="600"/>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120" w:type="dxa"/>
            <w:vAlign w:val="bottom"/>
            <w:tcBorders>
              <w:left w:val="single" w:sz="8" w:color="auto"/>
            </w:tcBorders>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4</w:t>
            </w: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311,528</w:t>
            </w: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(199,921 )</w:t>
            </w: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111,611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840" w:type="dxa"/>
            <w:vAlign w:val="bottom"/>
            <w:tcBorders>
              <w:top w:val="single" w:sz="8" w:color="CFF0FC"/>
            </w:tcBorders>
          </w:tcPr>
          <w:p>
            <w:pPr>
              <w:ind w:left="20"/>
              <w:spacing w:after="0" w:line="117" w:lineRule="exact"/>
              <w:rPr>
                <w:sz w:val="20"/>
                <w:szCs w:val="20"/>
                <w:color w:val="auto"/>
              </w:rPr>
            </w:pPr>
            <w:r>
              <w:rPr>
                <w:rFonts w:ascii="Times New Roman" w:cs="Times New Roman" w:eastAsia="Times New Roman" w:hAnsi="Times New Roman"/>
                <w:sz w:val="13"/>
                <w:szCs w:val="13"/>
                <w:color w:val="auto"/>
              </w:rPr>
              <w:t>Issuance of common stock upon</w:t>
            </w: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20" w:type="dxa"/>
            <w:vAlign w:val="bottom"/>
            <w:tcBorders>
              <w:top w:val="single" w:sz="8" w:color="CFF0F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4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left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60" w:type="dxa"/>
            <w:vAlign w:val="bottom"/>
            <w:tcBorders>
              <w:top w:val="single" w:sz="8" w:color="CFF0FC"/>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6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6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60" w:type="dxa"/>
            <w:vAlign w:val="bottom"/>
            <w:gridSpan w:val="3"/>
          </w:tcPr>
          <w:p>
            <w:pPr>
              <w:ind w:left="600"/>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lef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7,334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84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3"/>
                <w:szCs w:val="13"/>
                <w:color w:val="auto"/>
              </w:rPr>
              <w:t>Proceeds from sale of stock</w:t>
            </w: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20" w:type="dxa"/>
            <w:vAlign w:val="bottom"/>
            <w:tcBorders>
              <w:left w:val="single" w:sz="8" w:color="auto"/>
            </w:tcBorders>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under</w:t>
            </w:r>
          </w:p>
        </w:tc>
        <w:tc>
          <w:tcPr>
            <w:tcW w:w="6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660" w:type="dxa"/>
            <w:vAlign w:val="bottom"/>
            <w:gridSpan w:val="3"/>
            <w:vMerge w:val="restart"/>
            <w:shd w:val="clear" w:color="auto" w:fill="CFF0FC"/>
          </w:tcPr>
          <w:p>
            <w:pPr>
              <w:ind w:left="600"/>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tcBorders>
              <w:right w:val="single" w:sz="8" w:color="CFF0FC"/>
            </w:tcBorders>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left w:val="single" w:sz="8" w:color="auto"/>
            </w:tcBorders>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5"/>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9,960</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gridSpan w:val="3"/>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employee stock purchase plan</w:t>
            </w:r>
          </w:p>
        </w:tc>
        <w:tc>
          <w:tcPr>
            <w:tcW w:w="6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gridSpan w:val="2"/>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gridSpan w:val="3"/>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tcBorders>
              <w:right w:val="single" w:sz="8" w:color="CFF0FC"/>
            </w:tcBorders>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120" w:type="dxa"/>
            <w:vAlign w:val="bottom"/>
            <w:tcBorders>
              <w:left w:val="single" w:sz="8" w:color="auto"/>
            </w:tcBorders>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680" w:type="dxa"/>
            <w:vAlign w:val="bottom"/>
            <w:gridSpan w:val="5"/>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3"/>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84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Stock-based compensation</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left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expense</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60" w:type="dxa"/>
            <w:vAlign w:val="bottom"/>
            <w:gridSpan w:val="3"/>
          </w:tcPr>
          <w:p>
            <w:pPr>
              <w:ind w:left="600"/>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lef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2,356</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ind w:left="580"/>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120" w:type="dxa"/>
            <w:vAlign w:val="bottom"/>
            <w:tcBorders>
              <w:left w:val="single" w:sz="8" w:color="auto"/>
            </w:tcBorders>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(7,090 )</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(7,090 )</w:t>
            </w:r>
          </w:p>
        </w:tc>
        <w:tc>
          <w:tcPr>
            <w:tcW w:w="0" w:type="dxa"/>
            <w:vAlign w:val="bottom"/>
          </w:tcPr>
          <w:p>
            <w:pPr>
              <w:spacing w:after="0"/>
              <w:rPr>
                <w:sz w:val="1"/>
                <w:szCs w:val="1"/>
                <w:color w:val="auto"/>
              </w:rPr>
            </w:pPr>
          </w:p>
        </w:tc>
      </w:tr>
      <w:tr>
        <w:trPr>
          <w:trHeight w:val="110"/>
        </w:trPr>
        <w:tc>
          <w:tcPr>
            <w:tcW w:w="1840" w:type="dxa"/>
            <w:vAlign w:val="bottom"/>
            <w:tcBorders>
              <w:top w:val="single" w:sz="8" w:color="CFF0FC"/>
            </w:tcBorders>
          </w:tcPr>
          <w:p>
            <w:pPr>
              <w:ind w:left="20"/>
              <w:spacing w:after="0" w:line="110" w:lineRule="exact"/>
              <w:rPr>
                <w:sz w:val="20"/>
                <w:szCs w:val="20"/>
                <w:color w:val="auto"/>
              </w:rPr>
            </w:pPr>
            <w:r>
              <w:rPr>
                <w:rFonts w:ascii="Times New Roman" w:cs="Times New Roman" w:eastAsia="Times New Roman" w:hAnsi="Times New Roman"/>
                <w:sz w:val="12"/>
                <w:szCs w:val="12"/>
                <w:b w:val="1"/>
                <w:bCs w:val="1"/>
                <w:color w:val="auto"/>
              </w:rPr>
              <w:t>Balance at June 30, 2022</w:t>
            </w: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20" w:type="dxa"/>
            <w:vAlign w:val="bottom"/>
            <w:tcBorders>
              <w:top w:val="single" w:sz="8" w:color="CFF0FC"/>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80" w:type="dxa"/>
            <w:vAlign w:val="bottom"/>
            <w:tcBorders>
              <w:top w:val="single" w:sz="8" w:color="CFF0FC"/>
            </w:tcBorders>
          </w:tcPr>
          <w:p>
            <w:pPr>
              <w:spacing w:after="0"/>
              <w:rPr>
                <w:sz w:val="9"/>
                <w:szCs w:val="9"/>
                <w:color w:val="auto"/>
              </w:rPr>
            </w:pPr>
          </w:p>
        </w:tc>
        <w:tc>
          <w:tcPr>
            <w:tcW w:w="4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2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20" w:type="dxa"/>
            <w:vAlign w:val="bottom"/>
            <w:tcBorders>
              <w:top w:val="single" w:sz="8" w:color="CFF0FC"/>
              <w:left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460" w:type="dxa"/>
            <w:vAlign w:val="bottom"/>
            <w:tcBorders>
              <w:top w:val="single" w:sz="8" w:color="auto"/>
            </w:tcBorders>
            <w:gridSpan w:val="3"/>
          </w:tcPr>
          <w:p>
            <w:pPr>
              <w:jc w:val="right"/>
              <w:spacing w:after="0" w:line="110" w:lineRule="exact"/>
              <w:rPr>
                <w:sz w:val="20"/>
                <w:szCs w:val="20"/>
                <w:color w:val="auto"/>
              </w:rPr>
            </w:pPr>
            <w:r>
              <w:rPr>
                <w:rFonts w:ascii="Times New Roman" w:cs="Times New Roman" w:eastAsia="Times New Roman" w:hAnsi="Times New Roman"/>
                <w:sz w:val="12"/>
                <w:szCs w:val="12"/>
                <w:color w:val="auto"/>
              </w:rPr>
              <w:t>43,244</w:t>
            </w:r>
          </w:p>
        </w:tc>
        <w:tc>
          <w:tcPr>
            <w:tcW w:w="20" w:type="dxa"/>
            <w:vAlign w:val="bottom"/>
            <w:tcBorders>
              <w:top w:val="single" w:sz="8" w:color="auto"/>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60" w:type="dxa"/>
            <w:vAlign w:val="bottom"/>
            <w:tcBorders>
              <w:top w:val="single" w:sz="8" w:color="CFF0FC"/>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6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6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84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60" w:type="dxa"/>
            <w:vAlign w:val="bottom"/>
            <w:gridSpan w:val="3"/>
          </w:tcPr>
          <w:p>
            <w:pPr>
              <w:ind w:left="600"/>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15"/>
                <w:szCs w:val="15"/>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left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60" w:type="dxa"/>
            <w:vAlign w:val="bottom"/>
            <w:gridSpan w:val="2"/>
          </w:tcPr>
          <w:p>
            <w:pPr>
              <w:jc w:val="right"/>
              <w:ind w:right="29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,453</w:t>
            </w:r>
          </w:p>
        </w:tc>
        <w:tc>
          <w:tcPr>
            <w:tcW w:w="80" w:type="dxa"/>
            <w:vAlign w:val="bottom"/>
          </w:tcPr>
          <w:p>
            <w:pPr>
              <w:spacing w:after="0"/>
              <w:rPr>
                <w:sz w:val="15"/>
                <w:szCs w:val="15"/>
                <w:color w:val="auto"/>
              </w:rPr>
            </w:pPr>
          </w:p>
        </w:tc>
        <w:tc>
          <w:tcPr>
            <w:tcW w:w="600" w:type="dxa"/>
            <w:vAlign w:val="bottom"/>
            <w:gridSpan w:val="2"/>
          </w:tcPr>
          <w:p>
            <w:pPr>
              <w:jc w:val="right"/>
              <w:ind w:right="3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$ 313,904</w:t>
            </w:r>
          </w:p>
        </w:tc>
        <w:tc>
          <w:tcPr>
            <w:tcW w:w="120" w:type="dxa"/>
            <w:vAlign w:val="bottom"/>
          </w:tcPr>
          <w:p>
            <w:pPr>
              <w:spacing w:after="0"/>
              <w:rPr>
                <w:sz w:val="15"/>
                <w:szCs w:val="15"/>
                <w:color w:val="auto"/>
              </w:rPr>
            </w:pP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(207,011 )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106,897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-4585335</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-4585335</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-4585335</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-4585335</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-4585335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-4585335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-4585335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-4585335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-4585335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-4585335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-4585335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-3171190</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-3171190</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-3171190</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-3171190</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-3171190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-3171190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-3171190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-3171190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-3171190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-3171190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-3171190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-2571115</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-2571115</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-2571115</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-2571115</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-2571115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-2571115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-2571115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-2571115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-2571115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-2571115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-2571115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-976630</wp:posOffset>
            </wp:positionV>
            <wp:extent cx="768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-976630</wp:posOffset>
            </wp:positionV>
            <wp:extent cx="774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-976630</wp:posOffset>
            </wp:positionV>
            <wp:extent cx="768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-976630</wp:posOffset>
            </wp:positionV>
            <wp:extent cx="774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-976630</wp:posOffset>
            </wp:positionV>
            <wp:extent cx="768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-976630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-976630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-976630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-976630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-976630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-222250</wp:posOffset>
            </wp:positionV>
            <wp:extent cx="768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-222250</wp:posOffset>
            </wp:positionV>
            <wp:extent cx="774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-222250</wp:posOffset>
            </wp:positionV>
            <wp:extent cx="768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-222250</wp:posOffset>
            </wp:positionV>
            <wp:extent cx="774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-222250</wp:posOffset>
            </wp:positionV>
            <wp:extent cx="768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-222250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-222250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-222250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-222250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-222250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-222250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 w:name="page8"/>
    <w:bookmarkEnd w:id="7"/>
    <w:p>
      <w:pPr>
        <w:ind w:left="4620"/>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p>
        </w:tc>
        <w:tc>
          <w:tcPr>
            <w:tcW w:w="2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76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w w:val="96"/>
              </w:rPr>
              <w:t>(22,321 )</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(35,495 )</w:t>
            </w: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expense</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4,455</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Loss on conversion of convertible notes</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Accretion of discount on convertible notes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80" w:type="dxa"/>
            <w:vAlign w:val="bottom"/>
          </w:tcPr>
          <w:p>
            <w:pPr>
              <w:spacing w:after="0"/>
              <w:rPr>
                <w:sz w:val="18"/>
                <w:szCs w:val="18"/>
                <w:color w:val="auto"/>
              </w:rPr>
            </w:pPr>
          </w:p>
        </w:tc>
        <w:tc>
          <w:tcPr>
            <w:tcW w:w="9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(1,219 )</w:t>
            </w:r>
          </w:p>
        </w:tc>
        <w:tc>
          <w:tcPr>
            <w:tcW w:w="9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(3,272 )</w:t>
            </w:r>
          </w:p>
        </w:tc>
      </w:tr>
      <w:tr>
        <w:trPr>
          <w:trHeight w:val="216"/>
        </w:trPr>
        <w:tc>
          <w:tcPr>
            <w:tcW w:w="76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Deferred offering costs</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assets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(559 )</w:t>
            </w:r>
          </w:p>
        </w:tc>
      </w:tr>
      <w:tr>
        <w:trPr>
          <w:trHeight w:val="216"/>
        </w:trPr>
        <w:tc>
          <w:tcPr>
            <w:tcW w:w="76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9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(1,333 )</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80" w:type="dxa"/>
            <w:vAlign w:val="bottom"/>
          </w:tcPr>
          <w:p>
            <w:pPr>
              <w:spacing w:after="0"/>
              <w:rPr>
                <w:sz w:val="18"/>
                <w:szCs w:val="18"/>
                <w:color w:val="auto"/>
              </w:rPr>
            </w:pPr>
          </w:p>
        </w:tc>
        <w:tc>
          <w:tcPr>
            <w:tcW w:w="9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(5,377 )</w:t>
            </w:r>
          </w:p>
        </w:tc>
        <w:tc>
          <w:tcPr>
            <w:tcW w:w="9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(110 )</w:t>
            </w:r>
          </w:p>
        </w:tc>
      </w:tr>
      <w:tr>
        <w:trPr>
          <w:trHeight w:val="209"/>
        </w:trPr>
        <w:tc>
          <w:tcPr>
            <w:tcW w:w="768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8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(25,836</w:t>
            </w:r>
          </w:p>
        </w:tc>
        <w:tc>
          <w:tcPr>
            <w:tcW w:w="300" w:type="dxa"/>
            <w:vAlign w:val="bottom"/>
            <w:tcBorders>
              <w:bottom w:val="single" w:sz="8" w:color="CFF0FC"/>
            </w:tcBorders>
            <w:shd w:val="clear" w:color="auto" w:fill="CFF0FC"/>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(30,935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Business Combination, net</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195,882</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sale of stock under employee stock purchase plan</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Principal payments on term loan</w:t>
            </w:r>
          </w:p>
        </w:tc>
        <w:tc>
          <w:tcPr>
            <w:tcW w:w="980" w:type="dxa"/>
            <w:vAlign w:val="bottom"/>
          </w:tcPr>
          <w:p>
            <w:pPr>
              <w:spacing w:after="0"/>
              <w:rPr>
                <w:sz w:val="18"/>
                <w:szCs w:val="18"/>
                <w:color w:val="auto"/>
              </w:rPr>
            </w:pPr>
          </w:p>
        </w:tc>
        <w:tc>
          <w:tcPr>
            <w:tcW w:w="9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(2,500 )</w:t>
            </w:r>
          </w:p>
        </w:tc>
        <w:tc>
          <w:tcPr>
            <w:tcW w:w="9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(2,083 )</w:t>
            </w:r>
          </w:p>
        </w:tc>
      </w:tr>
      <w:tr>
        <w:trPr>
          <w:trHeight w:val="209"/>
        </w:trPr>
        <w:tc>
          <w:tcPr>
            <w:tcW w:w="768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8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300" w:type="dxa"/>
            <w:vAlign w:val="bottom"/>
            <w:tcBorders>
              <w:bottom w:val="single" w:sz="8" w:color="CFF0FC"/>
            </w:tcBorders>
            <w:shd w:val="clear" w:color="auto" w:fill="CFF0FC"/>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193,909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980" w:type="dxa"/>
            <w:vAlign w:val="bottom"/>
          </w:tcPr>
          <w:p>
            <w:pPr>
              <w:spacing w:after="0"/>
              <w:rPr>
                <w:sz w:val="18"/>
                <w:szCs w:val="18"/>
                <w:color w:val="auto"/>
              </w:rPr>
            </w:pPr>
          </w:p>
        </w:tc>
        <w:tc>
          <w:tcPr>
            <w:tcW w:w="9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w w:val="96"/>
              </w:rPr>
              <w:t>(28,291 )</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162,974</w:t>
            </w:r>
          </w:p>
        </w:tc>
        <w:tc>
          <w:tcPr>
            <w:tcW w:w="10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9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136,950</w:t>
            </w:r>
          </w:p>
        </w:tc>
        <w:tc>
          <w:tcPr>
            <w:tcW w:w="3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9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108,659</w:t>
            </w:r>
          </w:p>
        </w:tc>
        <w:tc>
          <w:tcPr>
            <w:tcW w:w="300" w:type="dxa"/>
            <w:vAlign w:val="bottom"/>
          </w:tcPr>
          <w:p>
            <w:pPr>
              <w:spacing w:after="0"/>
              <w:rPr>
                <w:sz w:val="18"/>
                <w:szCs w:val="18"/>
                <w:color w:val="auto"/>
              </w:rPr>
            </w:pPr>
          </w:p>
        </w:tc>
        <w:tc>
          <w:tcPr>
            <w:tcW w:w="9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167,800</w:t>
            </w:r>
          </w:p>
        </w:tc>
        <w:tc>
          <w:tcPr>
            <w:tcW w:w="100" w:type="dxa"/>
            <w:vAlign w:val="bottom"/>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6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paid for interest</w:t>
            </w:r>
          </w:p>
        </w:tc>
        <w:tc>
          <w:tcPr>
            <w:tcW w:w="980" w:type="dxa"/>
            <w:vAlign w:val="bottom"/>
            <w:tcBorders>
              <w:bottom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0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7"/>
        </w:trPr>
        <w:tc>
          <w:tcPr>
            <w:tcW w:w="7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Noncash financing activities</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 included in other current assets</w:t>
            </w:r>
          </w:p>
        </w:tc>
        <w:tc>
          <w:tcPr>
            <w:tcW w:w="9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(9 )</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Conversion of convertible notes to Series B preferred stock</w:t>
            </w:r>
          </w:p>
        </w:tc>
        <w:tc>
          <w:tcPr>
            <w:tcW w:w="980" w:type="dxa"/>
            <w:vAlign w:val="bottom"/>
            <w:tcBorders>
              <w:bottom w:val="single" w:sz="8" w:color="auto"/>
            </w:tcBorders>
            <w:shd w:val="clear" w:color="auto" w:fill="CFF0FC"/>
          </w:tcPr>
          <w:p>
            <w:pPr>
              <w:jc w:val="right"/>
              <w:ind w:right="7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7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14,515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6"/>
        </w:trPr>
        <w:tc>
          <w:tcPr>
            <w:tcW w:w="7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Exercise of warrants</w:t>
            </w:r>
          </w:p>
        </w:tc>
        <w:tc>
          <w:tcPr>
            <w:tcW w:w="980" w:type="dxa"/>
            <w:vAlign w:val="bottom"/>
            <w:tcBorders>
              <w:bottom w:val="single" w:sz="8" w:color="auto"/>
            </w:tcBorders>
          </w:tcPr>
          <w:p>
            <w:pPr>
              <w:jc w:val="right"/>
              <w:ind w:right="7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7"/>
                <w:szCs w:val="17"/>
                <w:color w:val="auto"/>
              </w:rPr>
            </w:pPr>
          </w:p>
        </w:tc>
        <w:tc>
          <w:tcPr>
            <w:tcW w:w="960" w:type="dxa"/>
            <w:vAlign w:val="bottom"/>
            <w:tcBorders>
              <w:bottom w:val="single" w:sz="8" w:color="auto"/>
            </w:tcBorders>
          </w:tcPr>
          <w:p>
            <w:pPr>
              <w:jc w:val="right"/>
              <w:ind w:right="7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7"/>
                <w:szCs w:val="17"/>
                <w:color w:val="auto"/>
              </w:rPr>
            </w:pPr>
          </w:p>
        </w:tc>
      </w:tr>
      <w:tr>
        <w:trPr>
          <w:trHeight w:val="20"/>
        </w:trPr>
        <w:tc>
          <w:tcPr>
            <w:tcW w:w="76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Property and equipment purchases included in accounts payable and accrued expenses</w:t>
            </w:r>
          </w:p>
        </w:tc>
        <w:tc>
          <w:tcPr>
            <w:tcW w:w="980" w:type="dxa"/>
            <w:vAlign w:val="bottom"/>
            <w:tcBorders>
              <w:bottom w:val="single" w:sz="8" w:color="auto"/>
            </w:tcBorders>
            <w:shd w:val="clear" w:color="auto" w:fill="CFF0FC"/>
          </w:tcPr>
          <w:p>
            <w:pPr>
              <w:jc w:val="right"/>
              <w:ind w:right="7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7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-2656840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-2656840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-1816735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-1816735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-1533525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-1533525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-950595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-933450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-350520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-333375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 w:name="page9"/>
    <w:bookmarkEnd w:id="8"/>
    <w:p>
      <w:pPr>
        <w:ind w:left="4620"/>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Gemini Therapeutics, Inc. (the “Company” or “Gemini”) is a clinical-stage precision medicine company developing novel therapeutic compounds to treat genetically defined, age-related macular degeneration. The Company was founded on March 3, 2015.</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Unless the context otherwise requires, references in these notes to “Gemini”, “the Company”, “we”, “us” and “our” and any related terms are intended to mean Gemini Therapeutics, Inc. and its consolidated subsidiary following the Business Combination (as defined below).</w:t>
      </w:r>
    </w:p>
    <w:p>
      <w:pPr>
        <w:spacing w:after="0" w:line="1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Since its inception, the Company has devoted substantially all its efforts and financial resources to organizing and staffing the Company, business planning, raising capital, discovering product candidates and securing related intellectual property rights and conducting research and development activities for its product candidates. In January 2022, the Company discontinued both of its Phase 2a clinical trials for GEM103. The Company's other product candidate, GEM307, is in the preclinical stage of development.</w:t>
      </w:r>
    </w:p>
    <w:p>
      <w:pPr>
        <w:spacing w:after="0" w:line="15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February 2022, the Company announced a corporate restructuring and that it initiated a process to evaluate strategic alternatives. After a comprehensive review of strategic alternatives, including identifying and reviewing potential candidates for a strategic transaction, on August 9, 2022, the Company entered into an Agreement and Plan of Merger and Reorganization (the “Disc Merger Agreement”) with Disc Medicine, Inc., a Delaware corporation (“Disc”), and Gemstone Merger Sub, Inc., a Delaware corporation and a wholly-owned subsidiary of the Company (“Gem Merger Sub”), pursuant to which, subject to the satisfaction or waiver of the conditions therein, Gem Merger Sub will merge with and into Disc (the “Disc Merger”), with Disc continuing as the surviving company and a wholly-owned subsidiary of the Company. In connection with the Disc Merger, the Company will distribute to the pre-closing Gemini stockholders contingent value rights (“CVRs”), representing the contractual right to receive payments from the post-closing combined company upon receipt of certain proceeds derived from consideration paid as a result of the disposition of the Company’s pre-Disc Merger assets, net of certain permitted deductions for expenses. The Disc Merger was unanimously approved by the Company’s board of directors (the “Board”), and the Board resolved to recommend approval of the Disc Merger Agreement to the Company’s shareholders. The closing of the Disc Merger is subject to approval by the stockholders of the Company and Disc as well as other customary closing conditions, including the effectiveness of a registration statement filed with the SEC in connection with the transaction. If the merger is completed, the business of Disc will continue as the business of the combined company.</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future operations are highly dependent on the success of the Disc Merger and there can be no assurances that the Disc Merger will be successfully consummated. In the event that the Company does not complete the transaction with Disc, the Company may explore strategic alternatives,</w:t>
      </w:r>
    </w:p>
    <w:p>
      <w:pPr>
        <w:spacing w:after="0"/>
        <w:rPr>
          <w:sz w:val="20"/>
          <w:szCs w:val="20"/>
          <w:color w:val="auto"/>
        </w:rPr>
      </w:pPr>
      <w:r>
        <w:rPr>
          <w:rFonts w:ascii="Times New Roman" w:cs="Times New Roman" w:eastAsia="Times New Roman" w:hAnsi="Times New Roman"/>
          <w:sz w:val="18"/>
          <w:szCs w:val="18"/>
          <w:color w:val="auto"/>
        </w:rPr>
        <w:t>including, without limitation, another strategic transaction and/or pursue a dissolution and liquidation of the Company.</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February 5, 2021 (the “Closing Date”), FS Development Corporation, a Delaware corporation (“FSDC”), consummated the previously announced business combination (the “Business Combination”) pursuant to the terms of the Agreement and Plan of Merger, dated as of October 15, 2020 (as amended, supplemented or otherwise modified from time to time, the “Merger Agreement”), by and among Gemini Therapeutics, Inc., a Delaware corporation (“Old Gemini”), Shareholder Representative Services LLC, a Colorado limited liability company solely in its capacity as the representative, agent and attorney-in-fact of the Company Securityholders (the “Stockholders’ Representative”), FSDC and FSG Merger Sub Inc., a Delaware corporation (“Merger Sub”).</w:t>
      </w:r>
    </w:p>
    <w:p>
      <w:pPr>
        <w:spacing w:after="0" w:line="1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FSDC was incorporated in Delaware on June 25, 2020 and was formed for the purpose of effecting a merger, capital stock exchange, asset acquisition, stock purchase, reorganization or similar business combination with one or more businesses.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the day prior to the Closing Date, Old Gemini changed its name to “Gemini Therapeutics Sub, Inc.” Pursuant to the Merger Agreement, on the Closing Date, (i) FSDC changed its name to “Gemini Therapeutics, Inc.” and (ii) Old Gemini merged with and into Merger Sub (the “Merger”), with Old Gemini as the surviving company in the Merger and, after giving effect to such Merger, Old Gemini becoming a wholly-owned subsidiary of Gemini. Upon the closing of the Business Combination, and pursuant to the terms of the Merger Agreement, the existing shareholders of Old Gemini exchanged their interests for shares of common stock of Gemini.</w:t>
      </w:r>
    </w:p>
    <w:p>
      <w:pPr>
        <w:spacing w:after="0" w:line="1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certain investors purchased an aggregate of $95.1 million of the Company’s Common Stock in a private placement of public equity (the “PIPE Financing”). Together with FSDC’s cash resources and funding of the PIPE Financing, the Company received net proceeds of approximately $195.9 million.</w:t>
      </w:r>
    </w:p>
    <w:p>
      <w:pPr>
        <w:spacing w:after="0" w:line="1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on the Business Combination, please refer to Note 2,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to these condensed consolidated financial statements.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9" w:name="page10"/>
    <w:bookmarkEnd w:id="9"/>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is subject to risks and uncertainties common to early-stage companies in the biotechnology industry, including, but not limited to, uncertainty of product development and commercialization, lack of marketing and sales history, development by its competitors of new technological innovations, dependence on key personnel, market acceptance of products, product liability, protection of proprietary technology, ability to raise additional financing, compliance with government regulations and the impact of the ongoing and evolving novel coronavirus disease (“COVID-19”) pandemic. If the Company does not successfully commercialize any of its product candidates, it will be unable to generate recurring product revenue or achieve profitability.</w:t>
      </w:r>
    </w:p>
    <w:p>
      <w:pPr>
        <w:spacing w:after="0" w:line="14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Company’s product candidates will require significant additional research and development efforts, including extensive preclinical and clinical testing and regulatory approval prior to commercialization. These efforts require significant amounts of additional capital, adequate personnel and infrastructure and extensive compliance-reporting capabilities.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is dependent upon the services of its employees, consultants, third-party contract research organizations and other third-party organizations.</w:t>
      </w:r>
    </w:p>
    <w:p>
      <w:pPr>
        <w:spacing w:after="0" w:line="15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Prior to the Business Combination, the Company primarily financed its operations through the sale of convertible preferred stock, borrowings under convertible promissory notes and borrowings under loan agreements. The Company believes that its $108.7 million of cash and cash equivalents as of June 30, 2022 will enable it to fund its planned operations for at least twelve months from the issuance date of these condensed consolidated financial statements, though the Company may raise additional capital through a combination of equity offerings, debt financings, collaborations, strategic alliances and marketing, distribution or licensing arrangements. Management’s expectations with respect to its ability to fund current planned operations is based on estimates that are subject to risks and uncertainties. Its operating plan may change as a result of many factors currently unknown to management, and there can be no assurance that the current operating plan will be achieved in the time frame anticipated by the Company, and it may need to seek additional funds sooner than anticipated. Furthermore, the operating plan could materially change depending on the outcome of our ongoing strategic alternative review process, including if the Disc Merger is not successfully consummated on a timely basis or at all. If adequate funds are not available to the Company on a timely basis, on acceptable terms or at all, management may be required to delay, limit, reduce or terminate certain of its research, product development or future commercialization efforts, obtain funds through arrangements with collaborators on terms unfavorable to the Company, or pursue merger or acquisition strategies, all of which could adversely affect the holdings or the rights of its stockholders.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the COVID-19 Pandemic</w:t>
      </w:r>
    </w:p>
    <w:p>
      <w:pPr>
        <w:spacing w:after="0" w:line="18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ongoing COVID-19 pandemic and the increased prevalence of variants of the virus,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ongoing COVID-19 pandemic and related impacts have resulted in and will likely continue to result in significant disruptions to the global economy and capital markets around the world. The Company cannot predict the future progression or full impact of the outbreak and its effects on the Company’s business and operations.</w:t>
      </w:r>
    </w:p>
    <w:p>
      <w:pPr>
        <w:spacing w:after="0" w:line="15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 has not incurred impairment losses in the carrying values of its assets as a result of the ongoing COVID-19 pandemic, and it is not aware of any specific related event or circumstance that would require it to revise its estimates reflected in these condensed consolidated financial statements. Although the COVID-19 pandemic did not have a significant impact on the Company’s condensed consolidated financial results in the second quarter of 2022, the full extent to which the ongoing COVID-19 pandemic may impact the Company’s business, results of operations, financial condition and cash flows will depend on future developments that are highly uncertain, and the estimates of the impact on the Company’s business may change based on new information that may emerge concerning COVID-19, including the duration of the pandemic, any potential subsequent waves or strains of COVID-19 infection, the effectiveness, distribution and acceptance of COVID-19 vaccines and the actions to contain it or treat its impact and the economic impact on local, regional, national and international markets.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Business Combination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5, 2021, Old Gemini and FSDC completed the Business Combination pursuant to the Merger Agreement with Old Gemini surviving the merger as a wholly owned subsidiary of FSDC. Net proceeds from the Business Combination totaled approximately $195.9 million, which included funds held in FSDC’s trust account and the completion of the concurrent PIPE Financing.</w:t>
      </w:r>
    </w:p>
    <w:p>
      <w:pPr>
        <w:spacing w:after="0" w:line="1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terms and subject to the conditions of the Merger Agreement, at the effective time of the Merger, (i) all shares of Old Gemini’s Series B Preferred Stock (including shares of Series B Preferred Stock issued upon conversion of outstanding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 w:name="page11"/>
    <w:bookmarkEnd w:id="10"/>
    <w:p>
      <w:pPr>
        <w:jc w:val="both"/>
        <w:spacing w:after="0" w:line="243" w:lineRule="auto"/>
        <w:rPr>
          <w:sz w:val="20"/>
          <w:szCs w:val="20"/>
          <w:color w:val="auto"/>
        </w:rPr>
      </w:pPr>
      <w:r>
        <w:rPr>
          <w:rFonts w:ascii="Times New Roman" w:cs="Times New Roman" w:eastAsia="Times New Roman" w:hAnsi="Times New Roman"/>
          <w:sz w:val="18"/>
          <w:szCs w:val="18"/>
          <w:color w:val="auto"/>
        </w:rPr>
        <w:t>convertible promissory notes), Series A Preferred Stock and Common Stock (collectively, “Old Gemini Stock”) issued and outstanding immediately prior to the effective time of the Merger, whether vested or unvested, were converted into the right to receive their pro rata portion of the 17,942,274 shares of FSDC Class A Common Stock (the “Common Stock”) issued as Merger consideration (the “Merger Consideration”), provided that 2,150,000 shares of Common Stock are held in escrow for a period of 12 months from the Closing Date to satisfy any indemnification obligations of Old Gemini under the Merger Agreement; (ii) each option exercisable for Old Gemini Stock that was outstanding immediately prior to effective time of the Merger was assumed and continues in full force and effect on the same terms and conditions as were previously applicable to such options, subject to adjustments to exercise price and number of shares Common Stock issuable upon exercise based on the final conversion ratio calculated in accordance with the Merger Agreement, and (iii) 4,264,341 shares of Common Stock were reserved for issuance under the newly adopted 2021 Stock Option and Incentive Plan (the “2021 Plan”).</w:t>
      </w:r>
    </w:p>
    <w:p>
      <w:pPr>
        <w:spacing w:after="0" w:line="13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Company accounted for the Business Combination as a reverse recapitalization, which is the equivalent of Old Gemini issuing stock for the net assets of FSDC, accompanied by a recapitalization, with FSDC treated as the acquired company for accounting purposes. The determination of FSDC as the “acquired” company for accounting purposes was primarily based on the fact that immediately subsequent to the Business Combination, shareholders of Old Gemini prior to the Business Combination have a majority of the voting power of the combined company, the operations of Old Gemini will comprise all of the ongoing operations of the combined entity, and Old Gemini’s senior management will comprise all of the senior management of the combined company. The net assets of FSDC were stated at historical cost with no goodwill or other intangible assets recorded. Reported results from operations included herein prior to the Business Combination are those of Old Gemini. The shares and corresponding capital amounts and loss per share related to Old Gemini’s outstanding convertible preferred stock and common stock prior to the Business Combination have been retroactively restated to reflect the conversion ratio established in the Merger Agreement (1.00 Old Gemini share for 0.2180 shares of the Company) (the “Conversion Ratio”).</w:t>
      </w:r>
    </w:p>
    <w:p>
      <w:pPr>
        <w:spacing w:after="0" w:line="14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connection with the Business Combination, the Company incurred equity issuance costs and other costs considered direct and incremental to the transaction totaling $21.0 million, consisting of legal, accounting, financial advisory and other professional fees. These amounts are reflected within additional paid-in capital in the condensed consolidated balance sheet as of June 30, 2022.</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 Financing</w:t>
      </w:r>
    </w:p>
    <w:p>
      <w:pPr>
        <w:spacing w:after="0" w:line="1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Concurrent with the execution of the Business Combination, the Company entered into subscription agreements with certain investors (the “PIPE Investors”) pursuant to which the PIPE Investors subscribed for and purchased an aggregate of 9,506,000 shares of Common Stock for an aggregate purchase price of $95.1 million.</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Summary of Net Proceeds</w:t>
            </w:r>
          </w:p>
        </w:tc>
        <w:tc>
          <w:tcPr>
            <w:tcW w:w="7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8"/>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elements of the net proceeds from the Business Combination (in thousands):</w:t>
            </w: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9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 FSDC Trust Account and cash (net of redemptions)</w:t>
            </w:r>
          </w:p>
        </w:tc>
        <w:tc>
          <w:tcPr>
            <w:tcW w:w="72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121,782</w:t>
            </w:r>
          </w:p>
        </w:tc>
        <w:tc>
          <w:tcPr>
            <w:tcW w:w="10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 PIPE Financing</w:t>
            </w:r>
          </w:p>
        </w:tc>
        <w:tc>
          <w:tcPr>
            <w:tcW w:w="7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95,060</w:t>
            </w:r>
          </w:p>
        </w:tc>
        <w:tc>
          <w:tcPr>
            <w:tcW w:w="100" w:type="dxa"/>
            <w:vAlign w:val="bottom"/>
          </w:tcPr>
          <w:p>
            <w:pPr>
              <w:spacing w:after="0"/>
              <w:rPr>
                <w:sz w:val="18"/>
                <w:szCs w:val="18"/>
                <w:color w:val="auto"/>
              </w:rPr>
            </w:pPr>
          </w:p>
        </w:tc>
      </w:t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Equity issuance costs and other costs paid</w:t>
            </w:r>
          </w:p>
        </w:tc>
        <w:tc>
          <w:tcPr>
            <w:tcW w:w="7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(20,960 )</w:t>
            </w:r>
          </w:p>
        </w:tc>
      </w:tr>
      <w:tr>
        <w:trPr>
          <w:trHeight w:val="210"/>
        </w:trPr>
        <w:tc>
          <w:tcPr>
            <w:tcW w:w="92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Net proceeds from the Business Combination</w:t>
            </w: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195,882</w:t>
            </w:r>
          </w:p>
        </w:tc>
        <w:tc>
          <w:tcPr>
            <w:tcW w:w="100" w:type="dxa"/>
            <w:vAlign w:val="bottom"/>
            <w:tcBorders>
              <w:top w:val="single" w:sz="8" w:color="CFF0FC"/>
            </w:tcBorders>
          </w:tcPr>
          <w:p>
            <w:pPr>
              <w:spacing w:after="0"/>
              <w:rPr>
                <w:sz w:val="18"/>
                <w:szCs w:val="18"/>
                <w:color w:val="auto"/>
              </w:rPr>
            </w:pPr>
          </w:p>
        </w:tc>
      </w:tr>
      <w:tr>
        <w:trPr>
          <w:trHeight w:val="20"/>
        </w:trPr>
        <w:tc>
          <w:tcPr>
            <w:tcW w:w="9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Shares Issued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number of shares of Common Stock outstanding immediately following the consummation of the Business Combination: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FSDC shares outstanding prior to the Business Combination</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15,535,150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 pursuant to the PIPE Financing</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Business Combination and PIPE Financing shares</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25,041,150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of Old Gemini Series A preferred stock for common stock</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8,657,869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Conversion of Old Gemini Series B preferred stock for common stock</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7,744,785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of Old Gemini common stock for common stock</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1,539,603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 exercise of warrants</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15,257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9260" w:type="dxa"/>
            <w:vAlign w:val="bottom"/>
          </w:tcPr>
          <w:p>
            <w:pPr>
              <w:ind w:left="200"/>
              <w:spacing w:after="0" w:line="164" w:lineRule="exact"/>
              <w:rPr>
                <w:sz w:val="20"/>
                <w:szCs w:val="20"/>
                <w:color w:val="auto"/>
              </w:rPr>
            </w:pPr>
            <w:r>
              <w:rPr>
                <w:rFonts w:ascii="Times New Roman" w:cs="Times New Roman" w:eastAsia="Times New Roman" w:hAnsi="Times New Roman"/>
                <w:sz w:val="18"/>
                <w:szCs w:val="18"/>
                <w:color w:val="auto"/>
              </w:rPr>
              <w:t>Total shares of the Company's common stock outstanding immediately following</w:t>
            </w:r>
          </w:p>
        </w:tc>
        <w:tc>
          <w:tcPr>
            <w:tcW w:w="1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42,998,664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9260" w:type="dxa"/>
            <w:vAlign w:val="bottom"/>
          </w:tcPr>
          <w:p>
            <w:pPr>
              <w:ind w:left="340"/>
              <w:spacing w:after="0" w:line="194" w:lineRule="exact"/>
              <w:rPr>
                <w:sz w:val="20"/>
                <w:szCs w:val="20"/>
                <w:color w:val="auto"/>
              </w:rPr>
            </w:pPr>
            <w:r>
              <w:rPr>
                <w:rFonts w:ascii="Times New Roman" w:cs="Times New Roman" w:eastAsia="Times New Roman" w:hAnsi="Times New Roman"/>
                <w:sz w:val="18"/>
                <w:szCs w:val="18"/>
                <w:color w:val="auto"/>
              </w:rPr>
              <w:t>the Business Combination</w:t>
            </w:r>
          </w:p>
        </w:tc>
        <w:tc>
          <w:tcPr>
            <w:tcW w:w="18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6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7</w:t>
            </w: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926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9260" w:type="dxa"/>
            <w:vAlign w:val="bottom"/>
            <w:tcBorders>
              <w:bottom w:val="single" w:sz="8" w:color="9A9A9A"/>
            </w:tcBorders>
          </w:tcPr>
          <w:p>
            <w:pPr>
              <w:spacing w:after="0"/>
              <w:rPr>
                <w:sz w:val="8"/>
                <w:szCs w:val="8"/>
                <w:color w:val="auto"/>
              </w:rPr>
            </w:pPr>
          </w:p>
        </w:tc>
        <w:tc>
          <w:tcPr>
            <w:tcW w:w="18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1" w:name="page12"/>
    <w:bookmarkEnd w:id="11"/>
    <w:p>
      <w:pPr>
        <w:ind w:right="7680" w:firstLine="8"/>
        <w:spacing w:after="0" w:line="456" w:lineRule="auto"/>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jc w:val="both"/>
        <w:spacing w:after="0" w:line="24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those of the Company and its subsidiary, Gemini Therapeutics Sub, Inc., after elimination of all intercompany accounts and transactions. The accompanying unaudited condensed consolidated financial statements and notes hereto have been prepared in conformity with the rules and regulations of the Securities and Exchange Commission (“SEC”) for interim financial reporting and, therefore, omit or condense certain footnotes and other information normally included in financial statements prepared in accordance with accounting principles generally accepted in the United States of America (“GAAP”) as set forth in the Financial Accounting Standards Board’s (“FASB”). Any reference in these notes to applicable guidance is meant to refer to the authoritative GAAP as found in the Accounting Standards Codification (“ASC”) and Accounting Standards Updates (“ASU”) of the FASB.</w:t>
      </w:r>
    </w:p>
    <w:p>
      <w:pPr>
        <w:spacing w:after="0" w:line="15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the opinion of management, all adjustments necessary for a fair statement of the financial information, which are of a normal and recurring nature, have been made for the interim periods reported. Results of operations for the three and six months ended June 30, 2022 and 2021 are not necessarily indicative of the results for the entire fiscal year or any other period. The condensed consolidated financial information for the three and six months ended June 30, 2022 and 2021 have been prepared on the same basis as and should be read in conjunction with the audited financial statements and notes thereto for the year ended December 31, 2021 included in the Company’s Annual Report on Form 10-K as filed with the SEC on March 10, 2022.</w:t>
      </w:r>
    </w:p>
    <w:p>
      <w:pPr>
        <w:spacing w:after="0" w:line="1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As a result of the Business Combination, the shares and corresponding capital amounts and loss per share related to Old Gemini’s outstanding convertible preferred stock and common stock prior to the Business Combination have been retroactively restated to reflect the Conversion Ratio established in the Merger Agreement. For additional information regarding the Business Combination, please refer to Note 2,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to these condensed consolidated financial statements.</w:t>
      </w:r>
    </w:p>
    <w:p>
      <w:pPr>
        <w:spacing w:after="0" w:line="15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significant accounting policies used in preparation of these unaudited condensed consolidated financial statements for the three and six months ended June 30, 2022 are consistent with those discussed in Note 3 to the consolidated financial statements in the Company’s 2021 Annual Report on Form 10-K and are updated below as necessary.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CARES Act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CARES Act provided refundable employee retention credits, which could be used to offset payroll tax liabilities. On March 11, 2021, President Biden signed the American Rescue Plan Act (“ARPA”). The ARPA includes several provisions, such as measures that extend and expand the employee retention credit, previously enacted under the CARES Act, through December 31, 2021.</w:t>
      </w:r>
    </w:p>
    <w:p>
      <w:pPr>
        <w:spacing w:after="0" w:line="14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Measures not related to income-based taxes within the CARES Act include (1) allowing an employer to pay its share of Social Security payroll taxes that would otherwise be due from the date of enactment through December 31, 2020 over the following two years and (2) allowing eligible employers subject to closure due to the COVID-19 pandemic to receive a 50% credit on qualified wages against their employment taxes each quarter, with any excess credits eligible for refunds.</w:t>
      </w:r>
    </w:p>
    <w:p>
      <w:pPr>
        <w:spacing w:after="0" w:line="1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As there is no authoritative guidance under GAAP for accounting for grants to for-profit business entities, the Company accounts for the grant by analogy to International Accounting Standards 20 – Accounting for Government Grants and Disclosure of Government Assistance (“IAS 20”). During the three months ended June 30, 2022, the Company recorded an employee retention credit of $1.0 million upon completion of an analysis providing reasonable assurance that it met the conditions set forth in the CARES Act and it was reasonably assured that it will receive the employee retention credit. The employee retention credit is recorded in research and development expenses and general and administrative expenses in the manner in which the qualified wages and related costs were classified. $0.7 million and $0.3 million have been recorded to reduce research and development and general and administrative expenses, respectively, in the accompanying condensed consolidated statement of operations and comprehensive loss for the three and six months ended June 30, 2022. As of June 30, 2022, the employee retention credit receivable of $1.0 million is included in prepaid expenses and other current assets in the accompanying condensed consolidated balance sheet.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8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842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Amendments to the FASB Accounting Standards Codification (</w:t>
      </w:r>
      <w:r>
        <w:rPr>
          <w:rFonts w:ascii="Times New Roman" w:cs="Times New Roman" w:eastAsia="Times New Roman" w:hAnsi="Times New Roman"/>
          <w:sz w:val="18"/>
          <w:szCs w:val="18"/>
          <w:color w:val="auto"/>
        </w:rPr>
        <w:t>“ASU 2016-02”), which replaces the existing guidance for leases. ASU 2016-02 requires the identification of arrangements that should be accounted for as leases by lessees. In general, for lease arrangements exceeding a twelve-month term, these arrangements must now be recognized as assets and liabilities on the balance sheet of the lessee. Under ASU 2016-02, a right-of-use asset and a lease liability will be recorded for all leases, whether operating or financing, while the income statement will reflect lease expense for operating leases and amortization/interest expense for financing leases. The balance sheet amount recorded for existing leases at the date of adoption of ASU 2016-02 must be calculated using the applicable incremental borrowing rate at the date of adoption. The Company adopted ASU 2016-02 on January 1, 2022 using the modified retrospective approach. The Company elected the package of practical expedients which</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2" w:name="page13"/>
    <w:bookmarkEnd w:id="12"/>
    <w:p>
      <w:pPr>
        <w:jc w:val="both"/>
        <w:spacing w:after="0" w:line="244" w:lineRule="auto"/>
        <w:rPr>
          <w:sz w:val="20"/>
          <w:szCs w:val="20"/>
          <w:color w:val="auto"/>
        </w:rPr>
      </w:pPr>
      <w:r>
        <w:rPr>
          <w:rFonts w:ascii="Times New Roman" w:cs="Times New Roman" w:eastAsia="Times New Roman" w:hAnsi="Times New Roman"/>
          <w:sz w:val="18"/>
          <w:szCs w:val="18"/>
          <w:color w:val="auto"/>
        </w:rPr>
        <w:t>allows entities to not reassess (i) whether an arrangement is or contains a lease, (ii) the classification of its leases, and (iii) the accounting for initial direct costs. Further, the Company elected, by class of underlying asset, the short-term lease exception for leases with terms of twelve months or less. In doing so, the Company did not recognize a lease liability or right-of-use asset on its consolidated balance sheets for such short-term leases. Finally, the Company elected, by class of underlying asset, the practical expedient to not separate lease and non-lease components. The Company terminated its lease agreement on December 31, 2021 for its office and laboratory space. The Company does not have any other leases within the scope of ASU 2016-02. Therefore, the adoption of ASU 2016-02 did not have an impact on the Company's condensed consolidated financial statements and related disclosures.</w:t>
      </w:r>
    </w:p>
    <w:p>
      <w:pPr>
        <w:spacing w:after="0" w:line="15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xml:space="preserve"> (“ASU 2019-12”), which is intended to simplify the accounting for income taxes. ASU 2019-12 removes certain exceptions to the general principles in Topic 740 and also clarifies and amends existing guidance to improve consistent application. The Company adopted ASU 2019-12 on January 1, 2022. The adoption did not have a material effect on the Company’s condensed consolidated financial statements.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November 2021, the FASB issued ASU No. 2021-10, </w:t>
      </w:r>
      <w:r>
        <w:rPr>
          <w:rFonts w:ascii="Times New Roman" w:cs="Times New Roman" w:eastAsia="Times New Roman" w:hAnsi="Times New Roman"/>
          <w:sz w:val="18"/>
          <w:szCs w:val="18"/>
          <w:i w:val="1"/>
          <w:iCs w:val="1"/>
          <w:color w:val="auto"/>
        </w:rPr>
        <w:t>Government Assistance (Topic 832): Disclosures by Business Entities about Government</w:t>
      </w:r>
    </w:p>
    <w:p>
      <w:pPr>
        <w:spacing w:after="0" w:line="29"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i w:val="1"/>
          <w:iCs w:val="1"/>
          <w:color w:val="auto"/>
        </w:rPr>
        <w:t>Assistance</w:t>
      </w:r>
      <w:r>
        <w:rPr>
          <w:rFonts w:ascii="Times New Roman" w:cs="Times New Roman" w:eastAsia="Times New Roman" w:hAnsi="Times New Roman"/>
          <w:sz w:val="18"/>
          <w:szCs w:val="18"/>
          <w:color w:val="auto"/>
        </w:rPr>
        <w:t>. This standard increases the transparency of transactions with the government that are accounted for by applying a grant or contribution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model, and aims to reduce diversity that currently exists in the recognition, measurement, presentation, and disclosure of government assistance received by business entities due to the lack of specific authoritative guidance in GAAP. This standard requires an entity to provide information regarding the nature of the transaction with a government and the related accounting policy used to account for this transaction, the line item on the condensed consolidated balance sheet and condensed consolidated statement of operations and comprehensive loss that are affected by the transaction and the amounts applicable to each financial statement line item, and the significant terms and conditions of the transaction, including commitments and contingencies. The Company adopted ASU 2021-10 on January 1, 2022 using the prospective approach. The adoption did not have a material effect on the Company’s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7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preparation of the unaudited condensed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Significant estimates contained within these financial statements include, but are not limited to, the accruals of research and development expenses, share-based awards utilized for stock-based compensation purposes and, prior to the Business Combination, the estimated fair value of the Company’s common stock and warrant liability. The Company bases its estimates on historical experience, known trends and other market-specific or other relevant factors that it believes to be reasonable under the circumstances. On an ongoing basis, management evaluates its estimates, as there are changes in circumstances, facts and experience. Actual results may differ materially from those estimates or assumptions.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Restricted cash amounted to $0 and $0.3 million as of June 30, 2022 and December 31, 2021, which consisted of $0.1 million to collateralize the Company’s credit card and $0.2 million to collateralize its irrevocable standby letter of credit for its facility lease arrangement. The facility lease arrangement was terminated on December 31, 2021.</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cash and cash equivalents and restricted cash as presented in the Company’s condensed consolidated balance sheets to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condensed consolidated statements of cash flows is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r>
      <w:tr>
        <w:trPr>
          <w:trHeight w:val="238"/>
        </w:trPr>
        <w:tc>
          <w:tcPr>
            <w:tcW w:w="7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108,659</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136,627</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18"/>
                <w:szCs w:val="18"/>
                <w:color w:val="auto"/>
              </w:rPr>
            </w:pPr>
          </w:p>
        </w:tc>
      </w:tr>
      <w:tr>
        <w:trPr>
          <w:trHeight w:val="250"/>
        </w:trPr>
        <w:tc>
          <w:tcPr>
            <w:tcW w:w="7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108,659</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136,950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-24765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 qualifies as an “emerging growth company” (“EGC”), as defined in the Jumpstart Our Business Startups Act (“JOBS Act”), and may take advantage of certain exemptions from various reporting requirements that are applicable to other public companies that are not EGCs. The Company may take advantage of these exemptions until it is no longer an EGC under Section 107 of the JOBS Act, which provides that an EGC can take advantage of the extended transition period afforded by the JOBS Act for the implementation of new or revised accounting standards. The Company has elected to avail itself of the extended transition period and, therefore, while the Company is an EGC it will not be subject to new or revised accounting standards at the same time that they become applicable to other public companies that are not EGCs, unless it chooses to early adopt a new or revised accounting standard. As a result of this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3" w:name="page14"/>
    <w:bookmarkEnd w:id="13"/>
    <w:p>
      <w:pPr>
        <w:jc w:val="both"/>
        <w:spacing w:after="0" w:line="266" w:lineRule="auto"/>
        <w:rPr>
          <w:sz w:val="20"/>
          <w:szCs w:val="20"/>
          <w:color w:val="auto"/>
        </w:rPr>
      </w:pPr>
      <w:r>
        <w:rPr>
          <w:rFonts w:ascii="Times New Roman" w:cs="Times New Roman" w:eastAsia="Times New Roman" w:hAnsi="Times New Roman"/>
          <w:sz w:val="18"/>
          <w:szCs w:val="18"/>
          <w:color w:val="auto"/>
        </w:rPr>
        <w:t>election, the condensed consolidated financial statements may not be comparable to companies that comply with public company FASB standards’ effective 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measured at fair value (in thousands) on a recurring basis and indicate the level of the fair value hierarchy used to determine such fair values: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5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Money market funds in cash and cash equivalents</w:t>
            </w: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107,659</w:t>
            </w:r>
          </w:p>
        </w:tc>
        <w:tc>
          <w:tcPr>
            <w:tcW w:w="1320" w:type="dxa"/>
            <w:vAlign w:val="bottom"/>
            <w:gridSpan w:val="3"/>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107,659</w:t>
            </w:r>
          </w:p>
        </w:tc>
        <w:tc>
          <w:tcPr>
            <w:tcW w:w="100" w:type="dxa"/>
            <w:vAlign w:val="bottom"/>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4"/>
                <w:szCs w:val="24"/>
                <w:color w:val="auto"/>
              </w:rPr>
            </w:pPr>
          </w:p>
        </w:tc>
      </w:tr>
      <w:tr>
        <w:trPr>
          <w:trHeight w:val="209"/>
        </w:trPr>
        <w:tc>
          <w:tcPr>
            <w:tcW w:w="52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Money market funds in cash and cash equivalents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135,631</w:t>
            </w:r>
          </w:p>
        </w:tc>
        <w:tc>
          <w:tcPr>
            <w:tcW w:w="80" w:type="dxa"/>
            <w:vAlign w:val="bottom"/>
          </w:tcPr>
          <w:p>
            <w:pPr>
              <w:spacing w:after="0"/>
              <w:rPr>
                <w:sz w:val="18"/>
                <w:szCs w:val="18"/>
                <w:color w:val="auto"/>
              </w:rPr>
            </w:pPr>
          </w:p>
        </w:tc>
        <w:tc>
          <w:tcPr>
            <w:tcW w:w="1320" w:type="dxa"/>
            <w:vAlign w:val="bottom"/>
            <w:gridSpan w:val="3"/>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300" w:type="dxa"/>
            <w:vAlign w:val="bottom"/>
            <w:gridSpan w:val="3"/>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135,631</w:t>
            </w:r>
          </w:p>
        </w:tc>
        <w:tc>
          <w:tcPr>
            <w:tcW w:w="100" w:type="dxa"/>
            <w:vAlign w:val="bottom"/>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values of cash equivalents are classified as Level 1 measurements under the fair value hierarchy as these assets have been valued using quoted market prices in active markets and do not have any restrictions on redemption. As of June 30, 2022 and December 31, 2021, cash equivalents were comprised of funds in money market accounts. There were no transfers or reclassifications between Level 1, Level 2 and Level 3 during the three and six months ended June 30, 2022.</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Accrued expenses and other current liabilities</w:t>
            </w:r>
          </w:p>
        </w:tc>
        <w:tc>
          <w:tcPr>
            <w:tcW w:w="1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75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24"/>
                <w:szCs w:val="24"/>
                <w:color w:val="auto"/>
              </w:rPr>
            </w:pPr>
          </w:p>
        </w:tc>
      </w:tr>
      <w:tr>
        <w:trPr>
          <w:trHeight w:val="238"/>
        </w:trPr>
        <w:tc>
          <w:tcPr>
            <w:tcW w:w="7580" w:type="dxa"/>
            <w:vAlign w:val="bottom"/>
          </w:tcPr>
          <w:p>
            <w:pPr>
              <w:spacing w:after="0"/>
              <w:rPr>
                <w:sz w:val="20"/>
                <w:szCs w:val="20"/>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external research and development</w:t>
            </w:r>
          </w:p>
        </w:tc>
        <w:tc>
          <w:tcPr>
            <w:tcW w:w="1140" w:type="dxa"/>
            <w:vAlign w:val="bottom"/>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100" w:type="dxa"/>
            <w:vAlign w:val="bottom"/>
            <w:shd w:val="clear" w:color="auto" w:fill="CFF0FC"/>
          </w:tcPr>
          <w:p>
            <w:pPr>
              <w:spacing w:after="0"/>
              <w:rPr>
                <w:sz w:val="18"/>
                <w:szCs w:val="18"/>
                <w:color w:val="auto"/>
              </w:rPr>
            </w:pPr>
          </w:p>
        </w:tc>
      </w:tr>
      <w:tr>
        <w:trPr>
          <w:trHeight w:val="216"/>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1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00" w:type="dxa"/>
            <w:vAlign w:val="bottom"/>
          </w:tcPr>
          <w:p>
            <w:pPr>
              <w:spacing w:after="0"/>
              <w:rPr>
                <w:sz w:val="18"/>
                <w:szCs w:val="18"/>
                <w:color w:val="auto"/>
              </w:rPr>
            </w:pPr>
          </w:p>
        </w:tc>
      </w:tr>
      <w:tr>
        <w:trPr>
          <w:trHeight w:val="216"/>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 of term charge for Term Loan</w:t>
            </w:r>
          </w:p>
        </w:tc>
        <w:tc>
          <w:tcPr>
            <w:tcW w:w="114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8"/>
                <w:szCs w:val="18"/>
                <w:color w:val="auto"/>
              </w:rPr>
            </w:pPr>
          </w:p>
        </w:tc>
      </w:tr>
      <w:tr>
        <w:trPr>
          <w:trHeight w:val="216"/>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14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18"/>
                <w:szCs w:val="18"/>
                <w:color w:val="auto"/>
              </w:rPr>
            </w:pPr>
          </w:p>
        </w:tc>
      </w:tr>
      <w:tr>
        <w:trPr>
          <w:trHeight w:val="210"/>
        </w:trPr>
        <w:tc>
          <w:tcPr>
            <w:tcW w:w="7580" w:type="dxa"/>
            <w:vAlign w:val="bottom"/>
          </w:tcPr>
          <w:p>
            <w:pPr>
              <w:spacing w:after="0"/>
              <w:rPr>
                <w:sz w:val="18"/>
                <w:szCs w:val="18"/>
                <w:color w:val="auto"/>
              </w:rPr>
            </w:pPr>
          </w:p>
        </w:tc>
        <w:tc>
          <w:tcPr>
            <w:tcW w:w="11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3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6,884</w:t>
            </w:r>
          </w:p>
        </w:tc>
        <w:tc>
          <w:tcPr>
            <w:tcW w:w="100" w:type="dxa"/>
            <w:vAlign w:val="bottom"/>
          </w:tcPr>
          <w:p>
            <w:pPr>
              <w:spacing w:after="0"/>
              <w:rPr>
                <w:sz w:val="18"/>
                <w:szCs w:val="18"/>
                <w:color w:val="auto"/>
              </w:rPr>
            </w:pPr>
          </w:p>
        </w:tc>
      </w:tr>
      <w:tr>
        <w:trPr>
          <w:trHeight w:val="20"/>
        </w:trPr>
        <w:tc>
          <w:tcPr>
            <w:tcW w:w="75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Corporate restructuring</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October 2021, the Company announced a restructuring plan that resulted in a reduction of the Company’s workforce by 11 positions, or approximately 26% of the Company’s then workforce. A majority of these employees’ separation from the Company occurred in mid-October 2021, and the remaining affected employees transitioned by the end of 2021. As a result, the Company incurred costs of $1.4 million during the year ended December 31, 2021 related to severance benefits for the affected employees.</w:t>
      </w:r>
    </w:p>
    <w:p>
      <w:pPr>
        <w:spacing w:after="0" w:line="13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February 2022, the Company announced an additional restructuring plan to reduce the Company's operations to preserve financial resources, resulting in a reduction of the Company’s workforce by 24 positions, or approximately 80% of the Company’s then workforce, by the end of the second quarter of 2022. As a result, the Company incurred costs of $1.7 million during the three months ended March 31, 2022 related to severance benefits for the affected employees.</w:t>
      </w:r>
    </w:p>
    <w:p>
      <w:pPr>
        <w:spacing w:after="0" w:line="15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severance benefits for both restructuring plans include severance payments, limited reimbursement of medical insurance premiums, outplacement services and other restructuring costs and expenses. Each affected employee’s eligibility for the severance benefits is contingent upon such employee’s execution (without revocation, as applicable) of a separation agreement, which includes a general release of claims against the Company. The October 2021 restructuring plan was completed by the end of 2021. The February 2022 restructuring plan was completed by the end of the second quarter of 2022.</w:t>
      </w:r>
    </w:p>
    <w:p>
      <w:pPr>
        <w:spacing w:after="0" w:line="13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Of the $1.7 million in costs recognized related to the February 2022 restructuring plan, $1.0 million and $0.7 million have been charged to research and development and general and administrative expenses, respectively, in the accompanying condensed consolidated statement of operations and comprehensive loss for the six months ended June 30, 2022. During the six months ended June 30, 2022, the Company paid $2.2 million in severance benefits to separating employees related to the restructuring plans, with $0.9 million related to the October 2021 restructuring plan and $1.3 million related to the February 2022 restructuring plan. As of June 30, 2022 and December 31, 2021, unpaid severance costs of $0.4 million and $0.9 million, respectively, are included in accrued expenses and other current liabilities in the accompanying condensed consolidated balance sheet for each period.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7. Term loan</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February 2019, the Company entered into a term loan facility of up to $10.0 million (the “Term Loan”) with Silicon Valley Bank (“SVB”). The proceeds were used for general corporate and working capital purposes. Concurrent with the Term Loan, the Company issued SVB warrants to purchase 15,257 shares of the Company’s Series A preferred stock at an exercise price of $5.46. As of June 30, 2022 and December 31, 2021, the Company had $2.9 million and $5.4 million, respectively, in principal outstanding under the Term Loan.</w:t>
      </w:r>
    </w:p>
    <w:p>
      <w:pPr>
        <w:spacing w:after="0" w:line="15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Term Loan is governed by a loan and security agreement, entered into in February 2019, between the Company and SVB (the “SVB Loan Agreement”). The SVB Loan Agreement provided for two separate tranches under which the Company could borrow. In April 2019, the Company borrowed $7.5 million under the first tranche, and in December 2019, the Company borrowed $2.5 million under the second tranche.</w:t>
      </w:r>
    </w:p>
    <w:p>
      <w:pPr>
        <w:spacing w:after="0" w:line="15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Term Loan initially matured in July 2022 and accrues interest at a floating rate per annum equal to the greater of 3.75% or the prime rate minus 1.5% (3.25% as of June 30, 2022). The Term Loan initially provided for monthly interest-only payments until July 2020. Thereafter, payments are payable in equal monthly installments of principal, plus all accrued and unpaid interest. The Company may prepay the Term Loan in whole upon 5 days’ prior written notice to SVB. Any such prepayment of the Term Loan is subject to a prepayment charge of 0.5% of the then outstanding principal balance. Amounts outstanding during an event of default are payable upon SVB’s demand and will accrue interest at an additional rate of 5.0% per annum of the past due amount outstanding.</w:t>
      </w:r>
    </w:p>
    <w:p>
      <w:pPr>
        <w:spacing w:after="0" w:line="1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April 2020, the Company entered into a deferral agreement with SVB to defer scheduled principal repayments on its Term Loan by six months. The deferral agreement was offered to the Company in connection with SVB’s venture debt relief initiative, which was started due to the COVID-19 pandemic. The Company’s first principal payment under its credit facility occurred in February 2021. The required monthly interest-only payment was not impacted by the deferral. The Term Loan’s new maturity date is in January 2023. After considering the debt guidance in ASC 470, the Company concluded that it did not meet the indicators of a troubled debt restructuring and accounted for the deferral of principal payment as a debt modification. Since there were no fees paid to SVB in connection with the deferral agreement, the Company did not record any adjustments to the Company’s condensed consolidated financial statements related to this deferral.</w:t>
      </w:r>
    </w:p>
    <w:p>
      <w:pPr>
        <w:spacing w:after="0" w:line="1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At the end of the loan term (whether at maturity, by prepayment in full or otherwise), the Company is required to pay a final end of term charge to SVB in the amount of 4.0% of the aggregate original principal amount advanced by SVB. The amount of the end of term charge is being accrued over the loan term as interest expense. As of June 30, 2022 and December 31, 2021, the Company had a liability related to the end of term charge of $0.4 million, which has been classified within accrued expenses and other current liabilities as of June 30, 2022 and other long-term liabilities as of December 31, 2021.</w:t>
      </w:r>
    </w:p>
    <w:p>
      <w:pPr>
        <w:spacing w:after="0" w:line="1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SVB Loan Agreement includes a provision under which SVB may accelerate the scheduled maturities of the Term Loan under conditions that are not objectively determinable. The Company evaluated the likelihood of such acceleration and determined that it is not probable and classified the Term Loan on the balance sheet in accordance with the repayment schedule as of June 30, 2022.</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As of June 30, 2022, scheduled principal payments for the Term Loan are as follows (in thousands):</w:t>
            </w:r>
          </w:p>
        </w:tc>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 (remaining six months)</w:t>
            </w:r>
          </w:p>
        </w:tc>
        <w:tc>
          <w:tcPr>
            <w:tcW w:w="760" w:type="dxa"/>
            <w:vAlign w:val="bottom"/>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7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18"/>
                <w:szCs w:val="18"/>
                <w:color w:val="auto"/>
              </w:rPr>
            </w:pPr>
          </w:p>
        </w:tc>
      </w:tr>
      <w:tr>
        <w:trPr>
          <w:trHeight w:val="210"/>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principal</w:t>
            </w:r>
          </w:p>
        </w:tc>
        <w:tc>
          <w:tcPr>
            <w:tcW w:w="7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10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discounts</w:t>
            </w:r>
          </w:p>
        </w:tc>
        <w:tc>
          <w:tcPr>
            <w:tcW w:w="76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r>
      <w:tr>
        <w:trPr>
          <w:trHeight w:val="210"/>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Carrying amount</w:t>
            </w:r>
          </w:p>
        </w:tc>
        <w:tc>
          <w:tcPr>
            <w:tcW w:w="7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10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76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(2,913 )</w:t>
            </w:r>
          </w:p>
        </w:tc>
      </w:tr>
      <w:tr>
        <w:trPr>
          <w:trHeight w:val="250"/>
        </w:trPr>
        <w:tc>
          <w:tcPr>
            <w:tcW w:w="9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portion</w:t>
            </w:r>
          </w:p>
        </w:tc>
        <w:tc>
          <w:tcPr>
            <w:tcW w:w="760" w:type="dxa"/>
            <w:vAlign w:val="bottom"/>
            <w:tcBorders>
              <w:top w:val="single" w:sz="8" w:color="auto"/>
              <w:bottom w:val="single" w:sz="8" w:color="auto"/>
            </w:tcBorders>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for the Term Loan was $0.1 million for each of the three months ended June 30, 2022 and 2021 and $0.1 million and $0.3 million for the six months ended June 30, 2022 and 2021,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Convertible promissory notes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2020, Old Gemini entered into a purchase agreement with various investors to issue $14.0 million in convertible promissory notes (the “Notes”). The Notes accrued simple interest at 8% per annum. The Company determined that a beneficial conversion feature (“BCF”) existed and should be recognized on the issuance date. The Company recorded the Notes at the original issuance price, net of</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5" w:name="page16"/>
    <w:bookmarkEnd w:id="15"/>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BCF discount. The BCF discount was accreted to the face value of the Notes over the period from the issuance date until the maturity date, offset against interest expense.</w:t>
      </w:r>
    </w:p>
    <w:p>
      <w:pPr>
        <w:spacing w:after="0" w:line="13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Notes served as a bridge loan prior to the PIPE Financing that was completed in connection with the closing of the Business Combination. The Notes were intended to automatically convert into shares of common stock issued in the PIPE Financing at a per share conversion price equal to the lowest per share price paid for such shares of common stock in the PIPE Financing. The Notes were amended to allow for the principal and interest to convert to shares of Series B preferred stock prior to the closing of the Business Combination. Accordingly, immediately prior to the closing of the Business Combination, the outstanding principal and interest under the Notes converted into 2,341,316 shares of Series B preferred stock at a per share conversion price of $6.1986, and the Notes liability was extinguished. The Company recorded a loss on conversion of convertible notes of $0.7 million for the difference between the reacquisition price of the Notes and the net carrying amount of the Notes in the condensed consolidated statements of operations and comprehensive loss for the three months ended March 31, 2021.</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for the Notes was $0 for each of the three months ended June 30, 2022 and 2021 and $0 and $1.7 million for the six months ended June 30, 2022 and 2021,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Stockholders’ Equity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condensed consolidated statement of stockholders’ equity has been retroactively adjusted for all periods presented to reflect the Business Combination and reverse recapitalization as defined in Note 2,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Upon closing of the Business Combination and pursuant to the terms of the Company's Amended and Restated Certificate of Incorporation entered into on February 5, 2021 (the “Certificate of Incorporation”), the Company authorized 10,000,000 shares of preferred stock with a par value $0.0001 per share. The Company’s board of directors has the authority, without further action by the stockholders, to issue such shares of preferred stock in one or more series, to establish from time to time the number of shares to be included in each such series, and to fix the designations, powers, voting, and other rights, preferences and privileges of the shares. There were no issued and outstanding shares of preferred stock as of June 30, 2022.</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all previously issued and outstanding Series A convertible preferred stock and Series B convertible preferred stock were exchanged for common stock of the Company pursuant to the Conversion Ratio established in the Merger Agreement. All fractional shares were rounded down.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terms of the Company's Certificate of Incorporation, the Company authorized 250,000,000 shares of common stock with a par value of $0.0001 per share.</w:t>
      </w:r>
    </w:p>
    <w:p>
      <w:pPr>
        <w:spacing w:after="0" w:line="1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As discussed in Note 2,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the Company has retroactively adjusted the shares issued and outstanding prior to February 5, 2021 to give effect to the Conversion Ratio established in the Merger Agreement to determine the number of shares of common stock into which they were converted.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share of common stock entitles the holder to one vote on all matters submitted to a vote of the Company’s stockholders.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stockholders are entitled to receive dividends, as may be declared by the board of directors. No dividends have been declared to date.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10. Equity incentive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2017 Old Gemini Equity Incentive Plan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Old Gemini’s 2017 Stock Option and Grant Plan, as amended (the “2017 Plan”), provided for the Company to grant qualified incentive options, nonqualified options, stock grants and other stock-based awards to employees and non-employees to purchase the Company’s common stock. The 2017 Plan was administered by the board of directors, or at the discretion of the board of directors, by a committee of the board of directors.</w:t>
      </w:r>
    </w:p>
    <w:p>
      <w:pPr>
        <w:spacing w:after="0" w:line="1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exercise price for incentive options was determined at the discretion of the board of directors. All incentive options granted to any person possessing less than 10% of the total combined voting power of all classes of stock may not have an exercise price of less than 100% of the fair market value of the common stock on the grant date. All incentive options granted to any person possessing more than 10% of the total combined voting power of all classes of stock may not have an exercise price of less than 110% of the fair market value of the common stock on the grant date.</w:t>
      </w:r>
    </w:p>
    <w:p>
      <w:pPr>
        <w:spacing w:after="0" w:line="15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option term for incentive awards may not be greater than ten years from the date of the grant. Incentive options granted to persons possessing more than 10% of the total combined voting power of all classes of stock may not have an option term of greater than five years from the date of the grant. The vesting period for equity-based awards under the 2017 Plan was determined at the discretion of the board of directors, which was generally four years. For awards granted to employees and non-employees with four-year vesting terms, 25% of the options vest on the first anniversary of the grant date and the remaining options vest equally each month for three years thereafter.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completion of the Business Combination, the Company ceased granting awards under the 2017 Plan.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of Awards</w:t>
      </w:r>
    </w:p>
    <w:p>
      <w:pPr>
        <w:spacing w:after="0" w:line="18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Each Old Gemini option from the 2017 Plan and each option from Old Gemini’s 2015 Stock Option and Grant Plan (the “2015 Plan”) that was outstanding immediately prior to the Business Combination, whether vested or unvested, was converted into an option to purchase a number of shares of common stock (each such option, an “Exchanged Option”) equal to the product (rounded down to the nearest whole number) of (i) the number of shares of Old Gemini common stock subject to such Old Gemini option immediately prior to the Business Combination and (ii) the Conversion Ratio, at an exercise price per share (rounded up to the nearest whole cent) equal to (A) the exercise price per share of such Old Gemini option immediately prior to the consummation of the Business Combination, divided by (B) the Conversion Ratio. Each Exchanged Option will continue to be governed by the same terms and conditions (including vesting and exercisability terms) as were applicable to the corresponding former Old Gemini option immediately prior to the consummation of the Business Combination. All stock option activity was retroactively restated to reflect the Exchanged Options.</w:t>
      </w:r>
    </w:p>
    <w:p>
      <w:pPr>
        <w:spacing w:after="0" w:line="15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the Closing Date, the 10,567,508 options and 163,157 restricted stock units (“RSUs”) outstanding under the 2017 Plan and 2015 Plan were converted into 2,303,309 options and 35,561 RSUs, respectively, upon completion of the Business Combination after the effect of the Conversion Ratio. This effect of the Conversion Ratio has been retroactively adjusted throughout the Company’s unaudited condensed consolidated financial statements.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Gemini Equity Incentive Plan</w:t>
      </w:r>
    </w:p>
    <w:p>
      <w:pPr>
        <w:spacing w:after="0" w:line="18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February 2021, FSDC’s stockholders approved the 2021 Stock Option and Incentive Plan (the “2021 Plan”), pursuant to which 4,264,341 shares of common stock were reserved for issuance. The 2021 Plan provides for the Company to grant incentive stock options or nonqualified stock options for the purchase of common stock, stock appreciation rights, restricted stock awards, restricted stock units, unrestricted stock awards, cash-based awards and dividend equivalent rights to employees, officers, directors and consultants of Gemini. Incentive stock options may only be granted to employees. The 2021 Plan is administered by the plan administrator, which is the Compensation Committee of Gemini’s board of directors, provided therein, which has discretionary authority, subject only to the express provisions of the 2021 Plan, to interpret the 2021 Plan; determine eligibility for and grant awards; determine form of settlement of awards (whether in cash, shares of stock, other property or a combination of the foregoing), determine, modify or waive the terms and conditions of any award; prescribe forms, rules and procedures; and otherwise do all things necessary to carry out the purposes of the 2021 Plan. The number of shares of common stock reserved for issuance under the 2021 Plan automatically increases on January 1 of each calendar year, starting on January 1, 2022 and continuing through January 1, 2031, in an amount equal to 4% of the total number of shares of the Company’s capital stock outstanding on the last day of the calendar month before the date of each automatic increase, or a lesser number of shares determined by the Company’s board of directors. Subject to this provision, the Company added 1,728,326 shares available for grant to the 2021 Plan effective January 1, 2022. As of June 30, 2022, 2,162,435 shares remained available for future issuance under the 2021 Plan.</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exercise price of each stock option granted under the 2021 Plan will be 100% of the fair market value of the underlying stock subject to the award, determined as of the date of the grant, or such higher amount as the plan administrator may determine in connection with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7" w:name="page18"/>
    <w:bookmarkEnd w:id="17"/>
    <w:p>
      <w:pPr>
        <w:jc w:val="both"/>
        <w:spacing w:after="0" w:line="266" w:lineRule="auto"/>
        <w:rPr>
          <w:sz w:val="20"/>
          <w:szCs w:val="20"/>
          <w:color w:val="auto"/>
        </w:rPr>
      </w:pPr>
      <w:r>
        <w:rPr>
          <w:rFonts w:ascii="Times New Roman" w:cs="Times New Roman" w:eastAsia="Times New Roman" w:hAnsi="Times New Roman"/>
          <w:sz w:val="18"/>
          <w:szCs w:val="18"/>
          <w:color w:val="auto"/>
        </w:rPr>
        <w:t>the grant, and the term of stock option may not be greater than ten years. The vesting and other restrictions are determined at the discretion of the plan administrator.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Inducement Plan</w:t>
      </w:r>
    </w:p>
    <w:p>
      <w:pPr>
        <w:spacing w:after="0" w:line="17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February 2021, the Company’s board of directors approved the 2021 Inducement Plan. The 2021 Inducement Plan is a non-stockholder approved stock plan under which the Company grants equity awards to induce highly-qualified prospective officers and employees who are not currently employed by the Company to accept employment and provide them with a proprietary interest in the Company. The Company intends that the 2021 Inducement Plan be reserved for persons to whom the Company may issue securities without stockholder approval as an inducement pursuant to Rule 5635(c)(4) of the Marketplace Rules of the NASDAQ Stock Market, Inc. The 2021 Inducement Plan is administered by the board of directors or the Compensation Committee of the board, which determines the types of awards to be granted, including the number of shares subject to the awards, the exercise price and the vesting schedule. Awards granted under the 2021 Inducement Plan expire no later than ten years from the date of grant. As of June 30, 2022, 983,949 shares were available for issuance under the 2021 Inducement Plan.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July 2021, the Company’s board of directors approved the 2021 Employee Stock Purchase Plan (“2021 ESPP”). The first offering period under the 2021 ESPP began on December 1, 2021. The Company has not yet issued any shares under the 2021 ESPP. The Company recorded $6 thousand and $22 thousand of stock-based compensation expense related to the 2021 ESPP during the three and six months ended June 30, 2022, respectively. As of June 30, 2022, 420,591 shares remained available for future issuance under the 2021 ESPP. The number of shares of common stock reserved for issuance under the 2021 ESPP automatically increases on January 1 of each calendar year, starting on January 1, 2023 and continuing through January 1, 2031, in an amount equal to the least of (a) 1% of the total number of shares of the Company’s capital stock outstanding on the last day of the calendar month before the date of each automatic increase, (b) 430,551 shares of common stock, or (c) such number of shares determined by the Company’s board of directors.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stock-based compensation expense in the following expense categories of its condensed consolidated statements of operations and comprehensive loss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0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0" w:type="dxa"/>
            <w:vAlign w:val="bottom"/>
          </w:tcPr>
          <w:p>
            <w:pPr>
              <w:spacing w:after="0"/>
              <w:rPr>
                <w:sz w:val="17"/>
                <w:szCs w:val="17"/>
                <w:color w:val="auto"/>
              </w:rPr>
            </w:pPr>
          </w:p>
        </w:tc>
      </w:tr>
      <w:tr>
        <w:trPr>
          <w:trHeight w:val="238"/>
        </w:trPr>
        <w:tc>
          <w:tcPr>
            <w:tcW w:w="5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8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1,303</w:t>
            </w:r>
          </w:p>
        </w:tc>
        <w:tc>
          <w:tcPr>
            <w:tcW w:w="2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4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100" w:type="dxa"/>
            <w:vAlign w:val="bottom"/>
            <w:shd w:val="clear" w:color="auto" w:fill="CFF0FC"/>
          </w:tcPr>
          <w:p>
            <w:pPr>
              <w:spacing w:after="0"/>
              <w:rPr>
                <w:sz w:val="18"/>
                <w:szCs w:val="18"/>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2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1,559</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100" w:type="dxa"/>
            <w:vAlign w:val="bottom"/>
          </w:tcPr>
          <w:p>
            <w:pPr>
              <w:spacing w:after="0"/>
              <w:rPr>
                <w:sz w:val="18"/>
                <w:szCs w:val="18"/>
                <w:color w:val="auto"/>
              </w:rPr>
            </w:pPr>
          </w:p>
        </w:tc>
      </w:tr>
      <w:tr>
        <w:trPr>
          <w:trHeight w:val="250"/>
        </w:trPr>
        <w:tc>
          <w:tcPr>
            <w:tcW w:w="5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28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2,862</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-24765</wp:posOffset>
            </wp:positionV>
            <wp:extent cx="774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-7620</wp:posOffset>
            </wp:positionV>
            <wp:extent cx="774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774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774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loss per share</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computation of basic and diluted net loss per share attributable to common stockholders of the Company (in thousands, except share and per share amounts):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5"/>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8"/>
                <w:szCs w:val="18"/>
                <w:color w:val="auto"/>
              </w:rPr>
            </w:pPr>
          </w:p>
        </w:tc>
        <w:tc>
          <w:tcPr>
            <w:tcW w:w="2460" w:type="dxa"/>
            <w:vAlign w:val="bottom"/>
            <w:gridSpan w:val="5"/>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5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6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5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(7,090</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(16,447</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(22,321</w:t>
            </w:r>
          </w:p>
        </w:tc>
        <w:tc>
          <w:tcPr>
            <w:tcW w:w="240" w:type="dxa"/>
            <w:vAlign w:val="bottom"/>
            <w:tcBorders>
              <w:bottom w:val="single" w:sz="8" w:color="CFF0FC"/>
            </w:tcBorders>
            <w:shd w:val="clear" w:color="auto" w:fill="CFF0FC"/>
          </w:tcPr>
          <w:p>
            <w:pPr>
              <w:jc w:val="center"/>
              <w:ind w:right="9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(35,495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43,230,523</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43,041,856</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43,221,712</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37,564,936</w:t>
            </w:r>
          </w:p>
        </w:tc>
        <w:tc>
          <w:tcPr>
            <w:tcW w:w="100" w:type="dxa"/>
            <w:vAlign w:val="bottom"/>
          </w:tcPr>
          <w:p>
            <w:pPr>
              <w:spacing w:after="0"/>
              <w:rPr>
                <w:sz w:val="18"/>
                <w:szCs w:val="18"/>
                <w:color w:val="auto"/>
              </w:rPr>
            </w:pPr>
          </w:p>
        </w:tc>
      </w:tr>
      <w:tr>
        <w:trPr>
          <w:trHeight w:val="250"/>
        </w:trPr>
        <w:tc>
          <w:tcPr>
            <w:tcW w:w="5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240" w:type="dxa"/>
            <w:vAlign w:val="bottom"/>
            <w:tcBorders>
              <w:bottom w:val="single" w:sz="8" w:color="CFF0FC"/>
            </w:tcBorders>
            <w:shd w:val="clear" w:color="auto" w:fill="CFF0FC"/>
          </w:tcPr>
          <w:p>
            <w:pPr>
              <w:jc w:val="center"/>
              <w:ind w:right="9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-316865</wp:posOffset>
            </wp:positionV>
            <wp:extent cx="768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-316865</wp:posOffset>
            </wp:positionV>
            <wp:extent cx="774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-316865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-24765</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-7620</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-24765</wp:posOffset>
            </wp:positionV>
            <wp:extent cx="774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77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unvested restricted common shares have been excluded from the computation of basic net loss per share attributable to common stockholders.</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potentially dilutive securities, which include unvested restricted stock and common stock options outstanding, have been excluded from the computation of diluted net loss per share attributable to common stockholders as the effect would be to reduce the net loss per share attributable to common stockholders. Therefore, the weighted average number of common shares outstanding used to calculate both basic and diluted net loss per share attributable to common stockholders is the same. The Company excluded the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8" w:name="page19"/>
    <w:bookmarkEnd w:id="18"/>
    <w:p>
      <w:pPr>
        <w:ind w:right="20"/>
        <w:spacing w:after="0" w:line="282" w:lineRule="auto"/>
        <w:rPr>
          <w:sz w:val="20"/>
          <w:szCs w:val="20"/>
          <w:color w:val="auto"/>
        </w:rPr>
      </w:pPr>
      <w:r>
        <w:rPr>
          <w:rFonts w:ascii="Times New Roman" w:cs="Times New Roman" w:eastAsia="Times New Roman" w:hAnsi="Times New Roman"/>
          <w:sz w:val="18"/>
          <w:szCs w:val="18"/>
          <w:color w:val="auto"/>
        </w:rPr>
        <w:t>following potential common shares from the computation of diluted net loss per share attributable to common stockholders for the periods indicated because including them would have had an anti-dilutive effect: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p>
        </w:tc>
        <w:tc>
          <w:tcPr>
            <w:tcW w:w="2440" w:type="dxa"/>
            <w:vAlign w:val="bottom"/>
            <w:tcBorders>
              <w:bottom w:val="single" w:sz="8" w:color="auto"/>
            </w:tcBorders>
            <w:gridSpan w:val="3"/>
          </w:tcPr>
          <w:p>
            <w:pPr>
              <w:ind w:left="126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7560" w:type="dxa"/>
            <w:vAlign w:val="bottom"/>
          </w:tcPr>
          <w:p>
            <w:pPr>
              <w:spacing w:after="0"/>
              <w:rPr>
                <w:sz w:val="18"/>
                <w:szCs w:val="18"/>
                <w:color w:val="auto"/>
              </w:rPr>
            </w:pPr>
          </w:p>
        </w:tc>
        <w:tc>
          <w:tcPr>
            <w:tcW w:w="16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871,204</w:t>
            </w:r>
          </w:p>
        </w:tc>
        <w:tc>
          <w:tcPr>
            <w:tcW w:w="3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options outstanding</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4,807,045</w:t>
            </w:r>
          </w:p>
        </w:tc>
        <w:tc>
          <w:tcPr>
            <w:tcW w:w="3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6,506,146</w:t>
            </w:r>
          </w:p>
        </w:tc>
        <w:tc>
          <w:tcPr>
            <w:tcW w:w="100" w:type="dxa"/>
            <w:vAlign w:val="bottom"/>
          </w:tcPr>
          <w:p>
            <w:pPr>
              <w:spacing w:after="0"/>
              <w:rPr>
                <w:sz w:val="18"/>
                <w:szCs w:val="18"/>
                <w:color w:val="auto"/>
              </w:rPr>
            </w:pPr>
          </w:p>
        </w:tc>
      </w:tr>
      <w:tr>
        <w:trPr>
          <w:trHeight w:val="249"/>
        </w:trPr>
        <w:tc>
          <w:tcPr>
            <w:tcW w:w="756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5,678,249</w:t>
            </w:r>
          </w:p>
        </w:tc>
        <w:tc>
          <w:tcPr>
            <w:tcW w:w="30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6,506,146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-25400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ind w:right="8460" w:firstLine="8"/>
        <w:spacing w:after="0" w:line="440" w:lineRule="auto"/>
        <w:tabs>
          <w:tab w:leader="none" w:pos="27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Commitments</w:t>
      </w:r>
    </w:p>
    <w:p>
      <w:pPr>
        <w:spacing w:after="0" w:line="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Company’s long-term contractual obligations include commitments entered into in the normal course of business. The Company’s most significant contracts relate to agreements with clinical research organizations (“CROs”) for clinical trials and preclinical studies and clinical manufacturing organizations (“CMOs”), which the Company enters into in the normal course of business. The contracts with CROs and CMOs are generally cancellable, with notice, at the Company’s option. The Company also has commitments related to debt obligations, license agreements and other purchase obligations.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agreements</w:t>
      </w:r>
    </w:p>
    <w:p>
      <w:pPr>
        <w:spacing w:after="0" w:line="17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In April 2017, the Company entered into a Research Collaboration and License Agreement with Sanquin Blood Supply Foundation (“Sanquin”) (the “2017 License Agreement”) to develop antibodies that bind and enhance the activity of CFH. As consideration for the license, the Company paid a one-time, non-refundable upfront payment of $0.1 million. The 2017 License Agreement includes additional consideration upon the achievement of certain development and commercial milestones (i.e., once net sales targets exceed certain thresholds) totaling up to an aggregate amount of $29.0 million. Finally, the Company is required to make royalty payments of between 1.25% and 2.50% of net product sales if commercialization is achieved. On March 7, 2022, the Company entered into an amendment to the 2017 License Agreement (the “2022 Amendment”) to clarify that certain patent rights directed to CFH potentiating antibodies are jointly owned by the Company and Sanquin. Under the 2022 Amendment, Sanquin granted the Company an exclusive (even as to Sanquin) royalty-bearing license, with the right to sublicense through multiple tiers, to the portion of these patent rights owned by Sanquin. The condensed consolidated financial statements as of June 30, 2022 do not include liabilities with respect to this agreement as the Company has not yet generated revenue and the achievement of certain milestones is not deemed probable.</w:t>
      </w:r>
    </w:p>
    <w:p>
      <w:pPr>
        <w:spacing w:after="0" w:line="15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June 2018, the Company entered into a Cell Line License Agreement with Life Technologies Corporation (the “2018 License Agreement”) to obtain non-exclusive use of 293 H cells in support of GEM-103 manufacturing activities. As consideration for the license, the Company paid a one-time, non-refundable, non-creditable initial license fee of $0.1 million. In addition, an annual non-refundable, non-creditable development fee of $0.1 million is due on each anniversary date. The 2018 License Agreement includes additional consideration of $0.3 million contingent upon future commercialization of each licensed product. The condensed consolidated financial statements as of June 30, 2022 do not include a liability with respect to the additional consideration under this agreement as the Company has not yet generated revenue.</w:t>
      </w:r>
    </w:p>
    <w:p>
      <w:pPr>
        <w:spacing w:after="0" w:line="14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March 2019, the Company entered into a second Cell Line License Agreement with Life Technologies Corporation (the “2019 License Agreement”) to obtain non-exclusive use of a CTS Viral Production cell line for producing genetically engineered adeno-associated virus particles to be used in human therapeutics. In October 2021, the Company terminated the 2019 License Agreement. As consideration for the license, the Company paid a one-time, non-refundable, non-creditable initial license fee of $0.1 million. In addition, an annual non-refundable, non-creditable development fee of $0.1 million was due on each anniversary date, beginning on the second anniversary date. The 2019 License Agreement included additional consideration of $0.4 million contingent upon future commercialization of each licensed product. The condensed consolidated financial statements as of June 30, 2022 do not include a liability with respect to the additional consideration under this agreement as the Company has not yet generated revenue.</w:t>
      </w:r>
    </w:p>
    <w:p>
      <w:pPr>
        <w:spacing w:after="0" w:line="14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October 2018, the Company entered into a Master License Agreement with Avitide, Inc. (the “2018 Master License Agreement”) to license, on an exclusive basis, certain of Avitide’s affinity chromatography resins comprised of proprietary ligands for affinity purification of biopharmaceuticals. As consideration for the license, the Company paid an upfront license fee of $0.2 million. In addition, an annual license fee of $0.1 million is due on each anniversary date. The 2018 Master License Agreement includes additional consideration upon the achievement of certain development, commercial and sales milestones totaling up to $0.7 million, $2.2 million and $7.0 million, respectively. Finally, the Company is required to make royalty payments of 1.25% of net product sales if commercialization is achieved. The condensed consolidated financial statements as of June 30, 2022 do not include liabilities with respect to additional consideration under this agreement as the Company has not yet generated revenue and the achievement of certain milestones is not deemed probable.</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2019, the Company entered into a GPEx-Derived Cell Line Sale Agreement with Catalent Pharma Solutions, LLC (the “2019 Sale Agreement”) to purchase all right, title and interest in and to the GPEx Cell Line. As consideration for the GPEx Cell Line,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9" w:name="page20"/>
    <w:bookmarkEnd w:id="19"/>
    <w:p>
      <w:pPr>
        <w:jc w:val="both"/>
        <w:spacing w:after="0" w:line="235" w:lineRule="auto"/>
        <w:rPr>
          <w:sz w:val="20"/>
          <w:szCs w:val="20"/>
          <w:color w:val="auto"/>
        </w:rPr>
      </w:pPr>
      <w:r>
        <w:rPr>
          <w:rFonts w:ascii="Times New Roman" w:cs="Times New Roman" w:eastAsia="Times New Roman" w:hAnsi="Times New Roman"/>
          <w:sz w:val="18"/>
          <w:szCs w:val="18"/>
          <w:color w:val="auto"/>
        </w:rPr>
        <w:t>Company is required to make one-time milestone payments totaling up to $1.3 million in aggregate, as well as a contingent annual fee upon commercialization (1% of net sales, or $0.1 million, whichever is greater) and other fees after certain milestones are reached. Certain milestone payments may be waived if Catalent manufactures &gt;50% of the total product required for the relevant clinical trial. The condensed consolidated financial statements as of June 30, 2022 do not include liabilities with respect to this agreement as the Company has not yet generated revenue and the achievement of certain milestones is not deemed probable.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 agreements</w:t>
      </w:r>
    </w:p>
    <w:p>
      <w:pPr>
        <w:spacing w:after="0" w:line="17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indemnification arrangements could have a material effect on its financial position, results of operations or cash flows, and it has not accrued any liabilities related to such obligations in its condensed consolidated financial statements as of June 30, 2022.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arising in the ordinary course of business. As of June 30, 2022, the Company was not a party to any material legal matters or claims.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 party transactions</w:t>
      </w:r>
    </w:p>
    <w:p>
      <w:pPr>
        <w:spacing w:after="0" w:line="17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Company engaged a firm managed by an executive of the Company for professional services related to accounting, finance and other administrative functions. There were no costs incurred under this arrangement for either of the three months ended June 30, 2022 and 2021. For the six months ended June 30, 2022 and 2021, the costs incurred under this arrangement totaled $0 and $0.1 million, respectively, of which $0.1 million was recorded in stockholders’ equity as a reduction to additional paid-in capital as a result of the Business Combination and $10 thousand was recorded as general and administrative expense in the accompanying condensed consolidated statements of operations and comprehensive loss for the six months ended June 30, 2021. There were no amounts owed under this arrangement as of June 30, 2022 and December 31, 2021. The executive of the Company associated with this firm resigned from the Company in February 2021.</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August 5, 2022, the Company formed a wholly-owned subsidiary, Gemstone Merger Sub, Inc. (“Gem Merger Sub”), a Delaware shell company formed solely for the purpose of merging with Disc (as defined below) in connection with the proposed merger transaction with Disc.</w:t>
      </w:r>
    </w:p>
    <w:p>
      <w:pPr>
        <w:spacing w:after="0" w:line="12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February 2022, the Company announced a corporate restructuring and that it initiated a process to evaluate strategic alternatives. After a comprehensive review of strategic alternatives, including identifying and reviewing potential candidates for a strategic transaction, on August 9, 2022, the Company entered into an Agreement and Plan of Merger and Reorganization (the “Disc Merger Agreement”) with Disc Medicine, Inc., a Delaware corporation (“Disc”), and Gem Merger Sub, pursuant to which, subject to the satisfaction or waiver of the conditions therein, Gem Merger Sub will merge with and into Disc (the “Disc Merger”), with Disc continuing as the surviving company and a wholly-owned subsidiary of the Company. The Disc Merger was unanimously approved by the Company’s board of directors (the “Board”), and the Board resolved to recommend approval of the Disc Merger Agreement to the Company’s shareholders.</w:t>
      </w:r>
    </w:p>
    <w:p>
      <w:pPr>
        <w:spacing w:after="0" w:line="15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transaction is expected to close in the fourth quarter of 2022. The closing of the Disc Merger is subject to approval by the stockholders of the Company and Disc as well as other customary closing conditions, including the effectiveness of a registration statement filed with the SEC in connection with the transaction and Nasdaq’s approval of the listing of the shares of the Company’s common stock to be issued in connection with the transaction. If the Company is unable to satisfy certain closing conditions or if other mutual closing conditions are not satisfied, Disc will not be obligated to complete the Disc Merger. The Disc Merger Agreement contains certain termination rights of each of the Company and Disc. Under certain circumstances detailed in the Disc Merger Agreement, the Company could be required to pay Disc a termination fee of $3,000,000 or Disc could be required to pay the Company a termination fee of $7,800,000. In addition, in certain circumstances upon the termination of the Disc Merger Agreement, we could be required to pay the costs and expenses of Disc in an amount not to exceed $750,000, or Disc could be required to pay our costs and expenses in an amount not to exceed $750,000. If the merger is completed, the business of Disc will continue as the business of the combined company.</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0" w:name="page21"/>
    <w:bookmarkEnd w:id="20"/>
    <w:p>
      <w:pPr>
        <w:jc w:val="both"/>
        <w:spacing w:after="0" w:line="241" w:lineRule="auto"/>
        <w:rPr>
          <w:sz w:val="20"/>
          <w:szCs w:val="20"/>
          <w:color w:val="auto"/>
        </w:rPr>
      </w:pPr>
      <w:r>
        <w:rPr>
          <w:rFonts w:ascii="Times New Roman" w:cs="Times New Roman" w:eastAsia="Times New Roman" w:hAnsi="Times New Roman"/>
          <w:sz w:val="18"/>
          <w:szCs w:val="18"/>
          <w:color w:val="auto"/>
        </w:rPr>
        <w:t>Subject to the terms and conditions of the Disc Merger Agreement, at the effective time of the Disc Merger (the "Effective Time"), each then outstanding share of Disc common stock (including shares of Disc common stock issued upon conversion of Disc preferred stock and shares of Disc common stock issued in the concurrent financing transaction) will be converted into the right to receive a number of shares of the Company’s common stock (subject to the payment of cash in lieu of fractional shares and after giving effect to a reverse stock split of the Company’s common stock) calculated in accordance with the Disc Merger Agreement (the “Exchange Ratio”). Further, at the Effective Time, each person who as of immediately prior to the Effective Time was a stockholder of record of the Company or had the right to receive the Company’s common stock will be entitled to receive a contractual contingent value right (“CVR”) issued by the Company subject to and in accordance with the terms and conditions of a Contingent Value Rights Agreement between the Company, the holder’s representative and the rights agent (the “CVR Agreement”), representing the contractual right to receive payments from the post-closing combined company upon receipt of certain proceeds derived from consideration paid as a result of the disposition of the Company’s pre-Disc Merger assets, net of certain permitted deductions for expenses.</w:t>
      </w:r>
    </w:p>
    <w:p>
      <w:pPr>
        <w:spacing w:after="0" w:line="1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Concurrently with the execution and delivery of the Disc Merger Agreement, certain parties have entered into agreements with Disc pursuant to which they have agreed, subject to the terms and conditions of such agreements, to purchase prior to the consummation of the Disc Merger shares of Disc common stock for an aggregate purchase price of approximately $53.5 million. Shares of Disc common stock issued pursuant to this financing transaction will be converted into shares of the Company’s common stock in the Disc Merger in accordance with the Exchange Ratio.</w:t>
      </w:r>
    </w:p>
    <w:p>
      <w:pPr>
        <w:spacing w:after="0" w:line="15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future operations are highly dependent on the success of the Disc Merger and there can be no assurances that the Disc Merger will be successfully consummated. In the event that the Company does not complete the transaction with Disc, the Company may explore strategic alternatives, including, without limitation, another strategic transaction and/or pursue a dissolution and liquidation of the Company.</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notes thereto appearing elsewhere in this Quarterly Report on Form 10-Q.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our actual results could differ materially from the results described in or implied by the forward-looking statements contained in the following discussion and analysis.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are a clinical-stage precision medicine company developing novel therapeutic compounds to treat genetically defined, age-related macular degeneration (“AMD”). Our lead product candidate, GEM103, is a recombinant form of the human complement factor H protein (“CFH”) and is designed to address complement hyperactivity and overall dysregulation caused by loss of function mutations thus restoring retinal health in patients with AMD. Native CFH serves multiple functions in maintaining retinal health, including regulating lipid metabolism in the retina, protecting the retina against lipid and protein by-products of oxidative stress, and regulating the complement system, which is part of the innate immune system. This multifaceted regulation plays an integral role in engagement and maintenance of complement-mediated immune responses that are involved in pathogen defense and cellular debris clearance.</w:t>
      </w:r>
    </w:p>
    <w:p>
      <w:pPr>
        <w:spacing w:after="0" w:line="1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2022, we announced that we discontinued both of our Phase 2a clinical trials of GEM103, the ReGAtta study and the GEM103 as an Add-On to Anti-VEGF Therapy for the Treatment of Wet-AMD study.</w:t>
      </w:r>
    </w:p>
    <w:p>
      <w:pPr>
        <w:spacing w:after="0" w:line="13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February 2022, we announced a corporate restructuring and that we had initiated a process to evaluate strategic alternatives. After a comprehensive review of strategic alternatives, including identifying and reviewing potential candidates for a strategic transaction, on August 9, 2022, we entered into an Agreement and Plan of Merger and Reorganization (the “Disc Merger Agreement”) with Disc Medicine, Inc., a Delaware corporation (“Disc”), and Gemstone Merger Sub, Inc., a Delaware corporation and a wholly-owned subsidiary of ours (“Gem Merger Sub”), pursuant to which, subject to the satisfaction or waiver of the conditions therein, Gem Merger Sub will merge with and into Disc (the “Disc Merger”), with Disc continuing as the surviving company and a wholly-owned subsidiary of the Company. The Disc Merger was unanimously approved by our board of directors (the “Board”), and the Board resolved to recommend approval of the Disc Merger Agreement to our shareholders.</w:t>
      </w:r>
    </w:p>
    <w:p>
      <w:pPr>
        <w:spacing w:after="0" w:line="14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transaction is expected to close in the fourth quarter of 2022. The closing of the Disc Merger is subject to approval by our stockholders and the stockholders of Disc as well as other customary closing conditions, including the effectiveness of a registration statement filed with the SEC in connection with the transaction and Nasdaq’s approval of the listing of the shares of the Company’s common stock to be issued in connection with the transaction. If we are unable to satisfy certain closing conditions or if other mutual closing conditions are not satisfied, Disc will not be obligated to complete the Disc Merger. The Disc Merger Agreement contains certain termination rights of each of us and Disc. Under certain circumstances detailed in the Disc Merger Agreement, we could be required to pay Disc a termination fee of $3,000,000 or Disc could be required to pay us a termination fee of $7,800,000. In addition, in certain circumstances upon the termination of the Disc Merger Agreement, we could be required to pay the costs and expenses of Disc in an amount not to exceed $750,000, or Disc could be required to pay our costs and expenses in an amount not to exceed $750,000. If the merger is completed, the business of Disc will continue as the business of the combined company.</w:t>
      </w:r>
    </w:p>
    <w:p>
      <w:pPr>
        <w:spacing w:after="0" w:line="15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Subject to the terms and conditions of the Disc Merger Agreement, at the effective time of the Disc Merger (the "Effective Time"), each then outstanding share of Disc common stock (including shares of Disc common stock issued upon conversion of Disc preferred stock and shares of Disc common stock issued in the concurrent financing transaction) will be converted into the right to receive a number of shares of the Company’s common stock (subject to the payment of cash in lieu of fractional shares and after giving effect to a reverse stock split of the Company’s common stock) calculated in accordance with the Disc Merger Agreement (the “Exchange Ratio”). Further, at the Effective Time, each person who as of immediately prior to the Effective Time was a stockholder of record of Gemini or had the right to receive our common stock will be entitled to receive a contractual contingent value right (“CVR”) issued by the Company subject to and in accordance with the terms and conditions of a Contingent Value Rights Agreement between the Company, the holder’s representative and the rights agent (the “CVR Agreement”), representing the contractual right to receive payments from the post-closing combined company upon receipt of certain proceeds derived from consideration paid as a result of the disposition of our pre-Disc Merger assets, net of certain permitted deductions for expenses.</w:t>
      </w:r>
    </w:p>
    <w:p>
      <w:pPr>
        <w:spacing w:after="0" w:line="1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Concurrently with the execution and delivery of the Disc Merger Agreement, certain parties have entered into agreements with Disc pursuant to which they have agreed, subject to the terms and conditions of such agreements, to purchase prior to the consummation of the Disc Merger shares of Disc common stock for an aggregate purchase price of approximately $53.5 million. Shares of Disc common stock issued pursuant to this financing transaction will be converted into shares of the Company’s common stock in the Disc Merger in accordance with the Exchange Ratio.</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2" w:name="page23"/>
    <w:bookmarkEnd w:id="22"/>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future operations are highly dependent on the success of the Disc Merger and there can be no assurances that the Disc Merger will be successfully consummated. In the event that we do not complete the transaction with Disc, we may explore strategic alternatives, including, without limitation, another strategic transaction and/or pursue a dissolution and liquidation of the Company.</w:t>
      </w:r>
    </w:p>
    <w:p>
      <w:pPr>
        <w:spacing w:after="0" w:line="15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Since inception in 2015, we have devoted substantially all our efforts and financial resources to organizing and staffing our company, business planning, raising capital, discovering product candidates and securing related intellectual property rights and conducting research and development activities for our product candidates. We do not have any products approved for sale, and we have not generated any revenue from product sales. We may never be able to develop or commercialize a marketable product.</w:t>
      </w:r>
    </w:p>
    <w:p>
      <w:pPr>
        <w:spacing w:after="0" w:line="13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To the extent we continue to pursue clinical development of GEM103 or any other product candidate, our ability to generate revenue from product sales sufficient to achieve profitability will depend heavily on the successful development and eventual commercialization of one or more of our product candidates. We have not yet successfully completed any pivotal clinical trials, nor have we obtained any regulatory approvals, manufactured a commercial-scale drug, or conducted sales and marketing activities.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also working to advance GEM307, that could be effective for treatment of systemic diseases, towards IND filing.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 pandemic</w:t>
      </w:r>
    </w:p>
    <w:p>
      <w:pPr>
        <w:spacing w:after="0" w:line="17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ongoing coronavirus (“COVID-19”) pandemic and the increased prevalence of variants of the virus,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ongoing COVID-19 pandemic and related impacts have resulted in and will likely continue to result in significant disruptions to the global economy and capital markets around the world. We cannot predict the future progression or full impact of the outbreak and its effects on our business and operations.</w:t>
      </w:r>
    </w:p>
    <w:p>
      <w:pPr>
        <w:spacing w:after="0" w:line="15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not incurred impairment losses in the carrying values of our assets as a result of the ongoing COVID-19 pandemic, and we are not aware of any specific related event or circumstance that would require us to revise our estimates reflected in our condensed consolidated financial statements. Although the COVID-19 pandemic did not have a significant impact on our financial results in the second quarter of 2022, the full extent to which the ongoing COVID-19 pandemic may impact our business, results of operations, financial condition and cash flows will depend on future developments that are highly uncertain, and the estimates of the impact on our business may change based on new information that may emerge concerning COVID-19, including the duration of the pandemic, any potential subsequent waves or strains of COVID-19 infection, the effectiveness, distribution and acceptance of COVID-19 vaccines and the actions to contain it or treat its impact and the economic impact on local, regional, national and international markets.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February 5, 2021, FSDC consummated a previously announced business combination pursuant to the terms of the Agreement and Plan of Merger, dated as of October 15, 2020 (as amended, supplemented or otherwise modified from time to time, the “Merger Agreement”), by and among Old Gemini, Stockholders’ Representative, and Merger Sub (the “Business Combination”).</w:t>
      </w:r>
    </w:p>
    <w:p>
      <w:pPr>
        <w:spacing w:after="0" w:line="1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FSDC was incorporated in Delaware on June 25, 2020 and was formed for the purpose of effecting a merger, capital stock exchange, asset acquisition, stock purchase, reorganization or similar business combination with one or more businesses.</w:t>
      </w:r>
    </w:p>
    <w:p>
      <w:pPr>
        <w:spacing w:after="0" w:line="1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the day prior to the Closing Date, Old Gemini changed its name to “Gemini Therapeutics Sub, Inc.” Pursuant to the Merger Agreement, on the Closing Date, (i) FSDC changed its name to “Gemini Therapeutics, Inc.”, and (ii) Old Gemini merged with and into Merger Sub (the “Merger”), with Old Gemini as the surviving company in the Merger and, after giving effect to such Merger, Old Gemini becoming a wholly-owned subsidiary of Gemini. Upon the closing of the Business Combination, and pursuant to the terms of the Merger Agreement, the existing shareholders of Old Gemini exchanged their interests for shares of common stock of Gemini.</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Business Combination, certain investors purchased an aggregate of $95.1 million of our Common Stock in a private placement of public equity (the “PIPE Financing”). Together with FSDC’s cash resources and funding of the PIPE Financing, we received net proceeds of approximately $195.9 million.</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accounted for the Business Combination as a reverse recapitalization, which is the equivalent of Old Gemini issuing stock for the net assets of FSDC, accompanied by a recapitalization, with FSDC treated as the acquired company for accounting purposes. The net assets of FSDC were stated at historical cost with no goodwill or other intangible assets recorded. Reported results from operations included herein prior to the Business Combination are those of Old Gemini. The shares and corresponding capital amounts and loss per share related to Old Gemini’s outstanding convertible preferred stock and common stock prior to the Business Combination have been</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3" w:name="page24"/>
    <w:bookmarkEnd w:id="23"/>
    <w:p>
      <w:pPr>
        <w:jc w:val="both"/>
        <w:spacing w:after="0" w:line="282" w:lineRule="auto"/>
        <w:rPr>
          <w:sz w:val="20"/>
          <w:szCs w:val="20"/>
          <w:color w:val="auto"/>
        </w:rPr>
      </w:pPr>
      <w:r>
        <w:rPr>
          <w:rFonts w:ascii="Times New Roman" w:cs="Times New Roman" w:eastAsia="Times New Roman" w:hAnsi="Times New Roman"/>
          <w:sz w:val="18"/>
          <w:szCs w:val="18"/>
          <w:color w:val="auto"/>
        </w:rPr>
        <w:t>retroactively restated to reflect the conversion ratio established in the Merger Agreement (1.00 Old Gemini share for 0.2180 shares of our company (the “Conversion Ratio”).</w:t>
      </w:r>
    </w:p>
    <w:p>
      <w:pPr>
        <w:spacing w:after="0" w:line="13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on the Business Combination, please read Note 2,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to our unaudited condensed consolidated financial statements included elsewhere in this Quarterly Report on Form 10-Q.</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not generated any revenue since inception and do not expect to generate any revenue from the sale of products in the near future, if at all. If our development efforts were to continue and were successful and we were to commercialize any of our product candidates, or if we enter into collaboration or license agreements with third parties, we may generate revenue in the future from product sales, as well as upfront, milestone and royalty payments from such collaboration or license agreements, or a combination thereof.</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0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research activities, including drug discovery efforts and the clinical development of our product candidates. We expense research and development costs as incurred, which include:</w:t>
      </w:r>
    </w:p>
    <w:p>
      <w:pPr>
        <w:spacing w:after="0" w:line="40"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conduct the necessary preclinical studies and clinical trials required to obtain regulatory approval;</w:t>
      </w:r>
    </w:p>
    <w:p>
      <w:pPr>
        <w:spacing w:after="0" w:line="184"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CROs that are primarily engaged in the oversight and conduct of our drug discovery efforts, preclinical studies, and clinical trials;</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CMOs that are primarily engaged to provide preclinical and clinical drug substance and product for our research and development programs;</w:t>
      </w:r>
    </w:p>
    <w:p>
      <w:pPr>
        <w:spacing w:after="0" w:line="107"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related to acquiring and manufacturing materials in connection with our drug discovery efforts and preclinical studies and clinical trial materials, including manufacturing validation batches, as well as investigative sites and consultants that conduct our clinical trials, preclinical studies and other scientific development services;</w:t>
      </w:r>
    </w:p>
    <w:p>
      <w:pPr>
        <w:spacing w:after="0" w:line="14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in cash or equity securities under third-party licensing, acquisition and option agreements;</w:t>
      </w:r>
    </w:p>
    <w:p>
      <w:pPr>
        <w:spacing w:after="0" w:line="17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and benefits, travel and stock-based compensation expense for employees engaged in research and development functions; and</w:t>
      </w:r>
    </w:p>
    <w:p>
      <w:pPr>
        <w:spacing w:after="0" w:line="10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comply with regulatory requirements.</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recognize external development costs as incurred. Any advance payments that we make for goods or services to be received in the future for use in research and development activities are recorded as prepaid expenses. Such amounts are expensed as the related goods are delivered or the related services are performed, or until it is no longer expected that the goods will be delivered or the services rendered. We estimate and accrue for the value of goods and services received from CROs, CMOs and other third parties each reporting period based on an evaluation of the progress to completion of specific tasks using information provided to us by our service providers.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w:t>
      </w:r>
    </w:p>
    <w:p>
      <w:pPr>
        <w:spacing w:after="0" w:line="1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do not track our research and development expenses on a program-by-program basis. Our direct external research and development expenses consist primarily of external costs, such as fees paid to outside consultants, CROs, CMOs and research laboratories in connection with our preclinical development, process development, manufacturing and clinical development activities. We do not allocate employee costs, costs associated with our discovery efforts, laboratory supplies, and facilities, including depreciation or other indirect costs, to specific programs because these costs are deployed across multiple programs and, as such, are not separately classified. We use internal resources primarily to conduct our research and discovery as well as for managing our preclinical development, process development, manufacturing and clinical development activities. These employees work across multiple programs and, therefore, we do not track their costs by program.</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4" w:name="page25"/>
    <w:bookmarkEnd w:id="24"/>
    <w:p>
      <w:pPr>
        <w:jc w:val="both"/>
        <w:spacing w:after="0" w:line="250" w:lineRule="auto"/>
        <w:rPr>
          <w:sz w:val="20"/>
          <w:szCs w:val="20"/>
          <w:color w:val="auto"/>
        </w:rPr>
      </w:pPr>
      <w:r>
        <w:rPr>
          <w:rFonts w:ascii="Times New Roman" w:cs="Times New Roman" w:eastAsia="Times New Roman" w:hAnsi="Times New Roman"/>
          <w:sz w:val="18"/>
          <w:szCs w:val="18"/>
          <w:color w:val="auto"/>
        </w:rPr>
        <w:t>Research and development activities have historically been central to our business model. We anticipate that our research and development expenses will decrease in 2022 compared to 2021 due to our planned reduced clinical efforts in 2022 and restructuring plans implemented in connection with our exploration of strategic alternatives. If we were to continue to pursue development efforts and we believe a regulatory approval of a product candidate appears likely, we would anticipate an increase in payroll and other expenses as a result of our preparation of regulatory filings and precommercial activities.</w:t>
      </w:r>
    </w:p>
    <w:p>
      <w:pPr>
        <w:spacing w:after="0" w:line="1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At this time, we cannot reasonably estimate or know the nature, timing and costs of the efforts that would be necessary to complete the preclinical and clinical development of any of our product candidates or when, if ever, material net cash inflows may commence from any of our product candidates. The successful development and commercialization of any of our product candidates is highly uncertain. This uncertainty is due to the numerous risks and uncertainties associated with product development and commercialization, including the uncertainty of the following:</w:t>
      </w:r>
    </w:p>
    <w:p>
      <w:pPr>
        <w:spacing w:after="0" w:line="69" w:lineRule="exact"/>
        <w:rPr>
          <w:sz w:val="20"/>
          <w:szCs w:val="20"/>
          <w:color w:val="auto"/>
        </w:rPr>
      </w:pPr>
    </w:p>
    <w:p>
      <w:pPr>
        <w:ind w:left="76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outcome and costs of any continued preclinical development activities, clinical trials and other related development activities;</w:t>
      </w:r>
    </w:p>
    <w:p>
      <w:pPr>
        <w:spacing w:after="0" w:line="4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suspensions, or other setbacks or interruptions encountered, including as a result of the ongoing COVID-19 pandemic;</w:t>
      </w:r>
    </w:p>
    <w:p>
      <w:pPr>
        <w:spacing w:after="0" w:line="184"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and efficacy profile with any Investigational New Drug application (“IND”) enabling studies and obtaining clearance for future IND applications;</w:t>
      </w:r>
    </w:p>
    <w:p>
      <w:pPr>
        <w:spacing w:after="0" w:line="13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the initiation and completion of any clinical trials;</w:t>
      </w:r>
    </w:p>
    <w:p>
      <w:pPr>
        <w:spacing w:after="0" w:line="17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marketing approvals from applicable regulatory authorities including the U.S. Food and Drug Administration (“FDA”) and non-U.S. regulatory authorities;</w:t>
      </w:r>
    </w:p>
    <w:p>
      <w:pPr>
        <w:spacing w:after="0" w:line="10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required post-marketing approval commitments to applicable regulatory authorities;</w:t>
      </w:r>
    </w:p>
    <w:p>
      <w:pPr>
        <w:spacing w:after="0" w:line="184"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clinical and commercial manufacturing capabilities or making arrangements with third-party manufacturers in order to ensure that we or our third-party manufacturers are able to make and scale our products successfully;</w:t>
      </w:r>
    </w:p>
    <w:p>
      <w:pPr>
        <w:spacing w:after="0" w:line="135"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timely delivery of clinical-grade and commercial-grade drug formulations that can be used in our clinical trials and for commercial launch;</w:t>
      </w:r>
    </w:p>
    <w:p>
      <w:pPr>
        <w:spacing w:after="0" w:line="13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defending and enforcing patent claims and other intellectual property rights;</w:t>
      </w:r>
    </w:p>
    <w:p>
      <w:pPr>
        <w:spacing w:after="0" w:line="1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product candidates, if and when approved, whether alone or in collaboration with others; and</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our product candidates following approval, if any, of our product candidates.</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change in any of these variables with respect to any of our programs would significantly change the costs, timing and viability associated with that program.</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employee-related expenses, including salaries and related benefits, travel and stock-based compensation for personnel in executive, business development, finance, human resources, legal, information technology and administrative functions. General and administrative expenses also include insurance costs and professional fees for legal, patent, consulting, investor and public relations, accounting and audit services. We expense general and administrative costs as incurred.</w:t>
      </w:r>
    </w:p>
    <w:p>
      <w:pPr>
        <w:spacing w:after="0" w:line="1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decrease in 2022 as compared to 2021 due to restructuring plans we implemented. If we were to continue product development efforts and at any point in the future we believe a regulatory approval of a product candidate appears likely, we would anticipate an increase in payroll and other expenses as a result of our preparation for commercial operations, especially as it relates to the sales and marketing of that product candidate. Additionally, depending on the outcome of our ongoing strategic alternative review process, there may be an increase in general and administrative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Interest expense consists of interest accrued on the Term Loan we entered into in February 2019 and, for the six months ended June 30, 2021, interest expense for the Notes, including the accretion of the beneficial conversion feature discount recognized on the issuance date of the Notes.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consists of income earned on our cash, cash equivalents and restricted cash.</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conversion of convertible notes</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Immediately prior to the closing of the Business Combination, the outstanding principal and interest under the Notes converted into shares of Series B preferred stock, and we recorded other expense equal to the difference between the reacquisition price of the Notes and the net carrying amount of the Notes in the condensed consolidated statements of operations and comprehensive loss.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not recorded any significant amounts related to income tax expense, we have not recognized any reserves related to uncertain tax positions, nor have we recorded any income tax benefits for the majority of our net losses we have incurred to date or for our research and development tax credits.</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account for income taxes using the asset and liability method, which requires the recognition of deferred tax assets and liabilities for the expected future tax consequences of events that have been included in the condensed consolidated financial statements or our tax returns. Deferred tax assets and liabilities are determined based on the difference between the financial statement carrying amounts and tax bases of existing assets and liabilities and for loss and credit carryforwards, which are measured using the enacted tax rates and laws in effect in the years in which the differences are expected to reverse. The realization of our deferred tax assets is dependent upon the generation of future taxable income, the amount and timing of which are uncertain. Valuation allowances are provided, if, based upon the weight of available evidence, it is more likely than not that some or all of the deferred tax assets will not be realized. We continue to maintain a full valuation allowance against all of our net deferred tax assets based on our evaluation of all available evidence.</w:t>
      </w:r>
    </w:p>
    <w:p>
      <w:pPr>
        <w:spacing w:after="0" w:line="17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file income tax returns in the U.S. federal tax jurisdiction and state jurisdictions and may become subject to income tax audit and adjustments by related tax authorities. Our tax return period for U.S. federal income taxes for the tax years since 2018 remain open to examination under the statute of limitations by the Internal Revenue Service and state jurisdictions. We record reserves for potential tax payments to various tax authorities related to uncertain tax positions, if any. The nature of uncertain tax positions is subject to significant judgment by management and subject to change, which may be substantial. These reserves are based on a determination of whether and how much a tax benefit taken by us in our tax filings or positions is more likely than not to be realized following the resolution of any potential contingencies related to the tax benefit. We develop our assessment of uncertain tax positions, and the associated cumulative probabilities, using internal expertise and assistance from third-party experts. As additional information becomes available, estimates are revised and refined. Differences between estimates and final settlement may occur resulting in additional tax expense. Potential interest and penalties associated with such uncertain tax positions is recorded as a component of our provision for income taxes. To date, no amounts are being presented as an uncertain tax position.</w:t>
      </w:r>
    </w:p>
    <w:p>
      <w:pPr>
        <w:spacing w:after="0" w:line="18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addition, under Section 382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We may experience ownership changes as a result of subsequent shifts in our stock ownership.</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2022 and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June 30, 2022 and 2021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66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66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80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28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10,842</w:t>
            </w:r>
          </w:p>
        </w:tc>
        <w:tc>
          <w:tcPr>
            <w:tcW w:w="2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(8,262 )</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4,654</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5,478</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(824 )</w:t>
            </w:r>
          </w:p>
        </w:tc>
        <w:tc>
          <w:tcPr>
            <w:tcW w:w="0" w:type="dxa"/>
            <w:vAlign w:val="bottom"/>
          </w:tcPr>
          <w:p>
            <w:pPr>
              <w:spacing w:after="0"/>
              <w:rPr>
                <w:sz w:val="1"/>
                <w:szCs w:val="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7,234</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(9,086 )</w:t>
            </w: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80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(7,234</w:t>
            </w:r>
          </w:p>
        </w:tc>
        <w:tc>
          <w:tcPr>
            <w:tcW w:w="2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(16,320</w:t>
            </w:r>
          </w:p>
        </w:tc>
        <w:tc>
          <w:tcPr>
            <w:tcW w:w="26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8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(48 )</w:t>
            </w:r>
          </w:p>
        </w:tc>
        <w:tc>
          <w:tcPr>
            <w:tcW w:w="5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(121 )</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(11 )</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w:t>
            </w:r>
          </w:p>
        </w:tc>
        <w:tc>
          <w:tcPr>
            <w:tcW w:w="8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800" w:type="dxa"/>
            <w:vAlign w:val="bottom"/>
            <w:tcBorders>
              <w:bottom w:val="single" w:sz="8" w:color="auto"/>
            </w:tcBorders>
            <w:shd w:val="clear" w:color="auto" w:fill="CFF0FC"/>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(7,090</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(16,447</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-1148080</wp:posOffset>
            </wp:positionV>
            <wp:extent cx="774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-1148080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774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774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8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Research and development expenses were $2.6 million for the three months ended June 30, 2022, compared to $10.8 million for the three months ended June 30, 2021. The decrease of $8.2 million was primarily due to a decrease in external research costs related to the elimination of our lab space and a decrease in development costs related to lower clinical trial activities of GEM103. In addition, research and development personnel costs were lower period over period, including stock-based compensation, due to both a decrease in headcount in our research and development function in connection with the restructuring plans we implemented and the employee retention credit receivable recorded during the three months ended June 30, 2022.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were $4.7 million for the three months ended June 30, 2022, compared to $5.5 million for the three months ended June 30, 2021. The decrease of $0.8 million was primarily due to lower personnel-related costs due to both a decrease in headcount in our general and administrative function in connection with the restructuring plans we implemented and the employee retention credit receivable recorded during the three months ended June 30, 2022.</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was $0.1 million for each of the three months ended June 30, 2022 and 2021 related to interest on the Term Loan.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2022 and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six months ended June 30, 2022 and 2021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3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vMerge w:val="restart"/>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00" w:type="dxa"/>
            <w:vAlign w:val="bottom"/>
            <w:vMerge w:val="continue"/>
          </w:tcPr>
          <w:p>
            <w:pPr>
              <w:spacing w:after="0"/>
              <w:rPr>
                <w:sz w:val="18"/>
                <w:szCs w:val="18"/>
                <w:color w:val="auto"/>
              </w:rPr>
            </w:pPr>
          </w:p>
        </w:tc>
        <w:tc>
          <w:tcPr>
            <w:tcW w:w="2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5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12,384</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22,628</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(10,244 )</w:t>
            </w:r>
          </w:p>
        </w:tc>
        <w:tc>
          <w:tcPr>
            <w:tcW w:w="0" w:type="dxa"/>
            <w:vAlign w:val="bottom"/>
          </w:tcPr>
          <w:p>
            <w:pPr>
              <w:spacing w:after="0"/>
              <w:rPr>
                <w:sz w:val="1"/>
                <w:szCs w:val="1"/>
                <w:color w:val="auto"/>
              </w:rPr>
            </w:pPr>
          </w:p>
        </w:tc>
      </w:tr>
      <w:tr>
        <w:trPr>
          <w:trHeight w:val="216"/>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10,027</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0" w:type="dxa"/>
            <w:vAlign w:val="bottom"/>
          </w:tcPr>
          <w:p>
            <w:pPr>
              <w:spacing w:after="0"/>
              <w:rPr>
                <w:sz w:val="1"/>
                <w:szCs w:val="1"/>
                <w:color w:val="auto"/>
              </w:rPr>
            </w:pPr>
          </w:p>
        </w:tc>
      </w:tr>
      <w:tr>
        <w:trPr>
          <w:trHeight w:val="210"/>
        </w:trPr>
        <w:tc>
          <w:tcPr>
            <w:tcW w:w="43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1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22,411</w:t>
            </w:r>
          </w:p>
        </w:tc>
        <w:tc>
          <w:tcPr>
            <w:tcW w:w="2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32,810</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(22,411 )</w:t>
            </w:r>
          </w:p>
        </w:tc>
        <w:tc>
          <w:tcPr>
            <w:tcW w:w="44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(32,810 )</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(114 )</w:t>
            </w:r>
          </w:p>
        </w:tc>
        <w:tc>
          <w:tcPr>
            <w:tcW w:w="44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(1,969 )</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conversion of convertible notes</w:t>
            </w:r>
          </w:p>
        </w:tc>
        <w:tc>
          <w:tcPr>
            <w:tcW w:w="2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(711 )</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2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(11 )</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w:t>
            </w:r>
          </w:p>
        </w:tc>
        <w:tc>
          <w:tcPr>
            <w:tcW w:w="2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1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(22,321</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(35,495</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13,174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15"/>
        </w:trPr>
        <w:tc>
          <w:tcPr>
            <w:tcW w:w="4300" w:type="dxa"/>
            <w:vAlign w:val="bottom"/>
          </w:tcPr>
          <w:p>
            <w:pPr>
              <w:spacing w:after="0"/>
              <w:rPr>
                <w:sz w:val="24"/>
                <w:szCs w:val="24"/>
                <w:color w:val="auto"/>
              </w:rPr>
            </w:pPr>
          </w:p>
        </w:tc>
        <w:tc>
          <w:tcPr>
            <w:tcW w:w="21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0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-1628140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-1628140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-1628140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-513715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-496570</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-513715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-496570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Research and development expenses were $12.4 million for the six months ended June 30, 2022, compared to $22.6 million for the six months ended June 30, 2021. The decrease of $10.2 million was primarily due to a decrease in external research costs related to the elimination of our lab space and a decrease in development costs related to lower clinical trial activities of GEM103. In addition, research and development personnel costs were lower period over period, including stock-based compensation, due to both a decrease in headcount in our research and development function in connection with the restructuring plans we implemented and the employee retention credit receivable recorded during the six months ended June 30, 2022.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were $10.0 million for the six months ended June 30, 2022, compared to $10.2 million for the six months ended June 30, 2021. The decrease of $0.2 million was primarily due to lower personnel-related costs due to both a decrease in headcount in our general and administrative function in connection with the restructuring plans we implemented and the employee retention credit receivable recorded during the six months ended June 30, 2022.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expense was $0.1 million for the six months ended June 30, 2022, compared to $2.0 million for the six months ended June 30, 2021. The decrease of $1.9 million is primarily due to accretion during the six months ended June 30, 2021 of the beneficial conversion feature discount recognized at the issuance date of the Notes in 2020.</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conversion of convertible notes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loss on conversion of convertible notes was $0 for the six months ended June 30, 2022, compared to $0.7 million for the six months ended June 30, 2021. The decrease reflects the difference between the reacquisition price of the Notes and the net carrying amount of the Notes at the time that the Notes converted into shares of Series B preferred stock immediately prior to the closing of the Business Combination.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 and capital</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Since inception, we have not generated any revenue from any product sales or any other sources and have incurred significant operating losses and negative cash flows from our operations. We have not yet commercialized any of our product candidates and do not expect to generate revenue from sales of any product candidates for several years, if at all. Our net loss was $22.3 million for the six months ended June 30, 2022. As of June 30, 2022, we had an accumulated deficit of $207.0 million.</w:t>
      </w:r>
    </w:p>
    <w:p>
      <w:pPr>
        <w:spacing w:after="0" w:line="15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Prior to the Business Combination, we funded our operations primarily with proceeds from the sale of preferred stock, borrowings under convertible promissory notes and borrowings under loan agreements. In January 2020, we received gross proceeds of $20.1 million from the sale of our preferred stock. In August 2020, we received gross proceeds of $14.0 million from borrowings under convertible promissory notes. In February 2021, in connection with the Business Combination, we received net proceeds of $195.9 million.</w:t>
      </w:r>
    </w:p>
    <w:p>
      <w:pPr>
        <w:spacing w:after="0" w:line="15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June 30, 2022, we had cash and cash equivalents of $108.7 million. Continued cash generation is highly dependent on our ability to finance our operations through a combination of equity offerings, debt financings, collaboration arrangements and strategic transactions. However, our resource requirements could materially change depending on the outcome of our ongoing strategic alternative review process, including to the extent we identify and enter into any potential strategic transaction.</w:t>
      </w:r>
    </w:p>
    <w:p>
      <w:pPr>
        <w:spacing w:after="0" w:line="13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Until required for use in our business, we typically invest our cash in investments that are highly liquid, readily convertible to cash with original maturities of 90 days or less at the date of purchase. We attempt to minimize the risks related to our cash and cash equivalents by maintaining balances in accounts only with accredited financial institutions and, consequently, we do not believe we are subject to unusual credit risk beyond the normal credit risk associated with ordinary commercial banking relationships.</w:t>
      </w:r>
    </w:p>
    <w:p>
      <w:pPr>
        <w:spacing w:after="0" w:line="15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August 9, 2022, we entered into the Disc Merger Agreement pursuant to which, subject to the satisfaction or waiver of the conditions therein, Gem Merger Sub will merge with and into Disc, with Disc continuing as the surviving company and a wholly-owned subsidiary of the Company. The Disc Merger was unanimously approved by our board of directors (the “Board”), and the Board resolved to recommend approval of the Disc Merger Agreement to our shareholders. The closing of the Disc Merger is subject to approval by our stockholders and the stockholders of Disc and other customary closing conditions. The Company's future operations are highly dependent on the success of the proposed merger transaction with Disc.</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six months ended June 30, 2022 and 2021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center"/>
        <w:ind w:left="75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75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8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8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(25,836</w:t>
            </w:r>
          </w:p>
        </w:tc>
        <w:tc>
          <w:tcPr>
            <w:tcW w:w="30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(30,935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80" w:type="dxa"/>
            <w:vAlign w:val="bottom"/>
          </w:tcPr>
          <w:p>
            <w:pPr>
              <w:spacing w:after="0"/>
              <w:rPr>
                <w:sz w:val="18"/>
                <w:szCs w:val="18"/>
                <w:color w:val="auto"/>
              </w:rPr>
            </w:pPr>
          </w:p>
        </w:tc>
        <w:tc>
          <w:tcPr>
            <w:tcW w:w="9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(2,455 )</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193,909</w:t>
            </w:r>
          </w:p>
        </w:tc>
        <w:tc>
          <w:tcPr>
            <w:tcW w:w="100" w:type="dxa"/>
            <w:vAlign w:val="bottom"/>
          </w:tcPr>
          <w:p>
            <w:pPr>
              <w:spacing w:after="0"/>
              <w:rPr>
                <w:sz w:val="18"/>
                <w:szCs w:val="18"/>
                <w:color w:val="auto"/>
              </w:rPr>
            </w:pPr>
          </w:p>
        </w:tc>
      </w:tr>
      <w:tr>
        <w:trPr>
          <w:trHeight w:val="249"/>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980" w:type="dxa"/>
            <w:vAlign w:val="bottom"/>
            <w:tcBorders>
              <w:top w:val="single" w:sz="8" w:color="auto"/>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(28,291</w:t>
            </w:r>
          </w:p>
        </w:tc>
        <w:tc>
          <w:tcPr>
            <w:tcW w:w="300" w:type="dxa"/>
            <w:vAlign w:val="bottom"/>
            <w:tcBorders>
              <w:bottom w:val="single" w:sz="8" w:color="CFF0FC"/>
            </w:tcBorders>
            <w:shd w:val="clear" w:color="auto" w:fill="CFF0FC"/>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162,974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-25400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do not generate any cash inflows from our operating activities. Our cash flows from operating activities are significantly influenced by our use of cash for operating expenses and working capital requirements to support the business. We have historically experienced negative cash flows from operating activities as we invested in developing our platform, drug discovery efforts and related infrastructure.</w:t>
      </w:r>
    </w:p>
    <w:p>
      <w:pPr>
        <w:spacing w:after="0" w:line="15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six months ended June 30, 2022, we used cash in operating activities of $25.8 million, reflecting a net loss of $22.3 million and a net change of $7.9 million in our operating assets and liabilities, partially offset by non-cash charges of $4.4 million. The non-cash charges consist primarily of $4.3 million of stock-based compensation expense. The net change in our operating assets and liabilities was primarily due to an increase in prepaid expenses and other current currents and a decrease in accounts payable and accrued expenses and other current liabilities.</w:t>
      </w:r>
    </w:p>
    <w:p>
      <w:pPr>
        <w:spacing w:after="0" w:line="15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During the six months ended June 30, 2021, we used cash in operating activities of $30.9 million, reflecting a net loss of $35.5 million, partially offset by non-cash charges of $7.1 million and a net change of $2.5 million in our operating assets and liabilities. The non-cash charges consist primarily of $4.5 million of stock-based compensation expense, $1.6 million accretion of the discount on the Notes, $0.7 million of expense related to the conversion of the Notes and $0.2 million of non-cash interest expense. The net change in our operating assets and liabilities was primarily due to an increase in prepaid expenses and other current currents, other assets and accounts payable, partially offset by a decrease in deferred offering costs and accrued expenses and other current liabilities.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2022, net cash used in financing activities was $2.5 million, consisting primarily of principal payments made on our term loan.</w:t>
      </w:r>
    </w:p>
    <w:p>
      <w:pPr>
        <w:spacing w:after="0" w:line="1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2021, net cash provided by financing activities was $193.9 million, consisting primarily of $195.9 million of net proceeds received from the Business Combination, partially offset by principal payments made on our term loan.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primary use of cash is to fund operating expenses, primarily related to our research and development activities. However, our resource requirements could materially change depending on the outcome of our ongoing strategic alternative review process, including to the extent we identify and enter into any potential strategic transaction. Cash used to fund operating expenses is impacted by the timing of when we pay these expenses, as reflected in the change in our outstanding accounts payable, accrued expenses and prepaid expenses.</w:t>
      </w:r>
    </w:p>
    <w:p>
      <w:pPr>
        <w:spacing w:after="0" w:line="15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currently expect our expenses to decrease in 2022 compared to 2021 due to our planned reduced clinical efforts in 2022 and the implementations of the restructurings announced in October 2021 and February 2022. To the extent we continue to pursue the development of our product candidates, the timing and amount of our operating expenditures will depend largely on our ability to:</w:t>
      </w:r>
    </w:p>
    <w:p>
      <w:pPr>
        <w:spacing w:after="0" w:line="150" w:lineRule="exact"/>
        <w:rPr>
          <w:sz w:val="20"/>
          <w:szCs w:val="20"/>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preclinical development of our early-stage programs and clinical trials of our product candidates;</w:t>
      </w:r>
    </w:p>
    <w:p>
      <w:pPr>
        <w:spacing w:after="0" w:line="184"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or have manufactured on our behalf, including sourcing raw materials, our preclinical and clinical drug material and develop processes for late stage and commercial manufacturing;</w:t>
      </w:r>
    </w:p>
    <w:p>
      <w:pPr>
        <w:spacing w:after="0" w:line="13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71"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medical affairs and distribution infrastructure to commercialize any product candidates for which we may obtain marketing approval and intend to commercialize on our own;</w:t>
      </w:r>
    </w:p>
    <w:p>
      <w:pPr>
        <w:spacing w:after="0" w:line="13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protect our intellectual property portfolio;</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9" w:name="page30"/>
    <w:bookmarkEnd w:id="29"/>
    <w:p>
      <w:pPr>
        <w:ind w:left="760" w:hanging="378"/>
        <w:spacing w:after="0" w:line="266"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the costs of preparing, filing and prosecuting patent applications, maintaining and protecting our intellectual property rights, including enforcing and defending intellectual property related claims;</w:t>
      </w:r>
    </w:p>
    <w:p>
      <w:pPr>
        <w:spacing w:after="0" w:line="13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the costs of operating as a public company; and</w:t>
      </w:r>
    </w:p>
    <w:p>
      <w:pPr>
        <w:spacing w:after="0" w:line="1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 the anticipated benefits of our restructuring plans.</w:t>
      </w:r>
    </w:p>
    <w:p>
      <w:pPr>
        <w:spacing w:after="0" w:line="1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would be derived from sales of products that we do not expect to be commercially available for many years, if ever. Accordingly, we will need to obtain substantial additional funds to achieve our business objectives.</w:t>
      </w:r>
    </w:p>
    <w:p>
      <w:pPr>
        <w:spacing w:after="0" w:line="1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As of June 30, 2022, we had cash and cash equivalents of $108.7 million. We believe that our cash and cash equivalents will enable us to fund our operating expenses and capital expenditure requirements through at least the next twelve months from the filing of this Quarterly Report on Form 10-Q. We have based this estimate on assumptions that may prove to be wrong, and we could utilize our available capital resources sooner than we expect. However, our resource requirements could materially change depending on the outcome of our ongoing strategic alternative review process, including to the extent we identify and enter into any potential strategic transaction. Our future resource requirements will depend on the outcome of the proposed merger transaction with Disc.</w:t>
      </w:r>
    </w:p>
    <w:p>
      <w:pPr>
        <w:spacing w:after="0" w:line="15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Until such time as we can generate substantial product revenue, if ever, and subject to our pursuit of a potential strategic transaction and the consummation of such potential transaction (including the proposed merger transaction with Disc), we expect to finance our operations through a combination of equity offerings, debt financings, collaborations, strategic alliances and marketing, distribution or licensing arrangements. To the extent that we raise additional capital through the sale of equity or convertible debt securities, ownership interests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drug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drug candidates that we would otherwise prefer to develop and market ourselves.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pharmaceutical product candidates, we are unable to estimate the exact amount of our working capital requirements. Subject to our pursuit of a potential strategic transaction and the consummation of such potential transaction, our future funding requirements will depend on and could increase significantly as a result of many factors, including:</w:t>
      </w:r>
    </w:p>
    <w:p>
      <w:pPr>
        <w:spacing w:after="0" w:line="150"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product candidates, and conducting preclinical and clinical trials;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7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ability to manufacture our product candidates to supply our clinical and preclinical development efforts and our clinical trials;</w:t>
      </w:r>
    </w:p>
    <w:p>
      <w:pPr>
        <w:spacing w:after="0" w:line="10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activities, including product sales, medical affairs, marketing, manufacturing and distribution, for any of our product candidates for which we receive marketing approval;</w:t>
      </w:r>
    </w:p>
    <w:p>
      <w:pPr>
        <w:spacing w:after="0" w:line="10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raw materials and manufacturing commercial-grade product and necessary inventory to support commercial launch;</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receive additional non-dilutive funding, including grants from organizations and foundations;</w:t>
      </w:r>
    </w:p>
    <w:p>
      <w:pPr>
        <w:spacing w:after="0" w:line="1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 of our products, should any of our product candidates receive marketing approval;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0" w:name="page31"/>
    <w:bookmarkEnd w:id="30"/>
    <w:p>
      <w:pPr>
        <w:ind w:left="760" w:right="20" w:hanging="378"/>
        <w:spacing w:after="0" w:line="266"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obtaining, maintaining, expanding and enforcing our intellectual property rights and defending intellectual property-related claims;</w:t>
      </w:r>
    </w:p>
    <w:p>
      <w:pPr>
        <w:spacing w:after="0" w:line="13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and strategic alliances on favorable terms, if at all; and</w:t>
      </w:r>
    </w:p>
    <w:p>
      <w:pPr>
        <w:spacing w:after="0" w:line="1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February 2019, we entered into a term loan facility of up to $10.0 million (the “Term Loan”) with SVB. The proceeds were used for general corporate and working capital purposes. Concurrent with the Term Loan, we issued SVB warrants to purchase 15,257 shares of Old Gemini’s Series A preferred stock at an exercise price of $5.46. At the closing of the Business Combination, these warrants were automatically exercised for 15,257 shares of our common stock. As of June 30, 2022 and December 31, 2021, we had $2.9 million and $5.4 million, respectively, in principal outstanding under the Term Loan.</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Term Loan is governed by a loan and security agreement, entered into in February 2019, between Gemini and SVB (the “SVB Loan Agreement”). The SVB Loan Agreement provided for two separate tranches under which we could borrow. In April 2019, we borrowed $7.5 million under the first tranche, and in December 2019, we borrowed $2.5 million under the second tranche.</w:t>
      </w:r>
    </w:p>
    <w:p>
      <w:pPr>
        <w:spacing w:after="0" w:line="1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Term Loan matures in January 2023 and accrues interest at a floating rate per annum equal to the greater of 3.75% or the prime rate minus 1.5% (3.25% as of June 30, 2022). The Term Loan provides for monthly interest-only payments until February 2021. Thereafter, payments are payable in equal monthly installments of principal, plus all accrued and unpaid interest. We may prepay the Term Loan in whole upon 5 days’ prior written notice to SVB. Any such prepayment of the Term Loan is subject to a prepayment charge of 0.5% of the then outstanding principal balance. Amounts outstanding during an event of default are payable upon SVB’s demand and will accrue interest at an additional rate of 5.0% per annum of the past due amount outstanding.</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April 2020, we entered into a deferral agreement with SVB to defer scheduled principal repayments on its term loan by six months. The deferral agreement was offered in connection with SVB’s venture debt relief initiative, which was started due to the COVID-19 pandemic. Our first principal payment under our credit facility occurred in February 2021. The required monthly interest-only payment was not impacted by the deferral. The Term Loan’s new maturity date is January 2023.</w:t>
      </w:r>
    </w:p>
    <w:p>
      <w:pPr>
        <w:spacing w:after="0" w:line="17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At the end of the loan term (whether at maturity, by prepayment in full or otherwise), we are required to pay a final end of term charge to SVB in the amount of 4.0% of the aggregate original principal amount advanced by SVB.</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notes</w:t>
      </w:r>
    </w:p>
    <w:p>
      <w:pPr>
        <w:spacing w:after="0" w:line="17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August 2020, we entered into a purchase agreement with existing investors to issue $14.0 million in convertible promissory notes, (the “Notes”). The Notes accrued simple interest at 8% per annum and matured in February 2021. The Notes served as a bridge loan prior to the PIPE Financing that was completed in connection with the closing of the Business Combination. The Notes were amended to allow for the principal and interest to convert to shares of Series B preferred stock prior to the closing of the Business Combination. Accordingly, immediately prior to the closing of the Business Combination, the outstanding principal and interest under the Notes converted into 2,341,316 shares of Series B preferred stock at a per share conversion price of $6.1986.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research and manufacturing organizations</w:t>
      </w:r>
    </w:p>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CMOs, CROs and other third parties for the manufacture of our product candidates and to support clinical trials and preclinical research studies and testing. These contracts are generally cancelable at any time by us following a certain period of notice. Payments due upon cancellation consist only of payments for services provided or expenses incurred, including noncancelable obligations of our service providers, up to the date of cancellation. We recorded accrued expenses of approximately $0.8 million in our condensed consolidated balance sheet for expenditures incurred by CROs and CMOs as of June 30, 2022.</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 Merger Agreement</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August 9, 2022, we entered into the Disc Merger Agreement pursuant to which, subject to the satisfaction or waiver of the conditions therein, Gem Merger Sub will merge with and into Disc, with Disc continuing as the surviving company and a wholly-owned subsidiary of the Company. The Disc Merger was unanimously approved by our board of directors (the “Board”), and the Board resolved to</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1" w:name="page32"/>
    <w:bookmarkEnd w:id="31"/>
    <w:p>
      <w:pPr>
        <w:jc w:val="both"/>
        <w:spacing w:after="0" w:line="266" w:lineRule="auto"/>
        <w:rPr>
          <w:sz w:val="20"/>
          <w:szCs w:val="20"/>
          <w:color w:val="auto"/>
        </w:rPr>
      </w:pPr>
      <w:r>
        <w:rPr>
          <w:rFonts w:ascii="Times New Roman" w:cs="Times New Roman" w:eastAsia="Times New Roman" w:hAnsi="Times New Roman"/>
          <w:sz w:val="18"/>
          <w:szCs w:val="18"/>
          <w:color w:val="auto"/>
        </w:rPr>
        <w:t>recommend approval of the Disc Merger Agreement to our shareholders. The closing of the Disc Merger is subject to approval by our stockholders and the stockholders of Disc and other customary closing conditions.</w:t>
      </w:r>
    </w:p>
    <w:p>
      <w:pPr>
        <w:spacing w:after="0" w:line="1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If we are unable to satisfy certain closing conditions or if other mutual closing conditions are not satisfied, Disc will not be obligated to complete the Disc Merger. The Disc Merger Agreement contains certain termination rights of each of us and Disc. Under certain circumstances detailed in the Disc Merger Agreement, we could be required to pay Disc a termination fee of $3,000,000 or Disc could be required to pay us a termination fee of $7,800,000. In addition, in certain circumstances upon the termination of the Disc Merger Agreement, we could be required to pay the costs and expenses of Disc in an amount not to exceed $750,000, or Disc could be required to pay our costs and expenses in an amount not to exceed $750,000.</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1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have been prepared in accordance with generally accepted accounting principles in the United States (“GAAP”). The preparation of our financial statements and related disclosures requires us to make estimates and judgments that affect the reported amounts of assets, liabilities, costs and expenses.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6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2022, there were no material changes to our critical accounting policies as reported in our 2021 Annual Report on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Refer to Note 3,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to our unaudited condensed consolidated financial statements included elsewhere in this Quarterly Report on Form 10-Q for information regarding recently issued accounting pronouncements.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7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(“JOBS Act”), and we may take advantage of certain exemptions from various reporting requirements that are applicable to other public companies that are not emerging growth companies. We may take advantage of these exemptions until we are no longer an emerging growth company under Section 107 of the JOBS Act, which provides that an emerging growth company can take advantage of the extended transition period afforded by the JOBS Act for the implementation of new or revised accounting standards. We have elected to avail ourselves of the extended transition period and, therefore, while we are an emerging growth company, we will not be subject to new or revised accounting standards at the same time that they become applicable to other public companies that are not emerging growth companies, unless we choose to early adopt a new or revised accounting standard. We will remain an emerging growth company until the earlier of</w:t>
      </w:r>
    </w:p>
    <w:p>
      <w:pPr>
        <w:spacing w:after="0" w:line="3" w:lineRule="exact"/>
        <w:rPr>
          <w:sz w:val="20"/>
          <w:szCs w:val="20"/>
          <w:color w:val="auto"/>
        </w:rPr>
      </w:pPr>
    </w:p>
    <w:p>
      <w:pPr>
        <w:jc w:val="both"/>
        <w:ind w:firstLine="8"/>
        <w:spacing w:after="0" w:line="243" w:lineRule="auto"/>
        <w:tabs>
          <w:tab w:leader="none" w:pos="26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(a) following the fifth anniversary of the closing of our initial public offering, (b) in which we have total annual gross revenue of at least $1.07 billion, or (c) in which we are deemed to be a large accelerated filer, which means the market value of our common stock that is held by non-affiliates exceeds $700 million as of the prior June 30th, and (2) the date on which we have issued more than $1.0 billion in non-convertible debt during the prior three-year period.</w:t>
      </w:r>
    </w:p>
    <w:p>
      <w:pPr>
        <w:spacing w:after="0" w:line="14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 $100 million during such completed fiscal year and the market value of our common stock held by non-affiliates exceeds $700 million as of the prior June 30.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Item 10(f)(1) of Regulation S-K. As such, we are not required to provide the information set forth in this item.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Evaluation of our Disclosure Controls and Procedures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2022, our principal executive officer and principal financial officer, after evaluating the effectiveness of our “disclosure controls and procedures” (as defined in the Exchange Act Rule 13a-15(e) or Rule 15d-15(e)), with the participation of our management,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2" w:name="page33"/>
    <w:bookmarkEnd w:id="32"/>
    <w:p>
      <w:pPr>
        <w:jc w:val="both"/>
        <w:spacing w:after="0" w:line="243" w:lineRule="auto"/>
        <w:rPr>
          <w:sz w:val="20"/>
          <w:szCs w:val="20"/>
          <w:color w:val="auto"/>
        </w:rPr>
      </w:pPr>
      <w:r>
        <w:rPr>
          <w:rFonts w:ascii="Times New Roman" w:cs="Times New Roman" w:eastAsia="Times New Roman" w:hAnsi="Times New Roman"/>
          <w:sz w:val="18"/>
          <w:szCs w:val="18"/>
          <w:color w:val="auto"/>
        </w:rPr>
        <w:t>have each concluded that, as of the end of the period covered by this Quarterly Report on Form 10-Q, our disclosure controls and procedures were effective and were designed to ensure that information we are required to disclose in the reports that we file or submit under the Securities Exchange Act of 1934, as amended, is accumulated and communicated to management, including our principal executive officer and principal financial officer, as appropriate, to allow timely decisions regarding required disclosure, and is recorded, processed, summarized and reported within the time periods specified in the Securities and Exchange Commission rules and forms. It should be noted that any system of controls is designed to provide reasonable, but not absolute, assurances that the system will achieve its stated goals under all reasonably foreseeable circumstances. Our principal executive officer and principal financial officer have each concluded that our disclosure controls and procedures as of June 30, 2022 are effective at a level that provides such reasonable assurances.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were no changes in internal control over financial reporting (as such term is defined in Exchange Act Rules 13a-15(f) and 15d-15(f)) that occurred during the three months ended June 30, 2022 that have materially affected, or that are reasonably likely to materially affect, our internal control over financial reporting.</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currently subject to any material legal proceedings.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The matters discussed in this Quarterly Report on Form 10-Q include forward-looking statements that involve risks or uncertainties. These statements are neither promises nor guarantees, but are based on various assumptions by management regarding future circumstances, over many of which we have little or no control. A number of important risks and uncertainties, including those identified under the caption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Part I, Item 1A of our Annual Report on Form 10-K for the period ended December 31, 2021 and in subsequent filings, could cause our actual results to differ materially from those in the forward-looking statements. Other than the risk factors set forth below, there are no material changes to the risk factors described in our Annual Report on Form 10-K for the period ended December 31, 2021, as filed with the SEC on March 10, 2022. We may disclose changes to such factors or disclose additional factors from time to time in our future filings with the SEC.</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Merger with Disc Medicine, Inc.</w:t>
      </w:r>
    </w:p>
    <w:p>
      <w:pPr>
        <w:spacing w:after="0" w:line="18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Failure to complete, or delays in completing, the proposed merger transaction with Disc (as defined below) announced on August 10, 2022 could materially and adversely affect our results of operations, business, financial results and/or stock price.</w:t>
      </w:r>
    </w:p>
    <w:p>
      <w:pPr>
        <w:spacing w:after="0" w:line="13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February 2022, the Company announced a corporate restructuring and that it initiated a process to evaluate strategic alternatives. After a comprehensive review of strategic alternatives, including identifying and reviewing potential candidates for a strategic transaction, on August 9, 2022, the Company entered into an Agreement and Plan of Merger and Reorganization (the “Disc Merger Agreement”) with Disc Medicine, Inc., a Delaware corporation (“Disc”), and Gemstone Merger Sub, Inc., a Delaware corporation and a wholly-owned subsidiary of the Company (“Gem Merger Sub”), pursuant to which, subject to the satisfaction or waiver of the conditions therein, Gem Merger Sub will merge with and into Disc (the “Disc Merger”), with Disc continuing as the surviving company and a wholly-owned subsidiary of the Company. The closing of the Disc Merger is subject to approval by the stockholders of the Company and Disc as well as other customary closing conditions, including the effectiveness of a registration statement filed with the SEC in connection with the transaction. If the merger is completed, the business of Disc will continue as the business of the combined company. Any failure to satisfy a required condition to closing may prevent, delay or otherwise materially and adversely affect the completion of the transaction, which could materially and adversely affect our results of operations, business, financial results and/or stock price. We cannot predict with certainty whether or when any of the required closing conditions will be satisfied or if another uncertainty may arise and cannot assure you that we will be able to successfully consummate the proposed merger as currently contemplated under the Disc Merger Agreement or at all.</w:t>
      </w:r>
    </w:p>
    <w:p>
      <w:pPr>
        <w:spacing w:after="0" w:line="16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Our efforts to complete the Disc Merger could cause substantial disruptions in, and create uncertainty surrounding, our business, which may materially adversely affect our results of operations and our business. Uncertainty as to whether the Disc Merger will be completed may affect our ability to recruit prospective employees or to retain and motivate existing employees. Employee retention may be particularly challenging while the transaction is pending because employees may experience uncertainty about their roles following the transaction. Uncertainty as to our future could adversely affect our business and our relationship with collaborators, suppliers, vendors, regulators and other business partners. For example, vendors, collaborators and other counterparties may defer decisions about working with us or seek to change existing business relationships with us. Changes to, or termination of, existing business relationships could adversely affect our results of operations and financial condition, as well as the market price of our common stock. The adverse effects of the pendency of the transaction could be exacerbated by any delays in completion of the transaction or termination of the Disc Merger Agreement.</w:t>
      </w:r>
    </w:p>
    <w:p>
      <w:pPr>
        <w:spacing w:after="0" w:line="14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Risks related to the failure to consummate, or delay in consummating, the proposed merger transaction with Disc include, but are not limited to, the following:</w:t>
      </w:r>
    </w:p>
    <w:p>
      <w:pPr>
        <w:spacing w:after="0" w:line="40" w:lineRule="exact"/>
        <w:rPr>
          <w:sz w:val="20"/>
          <w:szCs w:val="20"/>
          <w:color w:val="auto"/>
        </w:rPr>
      </w:pPr>
    </w:p>
    <w:p>
      <w:pPr>
        <w:ind w:left="10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not realize any or all of the potential benefits of the Disc Merger, which could have a negative effect on our results of operations, business or stock price;</w:t>
      </w:r>
    </w:p>
    <w:p>
      <w:pPr>
        <w:spacing w:after="0" w:line="5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some circumstances, we may be required to pay a termination fee to Disc of $3,000,000, and/or expense reimbursement of up to $750,000;</w:t>
      </w:r>
    </w:p>
    <w:p>
      <w:pPr>
        <w:spacing w:after="0" w:line="40"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remain liable for significant transaction costs, including legal, accounting, financial advisory and other costs relating to the Disc Merger regardless of whether the Disc Merger is consummated;</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common stock may decline to the extent that the current market price for our stock reflects a market assumption that the Disc Merger will be completed;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4" w:name="page35"/>
    <w:bookmarkEnd w:id="34"/>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attention of our management and employees may have been diverted to the Disc Merger rather than to our own operations and the pursuit of other opportunities that could have been beneficial to us;</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litigation related to any failure to complete the Disc Merger;</w:t>
      </w:r>
    </w:p>
    <w:p>
      <w:pPr>
        <w:spacing w:after="0" w:line="10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potentially lose key personnel during the pendency of the Disc Merger as employees and other service providers may experience uncertainty about their future roles with us following completion of the Disc Merger; and</w:t>
      </w:r>
    </w:p>
    <w:p>
      <w:pPr>
        <w:spacing w:after="0" w:line="40"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Disc Merger Agreement, we are subject to certain customary restrictions on the conduct of our business prior to completing the Disc Merger, which restrictions could adversely affect our ability to conduct our business as we otherwise would have done if we were not subject to these restrictions.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occurrence of any of these events individually or in combination could materially and adversely affect our results of operations, business, and our stock price.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be sure if or when the Disc Merger will be completed.</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consummation of the Disc Merger is subject to the satisfaction or waiver of various conditions, including the authorization of the Disc Merger by our shareholders and Disc’s shareholders. We cannot guarantee that the closing conditions set forth in the Disc Merger Agreement will be satisfied. If we are unable to satisfy certain closing conditions or if other mutual closing conditions are not satisfied, Disc will not be obligated to complete the Disc Merger. Under certain circumstances, we would be required to pay Disc a termination fee of $3,000,000, and/or expense reimbursement of Disc of up to $750,000.</w:t>
      </w:r>
    </w:p>
    <w:p>
      <w:pPr>
        <w:spacing w:after="0" w:line="137"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If the Disc Merger is not completed, our board of directors, in discharging its fiduciary obligations to our shareholders, would evaluate other strategic alternatives or financing options that may be available, which alternatives may not be as favorable to our shareholders as the Disc Merger, including a liquidation and dissolution. Any future sale or merger, financing or other transaction, including a liquidation or dissolution, may be subject to further shareholder approval. We may also be unable to find, evaluate or complete other strategic alternatives, which may have a materially adverse effect on our business.</w:t>
      </w:r>
    </w:p>
    <w:p>
      <w:pPr>
        <w:spacing w:after="0" w:line="13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efforts to complete the Disc Merger could cause substantial disruptions in, and create uncertainty surrounding, our business, which may materially and adversely affect our results of operations and our business. Uncertainty as to whether the Disc Merger will be completed may affect our ability to recruit prospective employees or to retain and motivate existing employees. Employee retention may be particularly challenging while the transaction is pending because employees may experience uncertainty about their roles following the transaction. A substantial amount of our management’s and employees’ attention is being directed toward the completion of the transaction and thus is being diverted from our day-to-day operations. Uncertainty as to our future could adversely affect our business and our relationship with collaborators, suppliers, vendors, regulators and other business partners. For example, vendors, collaborators and other counterparties may defer decisions concerning working with us, or seek to change existing business relationships with us. Changes to, or termination of, existing business relationships could adversely affect our results of operations and financial condition, as well as the market price of our common stock. The adverse effects of the pendency of the transaction could be exacerbated by any delays in completion of the transaction or termination of the Disc Merger Agreement.</w:t>
      </w:r>
    </w:p>
    <w:p>
      <w:pPr>
        <w:spacing w:after="0" w:line="15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Until the Disc Merger is completed, the Disc Merger Agreement restricts Disc and us from taking specified actions without the consent of the other party, and requires us to operate in the ordinary course of business consistent with past practice. These restrictions may prevent Disc and us from making appropriate changes to our respective businesses or pursuing attractive business opportunities that may arise prior to the completion of the Disc Merger.</w:t>
      </w:r>
    </w:p>
    <w:p>
      <w:pPr>
        <w:spacing w:after="0" w:line="1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delay in completing the proposed Disc Merger may materially and adversely affect the timing and benefits that are expected to be achieved from the proposed Disc Merger.</w:t>
      </w:r>
    </w:p>
    <w:p>
      <w:pPr>
        <w:spacing w:after="0" w:line="13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exchange ratio set forth in the Disc Merger Agreement is not adjustable based on the market price of our common stock, so the merger consideration at the closing of the Disc Merger may have a greater or lesser value than at the time the Disc Merger Agreement was signed.</w:t>
      </w:r>
    </w:p>
    <w:p>
      <w:pPr>
        <w:spacing w:after="0" w:line="13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Disc Merger Agreement has set the exchange ratio for Disc capital stock being converted into the Company’s common stock, and the exchange ratio is based on the outstanding capital stock of Disc and the outstanding common stock of the Company, in each case immediately prior to the closing of the Disc Merger. Applying the exchange ratio formula in the Disc Merger Agreement, the former Disc equityholders immediately before the Disc Merger are expected to own approximately 72% of the outstanding capital stock of the combined company immediately following the Disc Merger, and the equityholders of Gemini immediately before the Disc Merger are expected to own approximately 28% of the outstanding capital stock of the combined company immediately following the Disc Merger, in each case, before giving effect to the concurrent financing and subject to certain assumptions detailed in the Disc Merger Agreement. Under certain circumstances further described in the Disc Merger Agreement, however, these ownership percentages may be adjusted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5" w:name="page36"/>
    <w:bookmarkEnd w:id="35"/>
    <w:p>
      <w:pPr>
        <w:jc w:val="both"/>
        <w:spacing w:after="0" w:line="266" w:lineRule="auto"/>
        <w:rPr>
          <w:sz w:val="20"/>
          <w:szCs w:val="20"/>
          <w:color w:val="auto"/>
        </w:rPr>
      </w:pPr>
      <w:r>
        <w:rPr>
          <w:rFonts w:ascii="Times New Roman" w:cs="Times New Roman" w:eastAsia="Times New Roman" w:hAnsi="Times New Roman"/>
          <w:sz w:val="18"/>
          <w:szCs w:val="18"/>
          <w:color w:val="auto"/>
        </w:rPr>
        <w:t>upward or downward based on the cash levels of the respective companies at the closing of the Disc Merger, and as a result, either our stockholders or the Disc stockholders could own less of the combined company than expected.</w:t>
      </w:r>
    </w:p>
    <w:p>
      <w:pPr>
        <w:spacing w:after="0" w:line="13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Any changes in the market price of our common stock before the completion of the Disc Merger will not affect the number of shares of our common stock issuable to Disc’s stockholders pursuant to the Disc Merger Agreement. Therefore, if before the completion of the Disc Merger the market price of our common stock declines from the market price on the date of the Disc Merger Agreement, then Disc’s stockholders could receive merger consideration with substantially lower value than the value of such merger consideration on the date of the Disc Merger Agreement. Similarly, if before the completion of the Disc Merger the market price of our common stock increases from the market price of our common stock on the date of the Disc Merger Agreement, then Disc’s stockholders could receive merger consideration with substantially greater value than the value of such merger consideration on the date of the Disc Merger Agreement. The Disc Merger Agreement does not include a price-based termination right.</w:t>
      </w:r>
    </w:p>
    <w:p>
      <w:pPr>
        <w:spacing w:after="0" w:line="15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Disc Merger Agreement contains provisions that limit our ability to pursue alternatives to the Disc Merger, could discourage a potential competing acquiror of us from making an alternative transaction proposal and, in specified circumstances, could require us to pay a termination fee to Disc, which could significantly harm our financial condition and the market price of our common stock and negatively affect the future business and operations of each company.</w:t>
      </w:r>
    </w:p>
    <w:p>
      <w:pPr>
        <w:spacing w:after="0" w:line="14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Disc Merger Agreement contains provisions that make it difficult for us to entertain a third-party proposal for an acquisition of our company. These provisions include our agreement not to solicit or initiate any additional discussions with third parties regarding other proposals for our acquisition, as well as restrictions on our ability to respond to such proposals, subject to fulfillment of certain fiduciary requirements of our board of directors.</w:t>
      </w:r>
    </w:p>
    <w:p>
      <w:pPr>
        <w:spacing w:after="0" w:line="15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the proposed Disc Merger is not completed and the Disc Merger Agreement is terminated under certain circumstances, we may be required to pay Disc a termination fee of up to $3,000,000, and/or expense reimbursement of up to $750,000. Even if a termination fee is not payable in connection with a termination of the Disc Merger Agreement, the Company will have incurred significant fees and expenses, which must be paid whether or not the Disc Merger is completed. Further, if the proposed Disc Merger is not completed, it could significantly harm the market price of our common stock.</w:t>
      </w:r>
    </w:p>
    <w:p>
      <w:pPr>
        <w:spacing w:after="0" w:line="15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if the Disc Merger Agreement is terminated and the board of directors of the Company determines to seek another business combination, there can be no assurance that either we will be able to find a partner and close an alternative transaction on terms that are as favorable or more favorable than the terms set forth in the Disc Merger Agreement.</w:t>
      </w:r>
    </w:p>
    <w:p>
      <w:pPr>
        <w:spacing w:after="0" w:line="14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Lawsuits may be filed against us and the members of our board of directors arising out of the proposed merger, which may delay or prevent the proposed merger.</w:t>
      </w:r>
    </w:p>
    <w:p>
      <w:pPr>
        <w:spacing w:after="0" w:line="13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Putative stockholder complaints, including stockholder class action complaints, and other complaints may be filed against us, our board of directors, Disc, Disc’s board of directors and others in connection with the transactions contemplated by the Disc Merger Agreement. The outcome of litigation is uncertain, and we may not be successful in defending against any such future claims. Lawsuits that may be filed against us, our board of directors, Disc, or Disc’s board of directors could delay or prevent the Disc Merger, divert the attention of our management and employees from our day-to-day business and otherwise adversely affect our financial condition.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stockholders potentially may not receive any payment on the CVRs and the CVRs may otherwise expire valueless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Disc Merger Agreement contemplates that, at or prior to the Effective Time, the Company, the holder’s representative and the Rights Agent (as defined in the CVR Agreement) will execute and deliver a contingent value rights agreement (the “CVR Agreement”), pursuant to which each person who as of immediately prior to the Effective Time was a stockholder of record of the Company or had the right to receive the Company’s common stock will be entitled to receive a contractual contingent value right ("CVR") issued by the Company subject to and in accordance with the terms and conditions of the CVR Agreement. Each CVR will entitle the holder of the CVR to receive a certain number of shares of common stock of the combined company calculated based on the quotient of the gross proceeds, if any, received in connection with the sale, license, transfer, disposition or other monetizing event of any assets related to drug products, raw materials, and biological materials to which Gemini or any of its subsidiaries owned or had rights to immediately prior to the Effective Time and the weighted average closing market price for the five trading days prior to the date of issuance of the CVR. The right of our stockholders to derive any value from the CVRs will be contingent solely upon the disposition of such assets within the time periods specified in the CVR Agreement.</w:t>
      </w:r>
    </w:p>
    <w:p>
      <w:pPr>
        <w:spacing w:after="0" w:line="15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may not be able to achieve successful results from the disposition of such assets as described above. If this is not achieved for any reason within the time periods specified in the CVR Agreement, no payments will be made under the CVRs, and the CVRs will expire valueless.</w:t>
      </w:r>
    </w:p>
    <w:p>
      <w:pPr>
        <w:spacing w:after="0" w:line="13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Certain of the Company’s officers and directors may have interests in the proposed Disc Merger that are different from, or in conflict with or in addition to, those of the Company’s stockholders generally.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6" w:name="page37"/>
    <w:bookmarkEnd w:id="36"/>
    <w:p>
      <w:pPr>
        <w:jc w:val="both"/>
        <w:spacing w:after="0" w:line="250" w:lineRule="auto"/>
        <w:rPr>
          <w:sz w:val="20"/>
          <w:szCs w:val="20"/>
          <w:color w:val="auto"/>
        </w:rPr>
      </w:pPr>
      <w:r>
        <w:rPr>
          <w:rFonts w:ascii="Times New Roman" w:cs="Times New Roman" w:eastAsia="Times New Roman" w:hAnsi="Times New Roman"/>
          <w:sz w:val="18"/>
          <w:szCs w:val="18"/>
          <w:color w:val="auto"/>
        </w:rPr>
        <w:t>Certain officers and directors of the Company may have interests in the proposed Disc Merger that are different from the interests of the Company’s stockholders generally, including potentially, among others, the continued service as a director of the combined company, the acceleration of stock option vesting, and continued indemnification.</w:t>
      </w:r>
    </w:p>
    <w:p>
      <w:pPr>
        <w:spacing w:after="0" w:line="15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closing of the Disc Merger will also result in the acceleration of vesting of options to purchase shares of our common stock held by our executive officers and directors, whether or not there is a covered termination of such officer's employment. In addition, certain of Gemini’s current directors and executive officers are expected to become directors of the surviving company upon the closing of the Disc Merger, and all of Gemini’s directors and executive officers are entitled to certain indemnification and liability insurance coverage pursuant to the terms of the Disc Merger Agreement. These interests, among others, may influence the officers and directors of the Company and cause them to view the Disc Merger differently from how the Company’s stockholders generally may view it.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following the Disc Merger may decline as a result of the Disc Merger.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price of our common stock may decline as a result of the Disc Merger for a number of reasons, including if:</w:t>
      </w:r>
    </w:p>
    <w:p>
      <w:pPr>
        <w:spacing w:after="0" w:line="104" w:lineRule="exact"/>
        <w:rPr>
          <w:sz w:val="20"/>
          <w:szCs w:val="20"/>
          <w:color w:val="auto"/>
        </w:rPr>
      </w:pPr>
    </w:p>
    <w:p>
      <w:pPr>
        <w:ind w:left="102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react negatively to the prospects of the combined company's product candidates, business and financial condition following the Disc Merger;</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Disc Merger on the combined company's business and prospects is not consistent with the expectations of financial or industry analysts; or</w:t>
      </w:r>
    </w:p>
    <w:p>
      <w:pPr>
        <w:spacing w:after="0" w:line="5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 does not achieve the perceived benefits of the Disc Merger as rapidly or to the extent anticipated by financial or industry analysts.</w:t>
      </w:r>
    </w:p>
    <w:p>
      <w:pPr>
        <w:spacing w:after="0" w:line="10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equityholders will have a reduced ownership and voting interest in, and will exercise less influence over the management of, the Company following the closing of the Disc Merger as compared to their current ownership and voting interest in the Company.</w:t>
      </w:r>
    </w:p>
    <w:p>
      <w:pPr>
        <w:spacing w:after="0" w:line="1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After the completion of the Disc Merger, the current securityholders of the Company will own a smaller percentage of the combined company than their ownership in the Company prior to the Disc Merger. Immediately after the Disc Merger, it is currently estimated that pre-merger Gemini’s equityholders will own approximately 28% of the common stock of the combined company, and pre-merger Disc equityholders will own approximately 72% of the common stock of the combined company, in each case, before giving effect to the concurrent financing and subject to certain assumptions. These estimates are based on the anticipated exchange ratio and are subject to adjustment as provided in the Disc Merger Agreement.</w:t>
      </w:r>
    </w:p>
    <w:p>
      <w:pPr>
        <w:spacing w:after="0" w:line="1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nine-member board of directors of the combined company will initially include one individual with prior affiliations with Gemini. Consequently, securityholders of Gemini will be able to exercise less influence over the management and policies of the combined organization following the closing of the Disc Merger than they currently exercise over the management and policies of Gemini.</w:t>
      </w:r>
    </w:p>
    <w:p>
      <w:pPr>
        <w:spacing w:after="0" w:line="1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stockholders may not realize a benefit from the Disc Merger commensurate with the ownership dilution they will experience in connection with the Disc Merger.</w:t>
      </w:r>
    </w:p>
    <w:p>
      <w:pPr>
        <w:spacing w:after="0" w:line="10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the combined company is unable to realize the strategic and financial benefits currently anticipated from the proposed Disc Merger, the Company’s stockholders will have experienced substantial dilution of their ownership interests in the Company without receiving the expected commensurate benefit, or only receive part of the commensurate benefit to the extent the combined company is able to realize only part of the expected strategic and financial benefits currently anticipated from the proposed Disc Merger.</w:t>
      </w:r>
    </w:p>
    <w:p>
      <w:pPr>
        <w:spacing w:after="0" w:line="14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Because the lack of a public market for Disc’s capital stock makes it difficult to evaluate the value of Disc’s capital stock, the stockholders of Disc may receive shares of our common stock in the Disc Merger that have a value that is greater than the fair market value of Disc’s capital stock.</w:t>
      </w:r>
    </w:p>
    <w:p>
      <w:pPr>
        <w:spacing w:after="0" w:line="1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outstanding capital stock of Disc is privately held and is not traded in any public market. The lack of a public market makes it extremely difficult to determine the fair market value of Disc. Because the percentage of our common stock to be issued to Disc’s stockholders was determined based on negotiations between the parties, it is possible that Gemini may pay more than the aggregate fair market value for Disc, which could adversely impact the value of the holders of Gemini’s common stock prior to the consummation of the merger.</w:t>
      </w:r>
    </w:p>
    <w:p>
      <w:pPr>
        <w:spacing w:after="0" w:line="1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we do not successfully consummate the Disc Merger or another strategic transaction, our board of directors may decide to pursue a dissolution and liquidation of the Company. In such an event, the amount of cash available for distribution to our stockholders will depend heavily on the timing of such liquidation as well as the amount of cash that will need to be reserved for commitments and contingent liabilities, as to which we can give you no assurance.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7" w:name="page38"/>
    <w:bookmarkEnd w:id="37"/>
    <w:p>
      <w:pPr>
        <w:jc w:val="both"/>
        <w:spacing w:after="0" w:line="241" w:lineRule="auto"/>
        <w:rPr>
          <w:sz w:val="20"/>
          <w:szCs w:val="20"/>
          <w:color w:val="auto"/>
        </w:rPr>
      </w:pPr>
      <w:r>
        <w:rPr>
          <w:rFonts w:ascii="Times New Roman" w:cs="Times New Roman" w:eastAsia="Times New Roman" w:hAnsi="Times New Roman"/>
          <w:sz w:val="18"/>
          <w:szCs w:val="18"/>
          <w:color w:val="auto"/>
        </w:rPr>
        <w:t>There can be no assurance that the Disc Merger will be completed. If the Disc Merger is not completed, our board of directors may decide to pursue a dissolution and liquidation of the Company. In such an event, the amount of cash available for distribution to our stockholders will depend heavily on the timing of such decision and, ultimately, such liquidation, since the amount of cash available for distribution continues to decrease as we fund our operations while pursuing the Disc Merger. In addition, if our board of directors were to approve and recommend, and our stockholders were to approve, a dissolution and liquidation of the company, we would be required under Delaware corporate law to pay our outstanding obligations, as well as to make reasonable provision for contingent and unknown obligations, prior to making any distributions in liquidation to stockholders. Our commitments and contingent liabilities may include obligations under our employment and related agreements with certain employees that provide for severance and other payments following a termination of employment occurring for various reasons, including a change in control of the company, litigation against us, and other various claims and legal actions arising in the ordinary course of business, and other unexpected and/or contingent liabilities. As a result of this requirement, a portion of our assets would need to be reserved pending the resolution of such obligations.</w:t>
      </w:r>
    </w:p>
    <w:p>
      <w:pPr>
        <w:spacing w:after="0" w:line="16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addition, we may be subject to litigation or other claims related to a dissolution and liquidation of the Company. If a dissolution and liquidation were to be pursued, our board of directors, in consultation with our advisors, would need to evaluate these matters and make a determination about a reasonable amount to reserve. Accordingly, holders of our common stock could lose all or a significant portion of their investment in the event of a liquidation, dissolution or winding up of our company. A liquidation would be a lengthy and uncertain process with no assurance of any value ever being returned to our stockholders.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our remaining employees to facilitate the consummation of the merger.</w:t>
      </w:r>
    </w:p>
    <w:p>
      <w:pPr>
        <w:spacing w:after="0" w:line="189"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As of August 9, 2022, we had only four full-time employees and one part-time employee. Our ability to successfully complete the Disc Merger depends in large part on our ability to retain certain remaining personnel. Despite our efforts to retain these employees, one or more may terminate their employment with us on short notice. The loss of the services of certain employees could potentially harm our ability to consummate the Disc Merger, to run our day-to-day business operations, as well as to fulfill our reporting obligations as a public company.</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04" w:lineRule="exact"/>
        <w:rPr>
          <w:sz w:val="20"/>
          <w:szCs w:val="20"/>
          <w:color w:val="auto"/>
        </w:rPr>
      </w:pPr>
    </w:p>
    <w:p>
      <w:pPr>
        <w:ind w:right="5960" w:firstLine="8"/>
        <w:spacing w:after="0" w:line="367" w:lineRule="auto"/>
        <w:tabs>
          <w:tab w:leader="none" w:pos="255"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Recent Sales of Unregistered Equity Securities and Use of Proceeds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i w:val="1"/>
          <w:iCs w:val="1"/>
          <w:color w:val="auto"/>
        </w:rPr>
      </w:pPr>
    </w:p>
    <w:p>
      <w:pPr>
        <w:ind w:left="260" w:hanging="252"/>
        <w:spacing w:after="0"/>
        <w:tabs>
          <w:tab w:leader="none" w:pos="260"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98" w:lineRule="exact"/>
        <w:rPr>
          <w:sz w:val="20"/>
          <w:szCs w:val="20"/>
          <w:color w:val="auto"/>
        </w:rPr>
      </w:pPr>
    </w:p>
    <w:p>
      <w:pPr>
        <w:ind w:left="260" w:hanging="252"/>
        <w:spacing w:after="0"/>
        <w:tabs>
          <w:tab w:leader="none" w:pos="260"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Exhibits </w:t>
      </w:r>
      <w:r>
        <w:rPr>
          <w:rFonts w:ascii="Times New Roman" w:cs="Times New Roman" w:eastAsia="Times New Roman" w:hAnsi="Times New Roman"/>
          <w:sz w:val="18"/>
          <w:szCs w:val="18"/>
          <w:b w:val="1"/>
          <w:bCs w:val="1"/>
          <w:color w:val="auto"/>
        </w:rPr>
        <w:t>Registration No. 333-249785</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6940" w:type="dxa"/>
            <w:vAlign w:val="bottom"/>
            <w:gridSpan w:val="16"/>
            <w:vMerge w:val="restart"/>
          </w:tcPr>
          <w:p>
            <w:pPr>
              <w:ind w:left="14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9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tcPr>
          <w:p>
            <w:pPr>
              <w:spacing w:after="0"/>
              <w:rPr>
                <w:sz w:val="16"/>
                <w:szCs w:val="16"/>
                <w:color w:val="auto"/>
              </w:rPr>
            </w:pPr>
          </w:p>
        </w:tc>
        <w:tc>
          <w:tcPr>
            <w:tcW w:w="6940" w:type="dxa"/>
            <w:vAlign w:val="bottom"/>
            <w:tcBorders>
              <w:bottom w:val="single" w:sz="8" w:color="auto"/>
            </w:tcBorders>
            <w:gridSpan w:val="1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94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17"/>
          </w:tcPr>
          <w:p>
            <w:pPr>
              <w:spacing w:after="0"/>
              <w:rPr>
                <w:rFonts w:ascii="Times New Roman" w:cs="Times New Roman" w:eastAsia="Times New Roman" w:hAnsi="Times New Roman"/>
                <w:sz w:val="18"/>
                <w:szCs w:val="18"/>
                <w:color w:val="0563C1"/>
              </w:rPr>
            </w:pPr>
            <w:hyperlink r:id="rId200">
              <w:r>
                <w:rPr>
                  <w:rFonts w:ascii="Times New Roman" w:cs="Times New Roman" w:eastAsia="Times New Roman" w:hAnsi="Times New Roman"/>
                  <w:sz w:val="18"/>
                  <w:szCs w:val="18"/>
                  <w:color w:val="0563C1"/>
                </w:rPr>
                <w:t>Agreement and Plan of Merger and Reorganization, dated August 9, 2022, by and among Gemini Therapeutics, Inc., Gemstone Merger Sub,</w:t>
              </w:r>
            </w:hyperlink>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top w:val="single" w:sz="8" w:color="0563C1"/>
            </w:tcBorders>
            <w:gridSpan w:val="15"/>
          </w:tcPr>
          <w:p>
            <w:pPr>
              <w:spacing w:after="0" w:line="169" w:lineRule="exact"/>
              <w:rPr>
                <w:rFonts w:ascii="Times New Roman" w:cs="Times New Roman" w:eastAsia="Times New Roman" w:hAnsi="Times New Roman"/>
                <w:sz w:val="18"/>
                <w:szCs w:val="18"/>
                <w:color w:val="0563C1"/>
              </w:rPr>
            </w:pPr>
            <w:hyperlink r:id="rId200">
              <w:r>
                <w:rPr>
                  <w:rFonts w:ascii="Times New Roman" w:cs="Times New Roman" w:eastAsia="Times New Roman" w:hAnsi="Times New Roman"/>
                  <w:sz w:val="18"/>
                  <w:szCs w:val="18"/>
                  <w:color w:val="0563C1"/>
                </w:rPr>
                <w:t>Inc. and Disc Medicine, Inc. (incorporated by reference from Exhibit 2.1 to the Current Report on Form 8-K filed with the Securities and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restart"/>
          </w:tcPr>
          <w:p>
            <w:pPr>
              <w:jc w:val="right"/>
              <w:ind w:right="432"/>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40" w:type="dxa"/>
            <w:vAlign w:val="bottom"/>
            <w:tcBorders>
              <w:top w:val="single" w:sz="8" w:color="0563C1"/>
              <w:bottom w:val="single" w:sz="8" w:color="0563C1"/>
            </w:tcBorders>
          </w:tcPr>
          <w:p>
            <w:pPr>
              <w:spacing w:after="0" w:line="169" w:lineRule="exact"/>
              <w:rPr>
                <w:rFonts w:ascii="Times New Roman" w:cs="Times New Roman" w:eastAsia="Times New Roman" w:hAnsi="Times New Roman"/>
                <w:sz w:val="18"/>
                <w:szCs w:val="18"/>
                <w:color w:val="0563C1"/>
                <w:w w:val="99"/>
              </w:rPr>
            </w:pPr>
            <w:hyperlink r:id="rId200">
              <w:r>
                <w:rPr>
                  <w:rFonts w:ascii="Times New Roman" w:cs="Times New Roman" w:eastAsia="Times New Roman" w:hAnsi="Times New Roman"/>
                  <w:sz w:val="18"/>
                  <w:szCs w:val="18"/>
                  <w:color w:val="0563C1"/>
                  <w:w w:val="99"/>
                </w:rPr>
                <w:t>Exchange Commission on August 10, 2022).</w:t>
              </w:r>
            </w:hyperlink>
          </w:p>
        </w:tc>
        <w:tc>
          <w:tcPr>
            <w:tcW w:w="6660" w:type="dxa"/>
            <w:vAlign w:val="bottom"/>
            <w:tcBorders>
              <w:top w:val="single" w:sz="8" w:color="0563C1"/>
            </w:tcBorders>
            <w:gridSpan w:val="13"/>
          </w:tcPr>
          <w:p>
            <w:pPr>
              <w:spacing w:after="0"/>
              <w:rPr>
                <w:sz w:val="14"/>
                <w:szCs w:val="14"/>
                <w:color w:val="auto"/>
              </w:rPr>
            </w:pPr>
          </w:p>
        </w:tc>
        <w:tc>
          <w:tcPr>
            <w:tcW w:w="2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80" w:type="dxa"/>
            <w:vAlign w:val="bottom"/>
            <w:gridSpan w:val="17"/>
          </w:tcPr>
          <w:p>
            <w:pPr>
              <w:spacing w:after="0" w:line="182" w:lineRule="exact"/>
              <w:rPr>
                <w:rFonts w:ascii="Times New Roman" w:cs="Times New Roman" w:eastAsia="Times New Roman" w:hAnsi="Times New Roman"/>
                <w:sz w:val="18"/>
                <w:szCs w:val="18"/>
                <w:color w:val="0563C1"/>
              </w:rPr>
            </w:pPr>
            <w:hyperlink r:id="rId201">
              <w:r>
                <w:rPr>
                  <w:rFonts w:ascii="Times New Roman" w:cs="Times New Roman" w:eastAsia="Times New Roman" w:hAnsi="Times New Roman"/>
                  <w:sz w:val="18"/>
                  <w:szCs w:val="18"/>
                  <w:color w:val="0563C1"/>
                </w:rPr>
                <w:t>Amended and Restated Articles of Incorporation of Gemini Therapeutics, Inc. (incorporated by reference to Annex B to the Registrant’s</w:t>
              </w:r>
            </w:hyperlink>
          </w:p>
        </w:tc>
        <w:tc>
          <w:tcPr>
            <w:tcW w:w="0" w:type="dxa"/>
            <w:vAlign w:val="bottom"/>
          </w:tcPr>
          <w:p>
            <w:pPr>
              <w:spacing w:after="0"/>
              <w:rPr>
                <w:sz w:val="1"/>
                <w:szCs w:val="1"/>
                <w:color w:val="auto"/>
              </w:rPr>
            </w:pPr>
          </w:p>
        </w:tc>
      </w:tr>
      <w:tr>
        <w:trPr>
          <w:trHeight w:val="169"/>
        </w:trPr>
        <w:tc>
          <w:tcPr>
            <w:tcW w:w="940" w:type="dxa"/>
            <w:vAlign w:val="bottom"/>
            <w:vMerge w:val="restart"/>
          </w:tcPr>
          <w:p>
            <w:pPr>
              <w:jc w:val="right"/>
              <w:ind w:right="432"/>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40" w:type="dxa"/>
            <w:vAlign w:val="bottom"/>
            <w:tcBorders>
              <w:top w:val="single" w:sz="8" w:color="0563C1"/>
            </w:tcBorders>
            <w:gridSpan w:val="13"/>
          </w:tcPr>
          <w:p>
            <w:pPr>
              <w:spacing w:after="0" w:line="169" w:lineRule="exact"/>
              <w:rPr>
                <w:rFonts w:ascii="Times New Roman" w:cs="Times New Roman" w:eastAsia="Times New Roman" w:hAnsi="Times New Roman"/>
                <w:sz w:val="18"/>
                <w:szCs w:val="18"/>
                <w:color w:val="0563C1"/>
              </w:rPr>
            </w:pPr>
            <w:hyperlink r:id="rId201">
              <w:r>
                <w:rPr>
                  <w:rFonts w:ascii="Times New Roman" w:cs="Times New Roman" w:eastAsia="Times New Roman" w:hAnsi="Times New Roman"/>
                  <w:sz w:val="18"/>
                  <w:szCs w:val="18"/>
                  <w:color w:val="0563C1"/>
                </w:rPr>
                <w:t>Proxy Statement/Prospectus on Form S-4 (Registration No. 333-249785)).</w:t>
              </w:r>
            </w:hyperlink>
          </w:p>
        </w:tc>
        <w:tc>
          <w:tcPr>
            <w:tcW w:w="32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60" w:type="dxa"/>
            <w:vAlign w:val="bottom"/>
            <w:tcBorders>
              <w:top w:val="single" w:sz="8" w:color="0563C1"/>
            </w:tcBorders>
            <w:gridSpan w:val="4"/>
          </w:tcPr>
          <w:p>
            <w:pPr>
              <w:spacing w:after="0" w:line="182" w:lineRule="exact"/>
              <w:rPr>
                <w:rFonts w:ascii="Times New Roman" w:cs="Times New Roman" w:eastAsia="Times New Roman" w:hAnsi="Times New Roman"/>
                <w:sz w:val="18"/>
                <w:szCs w:val="18"/>
                <w:color w:val="0563C1"/>
                <w:w w:val="97"/>
              </w:rPr>
            </w:pPr>
            <w:hyperlink r:id="rId202">
              <w:r>
                <w:rPr>
                  <w:rFonts w:ascii="Times New Roman" w:cs="Times New Roman" w:eastAsia="Times New Roman" w:hAnsi="Times New Roman"/>
                  <w:sz w:val="18"/>
                  <w:szCs w:val="18"/>
                  <w:color w:val="0563C1"/>
                  <w:w w:val="97"/>
                </w:rPr>
                <w:t>Amended and Restated By-laws of Gemini Therapeutics, Inc. (incorporated</w:t>
              </w:r>
            </w:hyperlink>
          </w:p>
        </w:tc>
        <w:tc>
          <w:tcPr>
            <w:tcW w:w="4820" w:type="dxa"/>
            <w:vAlign w:val="bottom"/>
            <w:gridSpan w:val="13"/>
          </w:tcPr>
          <w:p>
            <w:pPr>
              <w:ind w:left="140"/>
              <w:spacing w:after="0" w:line="182" w:lineRule="exact"/>
              <w:rPr>
                <w:rFonts w:ascii="Times New Roman" w:cs="Times New Roman" w:eastAsia="Times New Roman" w:hAnsi="Times New Roman"/>
                <w:sz w:val="18"/>
                <w:szCs w:val="18"/>
                <w:color w:val="0563C1"/>
              </w:rPr>
            </w:pPr>
            <w:hyperlink r:id="rId202">
              <w:r>
                <w:rPr>
                  <w:rFonts w:ascii="Times New Roman" w:cs="Times New Roman" w:eastAsia="Times New Roman" w:hAnsi="Times New Roman"/>
                  <w:sz w:val="18"/>
                  <w:szCs w:val="18"/>
                  <w:color w:val="0563C1"/>
                </w:rPr>
                <w:t>by reference to Annex C to the Registrant’s Proxy</w:t>
              </w:r>
            </w:hyperlink>
          </w:p>
        </w:tc>
        <w:tc>
          <w:tcPr>
            <w:tcW w:w="0" w:type="dxa"/>
            <w:vAlign w:val="bottom"/>
          </w:tcPr>
          <w:p>
            <w:pPr>
              <w:spacing w:after="0"/>
              <w:rPr>
                <w:sz w:val="1"/>
                <w:szCs w:val="1"/>
                <w:color w:val="auto"/>
              </w:rPr>
            </w:pPr>
          </w:p>
        </w:tc>
      </w:tr>
      <w:tr>
        <w:trPr>
          <w:trHeight w:val="169"/>
        </w:trPr>
        <w:tc>
          <w:tcPr>
            <w:tcW w:w="940" w:type="dxa"/>
            <w:vAlign w:val="bottom"/>
            <w:vMerge w:val="restart"/>
          </w:tcPr>
          <w:p>
            <w:pPr>
              <w:jc w:val="right"/>
              <w:ind w:right="432"/>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80" w:type="dxa"/>
            <w:vAlign w:val="bottom"/>
            <w:tcBorders>
              <w:top w:val="single" w:sz="8" w:color="0563C1"/>
              <w:bottom w:val="single" w:sz="8" w:color="0563C1"/>
            </w:tcBorders>
            <w:gridSpan w:val="2"/>
          </w:tcPr>
          <w:p>
            <w:pPr>
              <w:spacing w:after="0" w:line="169" w:lineRule="exact"/>
              <w:rPr>
                <w:rFonts w:ascii="Times New Roman" w:cs="Times New Roman" w:eastAsia="Times New Roman" w:hAnsi="Times New Roman"/>
                <w:sz w:val="18"/>
                <w:szCs w:val="18"/>
                <w:color w:val="0563C1"/>
                <w:w w:val="99"/>
              </w:rPr>
            </w:pPr>
            <w:hyperlink r:id="rId202">
              <w:r>
                <w:rPr>
                  <w:rFonts w:ascii="Times New Roman" w:cs="Times New Roman" w:eastAsia="Times New Roman" w:hAnsi="Times New Roman"/>
                  <w:sz w:val="18"/>
                  <w:szCs w:val="18"/>
                  <w:color w:val="0563C1"/>
                  <w:w w:val="99"/>
                </w:rPr>
                <w:t>Statement/Prospectus on Form S-4 (Registration No. 333-249785)).</w:t>
              </w:r>
            </w:hyperlink>
          </w:p>
        </w:tc>
        <w:tc>
          <w:tcPr>
            <w:tcW w:w="4260" w:type="dxa"/>
            <w:vAlign w:val="bottom"/>
            <w:tcBorders>
              <w:top w:val="single" w:sz="8" w:color="0563C1"/>
            </w:tcBorders>
            <w:gridSpan w:val="6"/>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80" w:type="dxa"/>
            <w:vAlign w:val="bottom"/>
            <w:gridSpan w:val="17"/>
          </w:tcPr>
          <w:p>
            <w:pPr>
              <w:spacing w:after="0" w:line="182" w:lineRule="exact"/>
              <w:rPr>
                <w:rFonts w:ascii="Times New Roman" w:cs="Times New Roman" w:eastAsia="Times New Roman" w:hAnsi="Times New Roman"/>
                <w:sz w:val="18"/>
                <w:szCs w:val="18"/>
                <w:color w:val="0563C1"/>
              </w:rPr>
            </w:pPr>
            <w:hyperlink r:id="rId203">
              <w:r>
                <w:rPr>
                  <w:rFonts w:ascii="Times New Roman" w:cs="Times New Roman" w:eastAsia="Times New Roman" w:hAnsi="Times New Roman"/>
                  <w:sz w:val="18"/>
                  <w:szCs w:val="18"/>
                  <w:color w:val="0563C1"/>
                </w:rPr>
                <w:t>Form of Specimen Common Stock Certificate (incorporated by reference to Exhibit 4.1 to Form S-4/A (Registration No. 333-249785)).</w:t>
              </w:r>
            </w:hyperlink>
          </w:p>
        </w:tc>
        <w:tc>
          <w:tcPr>
            <w:tcW w:w="0" w:type="dxa"/>
            <w:vAlign w:val="bottom"/>
          </w:tcPr>
          <w:p>
            <w:pPr>
              <w:spacing w:after="0"/>
              <w:rPr>
                <w:sz w:val="1"/>
                <w:szCs w:val="1"/>
                <w:color w:val="auto"/>
              </w:rPr>
            </w:pPr>
          </w:p>
        </w:tc>
      </w:tr>
      <w:tr>
        <w:trPr>
          <w:trHeight w:val="183"/>
        </w:trPr>
        <w:tc>
          <w:tcPr>
            <w:tcW w:w="940" w:type="dxa"/>
            <w:vAlign w:val="bottom"/>
          </w:tcPr>
          <w:p>
            <w:pPr>
              <w:jc w:val="right"/>
              <w:ind w:right="432"/>
              <w:spacing w:after="0" w:line="182"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60" w:type="dxa"/>
            <w:vAlign w:val="bottom"/>
            <w:tcBorders>
              <w:top w:val="single" w:sz="8" w:color="0563C1"/>
            </w:tcBorders>
            <w:gridSpan w:val="12"/>
          </w:tcPr>
          <w:p>
            <w:pPr>
              <w:spacing w:after="0" w:line="182" w:lineRule="exact"/>
              <w:rPr>
                <w:rFonts w:ascii="Times New Roman" w:cs="Times New Roman" w:eastAsia="Times New Roman" w:hAnsi="Times New Roman"/>
                <w:sz w:val="18"/>
                <w:szCs w:val="18"/>
                <w:color w:val="0563C1"/>
              </w:rPr>
            </w:pPr>
            <w:hyperlink r:id="rId204">
              <w:r>
                <w:rPr>
                  <w:rFonts w:ascii="Times New Roman" w:cs="Times New Roman" w:eastAsia="Times New Roman" w:hAnsi="Times New Roman"/>
                  <w:sz w:val="18"/>
                  <w:szCs w:val="18"/>
                  <w:color w:val="0563C1"/>
                </w:rPr>
                <w:t>Registration Rights Agreement, dated February 5, 2021, by and among Gemini Therapeutics, Inc. and the stockholder parties thereto</w:t>
              </w:r>
            </w:hyperlink>
          </w:p>
        </w:tc>
        <w:tc>
          <w:tcPr>
            <w:tcW w:w="4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40" w:type="dxa"/>
            <w:vAlign w:val="bottom"/>
            <w:vMerge w:val="restart"/>
          </w:tcPr>
          <w:p>
            <w:pPr>
              <w:jc w:val="right"/>
              <w:ind w:right="432"/>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0" w:type="dxa"/>
            <w:vAlign w:val="bottom"/>
            <w:tcBorders>
              <w:top w:val="single" w:sz="8" w:color="0563C1"/>
            </w:tcBorders>
            <w:gridSpan w:val="9"/>
          </w:tcPr>
          <w:p>
            <w:pPr>
              <w:spacing w:after="0" w:line="169" w:lineRule="exact"/>
              <w:rPr>
                <w:rFonts w:ascii="Times New Roman" w:cs="Times New Roman" w:eastAsia="Times New Roman" w:hAnsi="Times New Roman"/>
                <w:sz w:val="18"/>
                <w:szCs w:val="18"/>
                <w:color w:val="0563C1"/>
              </w:rPr>
            </w:pPr>
            <w:hyperlink r:id="rId204">
              <w:r>
                <w:rPr>
                  <w:rFonts w:ascii="Times New Roman" w:cs="Times New Roman" w:eastAsia="Times New Roman" w:hAnsi="Times New Roman"/>
                  <w:sz w:val="18"/>
                  <w:szCs w:val="18"/>
                  <w:color w:val="0563C1"/>
                </w:rPr>
                <w:t>(incorporated by reference to Exhibit 10.1 on Form 8-A12B/A filed on February 5, 2021).</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80" w:type="dxa"/>
            <w:vAlign w:val="bottom"/>
            <w:tcBorders>
              <w:top w:val="single" w:sz="8" w:color="0563C1"/>
            </w:tcBorders>
            <w:gridSpan w:val="5"/>
          </w:tcPr>
          <w:p>
            <w:pPr>
              <w:spacing w:after="0" w:line="182" w:lineRule="exact"/>
              <w:rPr>
                <w:rFonts w:ascii="Times New Roman" w:cs="Times New Roman" w:eastAsia="Times New Roman" w:hAnsi="Times New Roman"/>
                <w:sz w:val="18"/>
                <w:szCs w:val="18"/>
                <w:color w:val="0563C1"/>
              </w:rPr>
            </w:pPr>
            <w:hyperlink r:id="rId205">
              <w:r>
                <w:rPr>
                  <w:rFonts w:ascii="Times New Roman" w:cs="Times New Roman" w:eastAsia="Times New Roman" w:hAnsi="Times New Roman"/>
                  <w:sz w:val="18"/>
                  <w:szCs w:val="18"/>
                  <w:color w:val="0563C1"/>
                </w:rPr>
                <w:t>Voting Agreement, dated February 5, 2021, by and among Gemini Therapeutics, Inc. and</w:t>
              </w:r>
            </w:hyperlink>
          </w:p>
        </w:tc>
        <w:tc>
          <w:tcPr>
            <w:tcW w:w="3700" w:type="dxa"/>
            <w:vAlign w:val="bottom"/>
            <w:gridSpan w:val="12"/>
          </w:tcPr>
          <w:p>
            <w:pPr>
              <w:spacing w:after="0" w:line="182" w:lineRule="exact"/>
              <w:rPr>
                <w:rFonts w:ascii="Times New Roman" w:cs="Times New Roman" w:eastAsia="Times New Roman" w:hAnsi="Times New Roman"/>
                <w:sz w:val="18"/>
                <w:szCs w:val="18"/>
                <w:color w:val="0563C1"/>
              </w:rPr>
            </w:pPr>
            <w:hyperlink r:id="rId205">
              <w:r>
                <w:rPr>
                  <w:rFonts w:ascii="Times New Roman" w:cs="Times New Roman" w:eastAsia="Times New Roman" w:hAnsi="Times New Roman"/>
                  <w:sz w:val="18"/>
                  <w:szCs w:val="18"/>
                  <w:color w:val="0563C1"/>
                </w:rPr>
                <w:t>the other parties thereto (incorporated by reference</w:t>
              </w:r>
            </w:hyperlink>
          </w:p>
        </w:tc>
        <w:tc>
          <w:tcPr>
            <w:tcW w:w="0" w:type="dxa"/>
            <w:vAlign w:val="bottom"/>
          </w:tcPr>
          <w:p>
            <w:pPr>
              <w:spacing w:after="0"/>
              <w:rPr>
                <w:sz w:val="1"/>
                <w:szCs w:val="1"/>
                <w:color w:val="auto"/>
              </w:rPr>
            </w:pPr>
          </w:p>
        </w:tc>
      </w:tr>
      <w:tr>
        <w:trPr>
          <w:trHeight w:val="169"/>
        </w:trPr>
        <w:tc>
          <w:tcPr>
            <w:tcW w:w="940" w:type="dxa"/>
            <w:vAlign w:val="bottom"/>
            <w:vMerge w:val="restart"/>
          </w:tcPr>
          <w:p>
            <w:pPr>
              <w:jc w:val="right"/>
              <w:ind w:right="332"/>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60" w:type="dxa"/>
            <w:vAlign w:val="bottom"/>
            <w:tcBorders>
              <w:top w:val="single" w:sz="8" w:color="0563C1"/>
            </w:tcBorders>
            <w:gridSpan w:val="16"/>
          </w:tcPr>
          <w:p>
            <w:pPr>
              <w:spacing w:after="0" w:line="169" w:lineRule="exact"/>
              <w:rPr>
                <w:rFonts w:ascii="Times New Roman" w:cs="Times New Roman" w:eastAsia="Times New Roman" w:hAnsi="Times New Roman"/>
                <w:sz w:val="18"/>
                <w:szCs w:val="18"/>
                <w:color w:val="0563C1"/>
              </w:rPr>
            </w:pPr>
            <w:hyperlink r:id="rId205">
              <w:r>
                <w:rPr>
                  <w:rFonts w:ascii="Times New Roman" w:cs="Times New Roman" w:eastAsia="Times New Roman" w:hAnsi="Times New Roman"/>
                  <w:sz w:val="18"/>
                  <w:szCs w:val="18"/>
                  <w:color w:val="0563C1"/>
                </w:rPr>
                <w:t>to Exhibit 10.2 to the Registrant’s Current Report on Form 8-K filed on February 11, 2021).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20" w:type="dxa"/>
            <w:vAlign w:val="bottom"/>
            <w:tcBorders>
              <w:top w:val="single" w:sz="8" w:color="0563C1"/>
            </w:tcBorders>
            <w:gridSpan w:val="6"/>
          </w:tcPr>
          <w:p>
            <w:pPr>
              <w:spacing w:after="0" w:line="182" w:lineRule="exact"/>
              <w:rPr>
                <w:sz w:val="20"/>
                <w:szCs w:val="20"/>
                <w:color w:val="auto"/>
              </w:rPr>
            </w:pPr>
            <w:r>
              <w:rPr>
                <w:rFonts w:ascii="Times New Roman" w:cs="Times New Roman" w:eastAsia="Times New Roman" w:hAnsi="Times New Roman"/>
                <w:sz w:val="18"/>
                <w:szCs w:val="18"/>
                <w:color w:val="0563C1"/>
                <w:w w:val="98"/>
              </w:rPr>
              <w:t>Certification of Principal Executive Officer Pursuant to Rules 13a-14(a) and 15d-14(a) under</w:t>
            </w:r>
          </w:p>
        </w:tc>
        <w:tc>
          <w:tcPr>
            <w:tcW w:w="3560" w:type="dxa"/>
            <w:vAlign w:val="bottom"/>
            <w:gridSpan w:val="11"/>
          </w:tcPr>
          <w:p>
            <w:pPr>
              <w:ind w:left="120"/>
              <w:spacing w:after="0" w:line="182" w:lineRule="exact"/>
              <w:rPr>
                <w:sz w:val="20"/>
                <w:szCs w:val="20"/>
                <w:color w:val="auto"/>
              </w:rPr>
            </w:pPr>
            <w:r>
              <w:rPr>
                <w:rFonts w:ascii="Times New Roman" w:cs="Times New Roman" w:eastAsia="Times New Roman" w:hAnsi="Times New Roman"/>
                <w:sz w:val="18"/>
                <w:szCs w:val="18"/>
                <w:color w:val="0563C1"/>
              </w:rPr>
              <w:t>the Securities Exchange Act of 1934, as</w:t>
            </w:r>
          </w:p>
        </w:tc>
        <w:tc>
          <w:tcPr>
            <w:tcW w:w="0" w:type="dxa"/>
            <w:vAlign w:val="bottom"/>
          </w:tcPr>
          <w:p>
            <w:pPr>
              <w:spacing w:after="0"/>
              <w:rPr>
                <w:sz w:val="1"/>
                <w:szCs w:val="1"/>
                <w:color w:val="auto"/>
              </w:rPr>
            </w:pPr>
          </w:p>
        </w:tc>
      </w:tr>
      <w:tr>
        <w:trPr>
          <w:trHeight w:val="169"/>
        </w:trPr>
        <w:tc>
          <w:tcPr>
            <w:tcW w:w="940" w:type="dxa"/>
            <w:vAlign w:val="bottom"/>
            <w:vMerge w:val="restart"/>
          </w:tcPr>
          <w:p>
            <w:pPr>
              <w:jc w:val="right"/>
              <w:ind w:right="332"/>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60" w:type="dxa"/>
            <w:vAlign w:val="bottom"/>
            <w:tcBorders>
              <w:top w:val="single" w:sz="8" w:color="0563C1"/>
            </w:tcBorders>
            <w:gridSpan w:val="11"/>
          </w:tcPr>
          <w:p>
            <w:pPr>
              <w:spacing w:after="0" w:line="169" w:lineRule="exact"/>
              <w:rPr>
                <w:sz w:val="20"/>
                <w:szCs w:val="20"/>
                <w:color w:val="auto"/>
              </w:rPr>
            </w:pPr>
            <w:r>
              <w:rPr>
                <w:rFonts w:ascii="Times New Roman" w:cs="Times New Roman" w:eastAsia="Times New Roman" w:hAnsi="Times New Roman"/>
                <w:sz w:val="18"/>
                <w:szCs w:val="18"/>
                <w:color w:val="0563C1"/>
              </w:rPr>
              <w:t>Adopted Pursuant to Section 302 of the Sarbanes-Oxley Act of 2002.</w:t>
            </w:r>
          </w:p>
        </w:tc>
        <w:tc>
          <w:tcPr>
            <w:tcW w:w="5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80" w:type="dxa"/>
            <w:vAlign w:val="bottom"/>
            <w:gridSpan w:val="3"/>
            <w:shd w:val="clear" w:color="auto" w:fill="0563C1"/>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80" w:type="dxa"/>
            <w:vAlign w:val="bottom"/>
            <w:gridSpan w:val="17"/>
          </w:tcPr>
          <w:p>
            <w:pPr>
              <w:spacing w:after="0" w:line="182" w:lineRule="exact"/>
              <w:rPr>
                <w:sz w:val="20"/>
                <w:szCs w:val="20"/>
                <w:color w:val="auto"/>
              </w:rPr>
            </w:pPr>
            <w:r>
              <w:rPr>
                <w:rFonts w:ascii="Times New Roman" w:cs="Times New Roman" w:eastAsia="Times New Roman" w:hAnsi="Times New Roman"/>
                <w:sz w:val="18"/>
                <w:szCs w:val="18"/>
                <w:color w:val="0563C1"/>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69"/>
        </w:trPr>
        <w:tc>
          <w:tcPr>
            <w:tcW w:w="940" w:type="dxa"/>
            <w:vAlign w:val="bottom"/>
            <w:vMerge w:val="restart"/>
          </w:tcPr>
          <w:p>
            <w:pPr>
              <w:jc w:val="right"/>
              <w:ind w:right="332"/>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20" w:type="dxa"/>
            <w:vAlign w:val="bottom"/>
            <w:tcBorders>
              <w:top w:val="single" w:sz="8" w:color="0563C1"/>
            </w:tcBorders>
            <w:gridSpan w:val="10"/>
          </w:tcPr>
          <w:p>
            <w:pPr>
              <w:spacing w:after="0" w:line="169" w:lineRule="exact"/>
              <w:rPr>
                <w:sz w:val="20"/>
                <w:szCs w:val="20"/>
                <w:color w:val="auto"/>
              </w:rPr>
            </w:pPr>
            <w:r>
              <w:rPr>
                <w:rFonts w:ascii="Times New Roman" w:cs="Times New Roman" w:eastAsia="Times New Roman" w:hAnsi="Times New Roman"/>
                <w:sz w:val="18"/>
                <w:szCs w:val="18"/>
                <w:color w:val="0563C1"/>
              </w:rPr>
              <w:t>Adopted Pursuant to Section 302 of the Sarbanes-Oxley Act of 2002.</w:t>
            </w:r>
          </w:p>
        </w:tc>
        <w:tc>
          <w:tcPr>
            <w:tcW w:w="56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80" w:type="dxa"/>
            <w:vAlign w:val="bottom"/>
            <w:gridSpan w:val="3"/>
            <w:shd w:val="clear" w:color="auto" w:fill="0563C1"/>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13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80" w:type="dxa"/>
            <w:vAlign w:val="bottom"/>
            <w:gridSpan w:val="17"/>
          </w:tcPr>
          <w:p>
            <w:pPr>
              <w:spacing w:after="0" w:line="182" w:lineRule="exact"/>
              <w:rPr>
                <w:sz w:val="20"/>
                <w:szCs w:val="20"/>
                <w:color w:val="auto"/>
              </w:rPr>
            </w:pPr>
            <w:r>
              <w:rPr>
                <w:rFonts w:ascii="Times New Roman" w:cs="Times New Roman" w:eastAsia="Times New Roman" w:hAnsi="Times New Roman"/>
                <w:sz w:val="18"/>
                <w:szCs w:val="18"/>
                <w:color w:val="0563C1"/>
              </w:rPr>
              <w:t>Certifications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40" w:type="dxa"/>
            <w:vAlign w:val="bottom"/>
            <w:gridSpan w:val="7"/>
            <w:shd w:val="clear" w:color="auto" w:fill="0563C1"/>
          </w:tcPr>
          <w:p>
            <w:pPr>
              <w:spacing w:after="0" w:line="20" w:lineRule="exact"/>
              <w:rPr>
                <w:sz w:val="1"/>
                <w:szCs w:val="1"/>
                <w:color w:val="auto"/>
              </w:rPr>
            </w:pPr>
          </w:p>
        </w:tc>
        <w:tc>
          <w:tcPr>
            <w:tcW w:w="13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03"/>
        </w:trPr>
        <w:tc>
          <w:tcPr>
            <w:tcW w:w="9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03"/>
        </w:trPr>
        <w:tc>
          <w:tcPr>
            <w:tcW w:w="9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101.CAL*</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03"/>
        </w:trPr>
        <w:tc>
          <w:tcPr>
            <w:tcW w:w="9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101.DEF*</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03"/>
        </w:trPr>
        <w:tc>
          <w:tcPr>
            <w:tcW w:w="9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101.LAB*</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03"/>
        </w:trPr>
        <w:tc>
          <w:tcPr>
            <w:tcW w:w="9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101.PRE*</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4"/>
        </w:trPr>
        <w:tc>
          <w:tcPr>
            <w:tcW w:w="9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95123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6">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ind w:right="300" w:firstLine="8"/>
        <w:spacing w:after="0" w:line="239" w:lineRule="auto"/>
        <w:tabs>
          <w:tab w:leader="none" w:pos="14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198" w:lineRule="exact"/>
        <w:rPr>
          <w:sz w:val="20"/>
          <w:szCs w:val="20"/>
          <w:color w:val="auto"/>
        </w:rPr>
      </w:pPr>
    </w:p>
    <w:p>
      <w:pPr>
        <w:ind w:left="20"/>
        <w:spacing w:after="0"/>
        <w:tabs>
          <w:tab w:leader="none" w:pos="5680" w:val="left"/>
          <w:tab w:leader="none" w:pos="7860" w:val="left"/>
        </w:tabs>
        <w:rPr>
          <w:sz w:val="20"/>
          <w:szCs w:val="20"/>
          <w:color w:val="auto"/>
        </w:rPr>
      </w:pPr>
      <w:r>
        <w:rPr>
          <w:rFonts w:ascii="Times New Roman" w:cs="Times New Roman" w:eastAsia="Times New Roman" w:hAnsi="Times New Roman"/>
          <w:sz w:val="18"/>
          <w:szCs w:val="18"/>
          <w:color w:val="auto"/>
        </w:rPr>
        <w:t>Date: August 11,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Georges Gemayel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b w:val="1"/>
          <w:bCs w:val="1"/>
          <w:color w:val="auto"/>
        </w:rPr>
        <w:t>Dr. Georges Gemayel</w:t>
      </w:r>
    </w:p>
    <w:p>
      <w:pPr>
        <w:ind w:left="6860"/>
        <w:spacing w:after="0" w:line="219" w:lineRule="auto"/>
        <w:rPr>
          <w:sz w:val="20"/>
          <w:szCs w:val="20"/>
          <w:color w:val="auto"/>
        </w:rPr>
      </w:pPr>
      <w:r>
        <w:rPr>
          <w:rFonts w:ascii="Times New Roman" w:cs="Times New Roman" w:eastAsia="Times New Roman" w:hAnsi="Times New Roman"/>
          <w:sz w:val="18"/>
          <w:szCs w:val="18"/>
          <w:b w:val="1"/>
          <w:bCs w:val="1"/>
          <w:color w:val="auto"/>
        </w:rPr>
        <w:t>Interim President and Chief Executive Officer</w:t>
      </w:r>
    </w:p>
    <w:p>
      <w:pPr>
        <w:ind w:left="75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178" w:lineRule="exact"/>
        <w:rPr>
          <w:sz w:val="20"/>
          <w:szCs w:val="20"/>
          <w:color w:val="auto"/>
        </w:rPr>
      </w:pPr>
    </w:p>
    <w:p>
      <w:pPr>
        <w:ind w:left="20"/>
        <w:spacing w:after="0"/>
        <w:tabs>
          <w:tab w:leader="none" w:pos="5680" w:val="left"/>
          <w:tab w:leader="none" w:pos="8040" w:val="left"/>
        </w:tabs>
        <w:rPr>
          <w:sz w:val="20"/>
          <w:szCs w:val="20"/>
          <w:color w:val="auto"/>
        </w:rPr>
      </w:pPr>
      <w:r>
        <w:rPr>
          <w:rFonts w:ascii="Times New Roman" w:cs="Times New Roman" w:eastAsia="Times New Roman" w:hAnsi="Times New Roman"/>
          <w:sz w:val="18"/>
          <w:szCs w:val="18"/>
          <w:color w:val="auto"/>
        </w:rPr>
        <w:t>Date: August 11,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Piekos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Brian Piekos</w:t>
      </w:r>
    </w:p>
    <w:p>
      <w:pPr>
        <w:jc w:val="center"/>
        <w:ind w:left="6020"/>
        <w:spacing w:after="0" w:line="234" w:lineRule="auto"/>
        <w:rPr>
          <w:sz w:val="20"/>
          <w:szCs w:val="20"/>
          <w:color w:val="auto"/>
        </w:rPr>
      </w:pPr>
      <w:r>
        <w:rPr>
          <w:rFonts w:ascii="Times New Roman" w:cs="Times New Roman" w:eastAsia="Times New Roman" w:hAnsi="Times New Roman"/>
          <w:sz w:val="18"/>
          <w:szCs w:val="18"/>
          <w:b w:val="1"/>
          <w:bCs w:val="1"/>
          <w:color w:val="auto"/>
        </w:rPr>
        <w:t>Chief Financial Officer and Chief Business Officer</w:t>
      </w:r>
    </w:p>
    <w:p>
      <w:pPr>
        <w:spacing w:after="0" w:line="1"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0" w:name="page41"/>
    <w:bookmarkEnd w:id="40"/>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ind w:right="40"/>
        <w:spacing w:after="0" w:line="271"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 13a-14(a) / RULE 15d-14(a) OF THE SECURITIES EXCHANGE ACT OF 1934, AS AMENDED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Georges Gemayel, Ph.D., certify that:</w:t>
      </w:r>
    </w:p>
    <w:p>
      <w:pPr>
        <w:spacing w:after="0" w:line="225" w:lineRule="exact"/>
        <w:rPr>
          <w:sz w:val="20"/>
          <w:szCs w:val="20"/>
          <w:color w:val="auto"/>
        </w:rPr>
      </w:pPr>
    </w:p>
    <w:p>
      <w:pPr>
        <w:ind w:left="560" w:hanging="552"/>
        <w:spacing w:after="0"/>
        <w:tabs>
          <w:tab w:leader="none" w:pos="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Gemini Therapeutics, Inc.;</w:t>
      </w:r>
    </w:p>
    <w:p>
      <w:pPr>
        <w:spacing w:after="0" w:line="117" w:lineRule="exact"/>
        <w:rPr>
          <w:rFonts w:ascii="Times New Roman" w:cs="Times New Roman" w:eastAsia="Times New Roman" w:hAnsi="Times New Roman"/>
          <w:sz w:val="18"/>
          <w:szCs w:val="18"/>
          <w:color w:val="auto"/>
        </w:rPr>
      </w:pPr>
    </w:p>
    <w:p>
      <w:pPr>
        <w:jc w:val="both"/>
        <w:ind w:left="560" w:right="200" w:hanging="552"/>
        <w:spacing w:after="0" w:line="289" w:lineRule="auto"/>
        <w:tabs>
          <w:tab w:leader="none" w:pos="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Times New Roman" w:cs="Times New Roman" w:eastAsia="Times New Roman" w:hAnsi="Times New Roman"/>
          <w:sz w:val="18"/>
          <w:szCs w:val="18"/>
          <w:color w:val="auto"/>
        </w:rPr>
      </w:pPr>
    </w:p>
    <w:p>
      <w:pPr>
        <w:ind w:left="560" w:right="160" w:hanging="552"/>
        <w:spacing w:after="0" w:line="297" w:lineRule="auto"/>
        <w:tabs>
          <w:tab w:leader="none" w:pos="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Times New Roman" w:cs="Times New Roman" w:eastAsia="Times New Roman" w:hAnsi="Times New Roman"/>
          <w:sz w:val="18"/>
          <w:szCs w:val="18"/>
          <w:color w:val="auto"/>
        </w:rPr>
      </w:pPr>
    </w:p>
    <w:p>
      <w:pPr>
        <w:jc w:val="both"/>
        <w:ind w:left="560" w:right="200" w:hanging="552"/>
        <w:spacing w:after="0" w:line="289" w:lineRule="auto"/>
        <w:tabs>
          <w:tab w:leader="none" w:pos="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Times New Roman" w:cs="Times New Roman" w:eastAsia="Times New Roman" w:hAnsi="Times New Roman"/>
          <w:sz w:val="18"/>
          <w:szCs w:val="18"/>
          <w:color w:val="auto"/>
        </w:rPr>
      </w:pPr>
    </w:p>
    <w:p>
      <w:pPr>
        <w:ind w:left="1500" w:right="140" w:hanging="556"/>
        <w:spacing w:after="0" w:line="289" w:lineRule="auto"/>
        <w:tabs>
          <w:tab w:leader="none" w:pos="15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Times New Roman" w:cs="Times New Roman" w:eastAsia="Times New Roman" w:hAnsi="Times New Roman"/>
          <w:sz w:val="18"/>
          <w:szCs w:val="18"/>
          <w:color w:val="auto"/>
        </w:rPr>
      </w:pPr>
    </w:p>
    <w:p>
      <w:pPr>
        <w:ind w:left="1500" w:right="200" w:hanging="556"/>
        <w:spacing w:after="0" w:line="289" w:lineRule="auto"/>
        <w:tabs>
          <w:tab w:leader="none" w:pos="15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Times New Roman" w:cs="Times New Roman" w:eastAsia="Times New Roman" w:hAnsi="Times New Roman"/>
          <w:sz w:val="18"/>
          <w:szCs w:val="18"/>
          <w:color w:val="auto"/>
        </w:rPr>
      </w:pPr>
    </w:p>
    <w:p>
      <w:pPr>
        <w:jc w:val="both"/>
        <w:ind w:left="1500" w:hanging="556"/>
        <w:spacing w:after="0" w:line="297" w:lineRule="auto"/>
        <w:tabs>
          <w:tab w:leader="none" w:pos="15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Times New Roman" w:cs="Times New Roman" w:eastAsia="Times New Roman" w:hAnsi="Times New Roman"/>
          <w:sz w:val="18"/>
          <w:szCs w:val="18"/>
          <w:color w:val="auto"/>
        </w:rPr>
      </w:pPr>
    </w:p>
    <w:p>
      <w:pPr>
        <w:ind w:left="1500" w:hanging="556"/>
        <w:spacing w:after="0" w:line="289" w:lineRule="auto"/>
        <w:tabs>
          <w:tab w:leader="none" w:pos="15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Times New Roman" w:cs="Times New Roman" w:eastAsia="Times New Roman" w:hAnsi="Times New Roman"/>
          <w:sz w:val="18"/>
          <w:szCs w:val="18"/>
          <w:color w:val="auto"/>
        </w:rPr>
      </w:pPr>
    </w:p>
    <w:p>
      <w:pPr>
        <w:ind w:left="560" w:right="160" w:hanging="552"/>
        <w:spacing w:after="0" w:line="297" w:lineRule="auto"/>
        <w:tabs>
          <w:tab w:leader="none" w:pos="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Times New Roman" w:cs="Times New Roman" w:eastAsia="Times New Roman" w:hAnsi="Times New Roman"/>
          <w:sz w:val="18"/>
          <w:szCs w:val="18"/>
          <w:color w:val="auto"/>
        </w:rPr>
      </w:pPr>
    </w:p>
    <w:p>
      <w:pPr>
        <w:ind w:left="1500" w:right="260" w:hanging="556"/>
        <w:spacing w:after="0" w:line="313" w:lineRule="auto"/>
        <w:tabs>
          <w:tab w:leader="none" w:pos="15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1500" w:hanging="556"/>
        <w:spacing w:after="0" w:line="313" w:lineRule="auto"/>
        <w:tabs>
          <w:tab w:leader="none" w:pos="15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Date: August 11, 2022</w:t>
      </w:r>
    </w:p>
    <w:p>
      <w:pPr>
        <w:spacing w:after="0" w:line="23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/s/ Georges Gemayel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17145</wp:posOffset>
            </wp:positionV>
            <wp:extent cx="41148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1">
                      <a:extLst>
                        <a:ext uri="{28A0092B-C50C-407E-A947-70E740481C1C}"/>
                      </a:extLst>
                    </a:blip>
                    <a:srcRect/>
                    <a:stretch>
                      <a:fillRect/>
                    </a:stretch>
                  </pic:blipFill>
                  <pic:spPr bwMode="auto">
                    <a:xfrm>
                      <a:off x="0" y="0"/>
                      <a:ext cx="4114800" cy="8890"/>
                    </a:xfrm>
                    <a:prstGeom prst="rect">
                      <a:avLst/>
                    </a:prstGeom>
                    <a:noFill/>
                  </pic:spPr>
                </pic:pic>
              </a:graphicData>
            </a:graphic>
          </wp:anchor>
        </w:drawing>
      </w:r>
    </w:p>
    <w:p>
      <w:pPr>
        <w:spacing w:after="0" w:line="53"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b w:val="1"/>
          <w:bCs w:val="1"/>
          <w:color w:val="auto"/>
        </w:rPr>
        <w:t>Dr. Georges Gemayel</w:t>
      </w:r>
    </w:p>
    <w:p>
      <w:pPr>
        <w:spacing w:after="0" w:line="31" w:lineRule="exact"/>
        <w:rPr>
          <w:sz w:val="20"/>
          <w:szCs w:val="20"/>
          <w:color w:val="auto"/>
        </w:rPr>
      </w:pPr>
    </w:p>
    <w:p>
      <w:pPr>
        <w:jc w:val="center"/>
        <w:ind w:left="4720"/>
        <w:spacing w:after="0"/>
        <w:rPr>
          <w:sz w:val="20"/>
          <w:szCs w:val="20"/>
          <w:color w:val="auto"/>
        </w:rPr>
      </w:pPr>
      <w:r>
        <w:rPr>
          <w:rFonts w:ascii="Times New Roman" w:cs="Times New Roman" w:eastAsia="Times New Roman" w:hAnsi="Times New Roman"/>
          <w:sz w:val="18"/>
          <w:szCs w:val="18"/>
          <w:b w:val="1"/>
          <w:bCs w:val="1"/>
          <w:color w:val="auto"/>
        </w:rPr>
        <w:t>Interim President and Chief Executive Officer and Executive Chairman</w:t>
      </w:r>
    </w:p>
    <w:p>
      <w:pPr>
        <w:spacing w:after="0" w:line="9" w:lineRule="exact"/>
        <w:rPr>
          <w:sz w:val="20"/>
          <w:szCs w:val="20"/>
          <w:color w:val="auto"/>
        </w:rPr>
      </w:pPr>
    </w:p>
    <w:p>
      <w:pPr>
        <w:jc w:val="center"/>
        <w:ind w:left="47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1" w:name="page42"/>
    <w:bookmarkEnd w:id="41"/>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ind w:right="40"/>
        <w:spacing w:after="0" w:line="271"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 13a-14(a) / RULE 15d-14(a) OF THE SECURITIES EXCHANGE ACT OF 1934, AS AMENDED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Piekos, certify that:</w:t>
      </w:r>
    </w:p>
    <w:p>
      <w:pPr>
        <w:spacing w:after="0" w:line="225" w:lineRule="exact"/>
        <w:rPr>
          <w:sz w:val="20"/>
          <w:szCs w:val="20"/>
          <w:color w:val="auto"/>
        </w:rPr>
      </w:pPr>
    </w:p>
    <w:p>
      <w:pPr>
        <w:ind w:left="560" w:hanging="552"/>
        <w:spacing w:after="0"/>
        <w:tabs>
          <w:tab w:leader="none" w:pos="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Gemini Therapeutics, Inc.;</w:t>
      </w:r>
    </w:p>
    <w:p>
      <w:pPr>
        <w:spacing w:after="0" w:line="117" w:lineRule="exact"/>
        <w:rPr>
          <w:rFonts w:ascii="Times New Roman" w:cs="Times New Roman" w:eastAsia="Times New Roman" w:hAnsi="Times New Roman"/>
          <w:sz w:val="18"/>
          <w:szCs w:val="18"/>
          <w:color w:val="auto"/>
        </w:rPr>
      </w:pPr>
    </w:p>
    <w:p>
      <w:pPr>
        <w:jc w:val="both"/>
        <w:ind w:left="560" w:right="200" w:hanging="552"/>
        <w:spacing w:after="0" w:line="289" w:lineRule="auto"/>
        <w:tabs>
          <w:tab w:leader="none" w:pos="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Times New Roman" w:cs="Times New Roman" w:eastAsia="Times New Roman" w:hAnsi="Times New Roman"/>
          <w:sz w:val="18"/>
          <w:szCs w:val="18"/>
          <w:color w:val="auto"/>
        </w:rPr>
      </w:pPr>
    </w:p>
    <w:p>
      <w:pPr>
        <w:ind w:left="560" w:right="160" w:hanging="552"/>
        <w:spacing w:after="0" w:line="297" w:lineRule="auto"/>
        <w:tabs>
          <w:tab w:leader="none" w:pos="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Times New Roman" w:cs="Times New Roman" w:eastAsia="Times New Roman" w:hAnsi="Times New Roman"/>
          <w:sz w:val="18"/>
          <w:szCs w:val="18"/>
          <w:color w:val="auto"/>
        </w:rPr>
      </w:pPr>
    </w:p>
    <w:p>
      <w:pPr>
        <w:jc w:val="both"/>
        <w:ind w:left="560" w:right="200" w:hanging="552"/>
        <w:spacing w:after="0" w:line="289" w:lineRule="auto"/>
        <w:tabs>
          <w:tab w:leader="none" w:pos="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Times New Roman" w:cs="Times New Roman" w:eastAsia="Times New Roman" w:hAnsi="Times New Roman"/>
          <w:sz w:val="18"/>
          <w:szCs w:val="18"/>
          <w:color w:val="auto"/>
        </w:rPr>
      </w:pPr>
    </w:p>
    <w:p>
      <w:pPr>
        <w:ind w:left="1500" w:right="140" w:hanging="556"/>
        <w:spacing w:after="0" w:line="289" w:lineRule="auto"/>
        <w:tabs>
          <w:tab w:leader="none" w:pos="15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Times New Roman" w:cs="Times New Roman" w:eastAsia="Times New Roman" w:hAnsi="Times New Roman"/>
          <w:sz w:val="18"/>
          <w:szCs w:val="18"/>
          <w:color w:val="auto"/>
        </w:rPr>
      </w:pPr>
    </w:p>
    <w:p>
      <w:pPr>
        <w:ind w:left="1500" w:right="200" w:hanging="556"/>
        <w:spacing w:after="0" w:line="289" w:lineRule="auto"/>
        <w:tabs>
          <w:tab w:leader="none" w:pos="15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Times New Roman" w:cs="Times New Roman" w:eastAsia="Times New Roman" w:hAnsi="Times New Roman"/>
          <w:sz w:val="18"/>
          <w:szCs w:val="18"/>
          <w:color w:val="auto"/>
        </w:rPr>
      </w:pPr>
    </w:p>
    <w:p>
      <w:pPr>
        <w:jc w:val="both"/>
        <w:ind w:left="1500" w:hanging="556"/>
        <w:spacing w:after="0" w:line="344" w:lineRule="auto"/>
        <w:tabs>
          <w:tab w:leader="none" w:pos="15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 w:lineRule="exact"/>
        <w:rPr>
          <w:rFonts w:ascii="Times New Roman" w:cs="Times New Roman" w:eastAsia="Times New Roman" w:hAnsi="Times New Roman"/>
          <w:sz w:val="18"/>
          <w:szCs w:val="18"/>
          <w:color w:val="auto"/>
        </w:rPr>
      </w:pPr>
    </w:p>
    <w:p>
      <w:pPr>
        <w:ind w:left="1500" w:hanging="556"/>
        <w:spacing w:after="0" w:line="297" w:lineRule="auto"/>
        <w:tabs>
          <w:tab w:leader="none" w:pos="15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Times New Roman" w:cs="Times New Roman" w:eastAsia="Times New Roman" w:hAnsi="Times New Roman"/>
          <w:sz w:val="18"/>
          <w:szCs w:val="18"/>
          <w:color w:val="auto"/>
        </w:rPr>
      </w:pPr>
    </w:p>
    <w:p>
      <w:pPr>
        <w:ind w:left="560" w:right="160" w:hanging="552"/>
        <w:spacing w:after="0" w:line="313" w:lineRule="auto"/>
        <w:tabs>
          <w:tab w:leader="none" w:pos="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500" w:right="260" w:hanging="556"/>
        <w:spacing w:after="0" w:line="297" w:lineRule="auto"/>
        <w:tabs>
          <w:tab w:leader="none" w:pos="15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Times New Roman" w:cs="Times New Roman" w:eastAsia="Times New Roman" w:hAnsi="Times New Roman"/>
          <w:sz w:val="18"/>
          <w:szCs w:val="18"/>
          <w:color w:val="auto"/>
        </w:rPr>
      </w:pPr>
    </w:p>
    <w:p>
      <w:pPr>
        <w:ind w:left="1500" w:right="540" w:hanging="556"/>
        <w:spacing w:after="0" w:line="297" w:lineRule="auto"/>
        <w:tabs>
          <w:tab w:leader="none" w:pos="15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0"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Date: August 11, 2022</w:t>
      </w:r>
    </w:p>
    <w:p>
      <w:pPr>
        <w:spacing w:after="0" w:line="239"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8"/>
          <w:szCs w:val="18"/>
          <w:color w:val="auto"/>
        </w:rPr>
        <w:t>/s/ Brian Piekos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43180</wp:posOffset>
            </wp:positionV>
            <wp:extent cx="29057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3">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161"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b w:val="1"/>
          <w:bCs w:val="1"/>
          <w:color w:val="auto"/>
        </w:rPr>
        <w:t>Brian Piekos</w:t>
      </w:r>
    </w:p>
    <w:p>
      <w:pPr>
        <w:spacing w:after="0" w:line="31"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b w:val="1"/>
          <w:bCs w:val="1"/>
          <w:color w:val="auto"/>
        </w:rPr>
        <w:t>Chief Financial Officer and Chief Business Officer</w:t>
      </w:r>
    </w:p>
    <w:p>
      <w:pPr>
        <w:spacing w:after="0" w:line="9"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In connection with the Quarterly Report of Gemini Therapeutics, Inc. (the “Company”) on Form 10-Q for the period ending June 30, 2022 as filed with the Securities and Exchange Commission on the date hereof (the “Report”), the undersigned officers of the Company hereby certify, pursuant to 18 U.S.C. Section 1350, as adopted pursuant to Section 906 of the Sarbanes-Oxley Act of 2002, to my knowledge, that:</w:t>
      </w:r>
    </w:p>
    <w:p>
      <w:pPr>
        <w:spacing w:after="0" w:line="62" w:lineRule="exact"/>
        <w:rPr>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40"/>
        <w:spacing w:after="0"/>
        <w:tabs>
          <w:tab w:leader="none" w:pos="3940" w:val="left"/>
          <w:tab w:leader="none" w:pos="7100" w:val="left"/>
        </w:tabs>
        <w:rPr>
          <w:sz w:val="20"/>
          <w:szCs w:val="20"/>
          <w:color w:val="auto"/>
        </w:rPr>
      </w:pPr>
      <w:r>
        <w:rPr>
          <w:rFonts w:ascii="Times New Roman" w:cs="Times New Roman" w:eastAsia="Times New Roman" w:hAnsi="Times New Roman"/>
          <w:sz w:val="35"/>
          <w:szCs w:val="35"/>
          <w:color w:val="auto"/>
          <w:vertAlign w:val="superscript"/>
        </w:rPr>
        <w:t>Date: August 11,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Georges Gemayel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-8890</wp:posOffset>
            </wp:positionV>
            <wp:extent cx="42773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5">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jc w:val="center"/>
        <w:ind w:left="4480"/>
        <w:spacing w:after="0"/>
        <w:rPr>
          <w:sz w:val="20"/>
          <w:szCs w:val="20"/>
          <w:color w:val="auto"/>
        </w:rPr>
      </w:pPr>
      <w:r>
        <w:rPr>
          <w:rFonts w:ascii="Times New Roman" w:cs="Times New Roman" w:eastAsia="Times New Roman" w:hAnsi="Times New Roman"/>
          <w:sz w:val="18"/>
          <w:szCs w:val="18"/>
          <w:b w:val="1"/>
          <w:bCs w:val="1"/>
          <w:color w:val="auto"/>
        </w:rPr>
        <w:t>Dr. Georges Gemayel</w:t>
      </w:r>
    </w:p>
    <w:p>
      <w:pPr>
        <w:spacing w:after="0" w:line="7" w:lineRule="exact"/>
        <w:rPr>
          <w:sz w:val="20"/>
          <w:szCs w:val="20"/>
          <w:color w:val="auto"/>
        </w:rPr>
      </w:pPr>
    </w:p>
    <w:p>
      <w:pPr>
        <w:jc w:val="center"/>
        <w:ind w:left="4480"/>
        <w:spacing w:after="0"/>
        <w:rPr>
          <w:sz w:val="20"/>
          <w:szCs w:val="20"/>
          <w:color w:val="auto"/>
        </w:rPr>
      </w:pPr>
      <w:r>
        <w:rPr>
          <w:rFonts w:ascii="Times New Roman" w:cs="Times New Roman" w:eastAsia="Times New Roman" w:hAnsi="Times New Roman"/>
          <w:sz w:val="18"/>
          <w:szCs w:val="18"/>
          <w:b w:val="1"/>
          <w:bCs w:val="1"/>
          <w:color w:val="auto"/>
        </w:rPr>
        <w:t>Interim President and Chief Executive Officer and Executive Chairman</w:t>
      </w:r>
    </w:p>
    <w:p>
      <w:pPr>
        <w:spacing w:after="0" w:line="9" w:lineRule="exact"/>
        <w:rPr>
          <w:sz w:val="20"/>
          <w:szCs w:val="20"/>
          <w:color w:val="auto"/>
        </w:rPr>
      </w:pPr>
    </w:p>
    <w:p>
      <w:pPr>
        <w:jc w:val="center"/>
        <w:ind w:left="448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369" w:lineRule="exact"/>
        <w:rPr>
          <w:sz w:val="20"/>
          <w:szCs w:val="20"/>
          <w:color w:val="auto"/>
        </w:rPr>
      </w:pPr>
    </w:p>
    <w:p>
      <w:pPr>
        <w:ind w:left="140"/>
        <w:spacing w:after="0"/>
        <w:tabs>
          <w:tab w:leader="none" w:pos="3940" w:val="left"/>
          <w:tab w:leader="none" w:pos="7280" w:val="left"/>
        </w:tabs>
        <w:rPr>
          <w:sz w:val="20"/>
          <w:szCs w:val="20"/>
          <w:color w:val="auto"/>
        </w:rPr>
      </w:pPr>
      <w:r>
        <w:rPr>
          <w:rFonts w:ascii="Times New Roman" w:cs="Times New Roman" w:eastAsia="Times New Roman" w:hAnsi="Times New Roman"/>
          <w:sz w:val="18"/>
          <w:szCs w:val="18"/>
          <w:color w:val="auto"/>
        </w:rPr>
        <w:t>Date: August 11,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Piekos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17145</wp:posOffset>
            </wp:positionV>
            <wp:extent cx="42773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6">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7" w:lineRule="exact"/>
        <w:rPr>
          <w:sz w:val="20"/>
          <w:szCs w:val="20"/>
          <w:color w:val="auto"/>
        </w:rPr>
      </w:pPr>
    </w:p>
    <w:p>
      <w:pPr>
        <w:jc w:val="center"/>
        <w:ind w:left="4480"/>
        <w:spacing w:after="0"/>
        <w:rPr>
          <w:sz w:val="20"/>
          <w:szCs w:val="20"/>
          <w:color w:val="auto"/>
        </w:rPr>
      </w:pPr>
      <w:r>
        <w:rPr>
          <w:rFonts w:ascii="Times New Roman" w:cs="Times New Roman" w:eastAsia="Times New Roman" w:hAnsi="Times New Roman"/>
          <w:sz w:val="18"/>
          <w:szCs w:val="18"/>
          <w:b w:val="1"/>
          <w:bCs w:val="1"/>
          <w:color w:val="auto"/>
        </w:rPr>
        <w:t>Brian Piekos</w:t>
      </w:r>
    </w:p>
    <w:p>
      <w:pPr>
        <w:spacing w:after="0" w:line="23" w:lineRule="exact"/>
        <w:rPr>
          <w:sz w:val="20"/>
          <w:szCs w:val="20"/>
          <w:color w:val="auto"/>
        </w:rPr>
      </w:pPr>
    </w:p>
    <w:p>
      <w:pPr>
        <w:jc w:val="center"/>
        <w:ind w:left="4480"/>
        <w:spacing w:after="0"/>
        <w:rPr>
          <w:sz w:val="20"/>
          <w:szCs w:val="20"/>
          <w:color w:val="auto"/>
        </w:rPr>
      </w:pPr>
      <w:r>
        <w:rPr>
          <w:rFonts w:ascii="Times New Roman" w:cs="Times New Roman" w:eastAsia="Times New Roman" w:hAnsi="Times New Roman"/>
          <w:sz w:val="18"/>
          <w:szCs w:val="18"/>
          <w:b w:val="1"/>
          <w:bCs w:val="1"/>
          <w:color w:val="auto"/>
        </w:rPr>
        <w:t>Chief Financial Officer and Chief Business Officer</w:t>
      </w:r>
    </w:p>
    <w:p>
      <w:pPr>
        <w:spacing w:after="0" w:line="9" w:lineRule="exact"/>
        <w:rPr>
          <w:sz w:val="20"/>
          <w:szCs w:val="20"/>
          <w:color w:val="auto"/>
        </w:rPr>
      </w:pPr>
    </w:p>
    <w:p>
      <w:pPr>
        <w:jc w:val="center"/>
        <w:ind w:left="448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20" w:lineRule="exact"/>
        <w:rPr>
          <w:sz w:val="20"/>
          <w:szCs w:val="20"/>
          <w:color w:val="auto"/>
        </w:rPr>
      </w:pPr>
    </w:p>
    <w:p>
      <w:pPr>
        <w:jc w:val="both"/>
        <w:ind w:left="260" w:hanging="252"/>
        <w:spacing w:after="0" w:line="289" w:lineRule="auto"/>
        <w:tabs>
          <w:tab w:leader="none" w:pos="3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304165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3" w:name="page44"/>
    <w:bookmarkEnd w:id="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1."/>
      <w:numFmt w:val="decimal"/>
      <w:start w:val="3"/>
    </w:lvl>
  </w:abstractNum>
  <w:abstractNum w:abstractNumId="6">
    <w:nsid w:val="41A7C4C9"/>
    <w:multiLevelType w:val="hybridMultilevel"/>
    <w:lvl w:ilvl="0">
      <w:lvlJc w:val="left"/>
      <w:lvlText w:val="%1."/>
      <w:numFmt w:val="decimal"/>
      <w:start w:val="12"/>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lowerLetter"/>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6" Type="http://schemas.openxmlformats.org/officeDocument/2006/relationships/image" Target="media/image193.png"/><Relationship Id="rId207" Type="http://schemas.openxmlformats.org/officeDocument/2006/relationships/image" Target="media/image194.png"/><Relationship Id="rId208" Type="http://schemas.openxmlformats.org/officeDocument/2006/relationships/image" Target="media/image195.png"/><Relationship Id="rId209" Type="http://schemas.openxmlformats.org/officeDocument/2006/relationships/image" Target="media/image196.png"/><Relationship Id="rId210" Type="http://schemas.openxmlformats.org/officeDocument/2006/relationships/image" Target="media/image197.png"/><Relationship Id="rId211" Type="http://schemas.openxmlformats.org/officeDocument/2006/relationships/image" Target="media/image198.png"/><Relationship Id="rId212" Type="http://schemas.openxmlformats.org/officeDocument/2006/relationships/image" Target="media/image199.png"/><Relationship Id="rId213" Type="http://schemas.openxmlformats.org/officeDocument/2006/relationships/image" Target="media/image200.png"/><Relationship Id="rId214" Type="http://schemas.openxmlformats.org/officeDocument/2006/relationships/image" Target="media/image201.png"/><Relationship Id="rId215" Type="http://schemas.openxmlformats.org/officeDocument/2006/relationships/image" Target="media/image202.png"/><Relationship Id="rId216" Type="http://schemas.openxmlformats.org/officeDocument/2006/relationships/image" Target="media/image203.png"/><Relationship Id="rId217" Type="http://schemas.openxmlformats.org/officeDocument/2006/relationships/image" Target="media/image204.png"/><Relationship Id="rId200" Type="http://schemas.openxmlformats.org/officeDocument/2006/relationships/hyperlink" Target="https://www.sec.gov/Archives/edgar/data/0001816736/000119312522216814/d94880dex21.htm" TargetMode="External"/><Relationship Id="rId201" Type="http://schemas.openxmlformats.org/officeDocument/2006/relationships/hyperlink" Target="https://www.sec.gov/Archives/edgar/data/0001816736/000121390021002636/fs42021a5_fsdevelopment.htm#T52" TargetMode="External"/><Relationship Id="rId202" Type="http://schemas.openxmlformats.org/officeDocument/2006/relationships/hyperlink" Target="https://www.sec.gov/Archives/edgar/data/0001816736/000121390021002636/fs42021a5_fsdevelopment.htm#T53" TargetMode="External"/><Relationship Id="rId203" Type="http://schemas.openxmlformats.org/officeDocument/2006/relationships/hyperlink" Target="https://www.sec.gov/Archives/edgar/data/1816736/000121390021002636/fs42021a5ex4-1_fsdevelop.htm" TargetMode="External"/><Relationship Id="rId204" Type="http://schemas.openxmlformats.org/officeDocument/2006/relationships/hyperlink" Target="https://www.sec.gov/Archives/edgar/data/0001816736/000121390021007091/ea134758ex10-1_gemini.htm" TargetMode="External"/><Relationship Id="rId205" Type="http://schemas.openxmlformats.org/officeDocument/2006/relationships/hyperlink" Target="https://www.sec.gov/Archives/edgar/data/0001816736/000121390021008478/ea135023ex10-2_gemin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2022-08-11T07:35:13Z</dcterms:created>
  <dcterms:modified xsi:type="dcterms:W3CDTF">2022-08-11T07:35:13Z</dcterms:modified>
</cp:coreProperties>
</file>