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Filed Pursuant to Rule 424(b)(5)</w:t>
      </w:r>
    </w:p>
    <w:p>
      <w:pPr>
        <w:spacing w:after="0" w:line="25" w:lineRule="exact"/>
        <w:rPr>
          <w:sz w:val="24"/>
          <w:szCs w:val="24"/>
          <w:color w:val="auto"/>
        </w:rPr>
      </w:pPr>
    </w:p>
    <w:p>
      <w:pPr>
        <w:jc w:val="right"/>
        <w:ind w:right="199"/>
        <w:spacing w:after="0"/>
        <w:rPr>
          <w:sz w:val="20"/>
          <w:szCs w:val="20"/>
          <w:color w:val="auto"/>
        </w:rPr>
      </w:pPr>
      <w:r>
        <w:rPr>
          <w:rFonts w:ascii="Times New Roman" w:cs="Times New Roman" w:eastAsia="Times New Roman" w:hAnsi="Times New Roman"/>
          <w:sz w:val="14"/>
          <w:szCs w:val="14"/>
          <w:b w:val="1"/>
          <w:bCs w:val="1"/>
          <w:color w:val="auto"/>
        </w:rPr>
        <w:t>Registration No. 333-281359</w:t>
      </w:r>
    </w:p>
    <w:p>
      <w:pPr>
        <w:spacing w:after="0" w:line="109"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25" w:lineRule="exact"/>
        <w:rPr>
          <w:sz w:val="24"/>
          <w:szCs w:val="24"/>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(To Prospectus dated August 8, 2024)</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1170305</wp:posOffset>
            </wp:positionH>
            <wp:positionV relativeFrom="paragraph">
              <wp:posOffset>127000</wp:posOffset>
            </wp:positionV>
            <wp:extent cx="3378835" cy="518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3378835" cy="51816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336"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3"/>
          <w:szCs w:val="23"/>
          <w:b w:val="1"/>
          <w:bCs w:val="1"/>
          <w:color w:val="auto"/>
        </w:rPr>
        <w:t>Up to $189,925,765</w:t>
      </w:r>
    </w:p>
    <w:p>
      <w:pPr>
        <w:spacing w:after="0" w:line="178"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191135</wp:posOffset>
            </wp:positionV>
            <wp:extent cx="1157605"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4"/>
          <w:szCs w:val="24"/>
          <w:color w:val="auto"/>
        </w:rPr>
      </w:pPr>
    </w:p>
    <w:p>
      <w:pPr>
        <w:spacing w:after="0" w:line="246" w:lineRule="exact"/>
        <w:rPr>
          <w:sz w:val="24"/>
          <w:szCs w:val="24"/>
          <w:color w:val="auto"/>
        </w:rPr>
      </w:pPr>
    </w:p>
    <w:p>
      <w:pPr>
        <w:ind w:left="180" w:right="279"/>
        <w:spacing w:after="0" w:line="264" w:lineRule="auto"/>
        <w:rPr>
          <w:sz w:val="20"/>
          <w:szCs w:val="20"/>
          <w:color w:val="auto"/>
        </w:rPr>
      </w:pPr>
      <w:r>
        <w:rPr>
          <w:rFonts w:ascii="Times New Roman" w:cs="Times New Roman" w:eastAsia="Times New Roman" w:hAnsi="Times New Roman"/>
          <w:sz w:val="14"/>
          <w:szCs w:val="14"/>
          <w:color w:val="auto"/>
        </w:rPr>
        <w:t>We have entered into a Sales Agreement, or sales agreement, with TD Securities (USA) LLC, or TD Cowen, relating to the sale of shares of our common stock offered by this prospectus. In accordance with the terms of the sales agreement, pursuant to this prospectus supplement and the accompanying prospectus, we may offer and sell shares of our common stock having an aggregate gross sales price of up to $189,925,765 million from time to time through or to TD Cowen, acting as our sales agent or principal.</w:t>
      </w:r>
    </w:p>
    <w:p>
      <w:pPr>
        <w:spacing w:after="0" w:line="140" w:lineRule="exact"/>
        <w:rPr>
          <w:sz w:val="24"/>
          <w:szCs w:val="24"/>
          <w:color w:val="auto"/>
        </w:rPr>
      </w:pPr>
    </w:p>
    <w:p>
      <w:pPr>
        <w:ind w:left="180" w:right="519"/>
        <w:spacing w:after="0" w:line="286"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“IRON.” On November 4, 2026, the closing sale price of our common stock on The Nasdaq Global Market was $83.28 per share.</w:t>
      </w:r>
    </w:p>
    <w:p>
      <w:pPr>
        <w:spacing w:after="0" w:line="125" w:lineRule="exact"/>
        <w:rPr>
          <w:sz w:val="24"/>
          <w:szCs w:val="24"/>
          <w:color w:val="auto"/>
        </w:rPr>
      </w:pPr>
    </w:p>
    <w:p>
      <w:pPr>
        <w:ind w:left="180" w:right="199"/>
        <w:spacing w:after="0" w:line="258" w:lineRule="auto"/>
        <w:rPr>
          <w:sz w:val="20"/>
          <w:szCs w:val="20"/>
          <w:color w:val="auto"/>
        </w:rPr>
      </w:pPr>
      <w:r>
        <w:rPr>
          <w:rFonts w:ascii="Times New Roman" w:cs="Times New Roman" w:eastAsia="Times New Roman" w:hAnsi="Times New Roman"/>
          <w:sz w:val="14"/>
          <w:szCs w:val="14"/>
          <w:color w:val="auto"/>
        </w:rPr>
        <w:t>Sales of our common stock, if any, under this prospectus supplement and the accompanying base prospectus will be made by any method permitted by law, including, without limitation, an “at the market offering” as defined in Rule 415(a)(4) promulgated under the Securities Act of 1933, as amended, or the Securities Act, including, without limitation, sales made through The Nasdaq Global Market or on any other trading market for our common stock, or in negotiated transactions, including block trades or block sales, and in each case in compliance with the sales agreement. TD Cowen is not required to sell any specific number or dollar amount of securities, but will act as a sales agent using commercially reasonable efforts consistent with its normal sales and trading practices to sell on our behalf all of the shares of common stock requested to be sold by us, on mutually agreed terms between TD Cowen and us. There is no arrangement for funds to be received in any escrow, trust or similar arrangement.</w:t>
      </w:r>
    </w:p>
    <w:p>
      <w:pPr>
        <w:spacing w:after="0" w:line="145" w:lineRule="exact"/>
        <w:rPr>
          <w:sz w:val="24"/>
          <w:szCs w:val="24"/>
          <w:color w:val="auto"/>
        </w:rPr>
      </w:pPr>
    </w:p>
    <w:p>
      <w:pPr>
        <w:ind w:left="180" w:right="219"/>
        <w:spacing w:after="0" w:line="259" w:lineRule="auto"/>
        <w:rPr>
          <w:sz w:val="20"/>
          <w:szCs w:val="20"/>
          <w:color w:val="auto"/>
        </w:rPr>
      </w:pPr>
      <w:r>
        <w:rPr>
          <w:rFonts w:ascii="Times New Roman" w:cs="Times New Roman" w:eastAsia="Times New Roman" w:hAnsi="Times New Roman"/>
          <w:sz w:val="14"/>
          <w:szCs w:val="14"/>
          <w:color w:val="auto"/>
        </w:rPr>
        <w:t>The comparison to TD Cowen for sales of common stock sold pursuant to the sales agreement will be an amount up to 3.0% of the gross proceeds of any shares of common stock sold under the sales agreement. In connection with the sale of our common stock on our behalf, TD Cowen may be deemed to be an “underwriter” within the meaning of the Securities Act and the compensation of TD Cowen may be deemed to be underwriting commissions or discounts. We have also agreed to provide indemnification and contribution to TD Cowen against certain liabilities, including liabilities under the Securities Act and the Securities Exchange Act of 1934, as amended, or the Exchange Act. See “Plan of Distribution” beginning on page S-14 for additional information regarding the compensation to be paid to TD Cowen.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168910</wp:posOffset>
            </wp:positionV>
            <wp:extent cx="1157605" cy="698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4"/>
          <w:szCs w:val="24"/>
          <w:color w:val="auto"/>
        </w:rPr>
      </w:pPr>
    </w:p>
    <w:p>
      <w:pPr>
        <w:spacing w:after="0" w:line="201" w:lineRule="exact"/>
        <w:rPr>
          <w:sz w:val="24"/>
          <w:szCs w:val="24"/>
          <w:color w:val="auto"/>
        </w:rPr>
      </w:pPr>
    </w:p>
    <w:p>
      <w:pPr>
        <w:ind w:left="180" w:right="399"/>
        <w:spacing w:after="0" w:line="245" w:lineRule="auto"/>
        <w:rPr>
          <w:sz w:val="20"/>
          <w:szCs w:val="20"/>
          <w:color w:val="auto"/>
        </w:rPr>
      </w:pPr>
      <w:r>
        <w:rPr>
          <w:rFonts w:ascii="Times New Roman" w:cs="Times New Roman" w:eastAsia="Times New Roman" w:hAnsi="Times New Roman"/>
          <w:sz w:val="17"/>
          <w:szCs w:val="17"/>
          <w:b w:val="1"/>
          <w:bCs w:val="1"/>
          <w:color w:val="auto"/>
        </w:rPr>
        <w:t>Investing in our common stock involves a high degree of risk. See “</w:t>
      </w:r>
      <w:r>
        <w:rPr>
          <w:rFonts w:ascii="Times New Roman" w:cs="Times New Roman" w:eastAsia="Times New Roman" w:hAnsi="Times New Roman"/>
          <w:sz w:val="17"/>
          <w:szCs w:val="17"/>
          <w:b w:val="1"/>
          <w:bCs w:val="1"/>
          <w:u w:val="single" w:color="auto"/>
          <w:color w:val="0000EE"/>
        </w:rPr>
        <w:t>Risk Factors</w:t>
      </w:r>
      <w:r>
        <w:rPr>
          <w:rFonts w:ascii="Times New Roman" w:cs="Times New Roman" w:eastAsia="Times New Roman" w:hAnsi="Times New Roman"/>
          <w:sz w:val="17"/>
          <w:szCs w:val="17"/>
          <w:b w:val="1"/>
          <w:bCs w:val="1"/>
          <w:color w:val="auto"/>
        </w:rPr>
        <w:t>” beginning on page S-6 of this prospectus supplement, page 10 in the accompanying prospectus, and under similar headings in the other documents that are incorporated by reference into this prospectus supplement concerning factors you should consider before investing in our common stock.</w:t>
      </w:r>
    </w:p>
    <w:p>
      <w:pPr>
        <w:spacing w:after="0" w:line="143" w:lineRule="exact"/>
        <w:rPr>
          <w:sz w:val="24"/>
          <w:szCs w:val="24"/>
          <w:color w:val="auto"/>
        </w:rPr>
      </w:pPr>
    </w:p>
    <w:p>
      <w:pPr>
        <w:ind w:left="180" w:right="219"/>
        <w:spacing w:after="0" w:line="271" w:lineRule="auto"/>
        <w:rPr>
          <w:sz w:val="20"/>
          <w:szCs w:val="20"/>
          <w:color w:val="auto"/>
        </w:rPr>
      </w:pPr>
      <w:r>
        <w:rPr>
          <w:rFonts w:ascii="Times New Roman" w:cs="Times New Roman" w:eastAsia="Times New Roman" w:hAnsi="Times New Roman"/>
          <w:sz w:val="14"/>
          <w:szCs w:val="14"/>
          <w:b w:val="1"/>
          <w:bCs w:val="1"/>
          <w:i w:val="1"/>
          <w:iCs w:val="1"/>
          <w:color w:val="auto"/>
        </w:rPr>
        <w:t>Neither the Securities and Exchange Commission nor any state securities commission has approved or disapproved of these securities, or passed upon the adequacy or accuracy of this prospectus supplement or the accompanying base prospectus. Any representation to the contrary is a criminal offense.</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168910</wp:posOffset>
            </wp:positionV>
            <wp:extent cx="1157605" cy="698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TD Cowen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2280920</wp:posOffset>
            </wp:positionH>
            <wp:positionV relativeFrom="paragraph">
              <wp:posOffset>187960</wp:posOffset>
            </wp:positionV>
            <wp:extent cx="1157605" cy="698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4"/>
          <w:szCs w:val="24"/>
          <w:color w:val="auto"/>
        </w:rPr>
      </w:pPr>
    </w:p>
    <w:p>
      <w:pPr>
        <w:spacing w:after="0" w:line="239" w:lineRule="exact"/>
        <w:rPr>
          <w:sz w:val="24"/>
          <w:szCs w:val="24"/>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The date of this prospectus supplement is November 5, 2026.</w:t>
      </w:r>
    </w:p>
    <w:p>
      <w:pPr>
        <w:sectPr>
          <w:pgSz w:w="11900" w:h="16838" w:orient="portrait"/>
          <w:cols w:equalWidth="0" w:num="1">
            <w:col w:w="9019"/>
          </w:cols>
          <w:pgMar w:left="1440" w:top="208" w:right="1440"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17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Prospectus Supplement</w:t>
      </w:r>
    </w:p>
    <w:p>
      <w:pPr>
        <w:spacing w:after="0" w:line="197" w:lineRule="exact"/>
        <w:rPr>
          <w:sz w:val="20"/>
          <w:szCs w:val="20"/>
          <w:color w:val="auto"/>
        </w:rPr>
      </w:pPr>
    </w:p>
    <w:tbl>
      <w:tblPr>
        <w:tblLayout w:type="fixed"/>
        <w:tblInd w:w="180" w:type="dxa"/>
        <w:tblCellMar>
          <w:top w:w="0" w:type="dxa"/>
          <w:left w:w="0" w:type="dxa"/>
          <w:bottom w:w="0" w:type="dxa"/>
          <w:right w:w="0" w:type="dxa"/>
        </w:tblCellMar>
      </w:tblPr>
      <w:tr>
        <w:trPr>
          <w:trHeight w:val="136"/>
        </w:trPr>
        <w:tc>
          <w:tcPr>
            <w:tcW w:w="2700" w:type="dxa"/>
            <w:vAlign w:val="bottom"/>
            <w:gridSpan w:val="16"/>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 SUPPLEMENT</w:t>
            </w:r>
          </w:p>
        </w:tc>
        <w:tc>
          <w:tcPr>
            <w:tcW w:w="5580" w:type="dxa"/>
            <w:vAlign w:val="bottom"/>
            <w:gridSpan w:val="5"/>
            <w:vMerge w:val="restart"/>
          </w:tcPr>
          <w:p>
            <w:pPr>
              <w:spacing w:after="0"/>
              <w:rPr>
                <w:sz w:val="11"/>
                <w:szCs w:val="11"/>
                <w:color w:val="auto"/>
              </w:rPr>
            </w:pPr>
          </w:p>
        </w:tc>
        <w:tc>
          <w:tcPr>
            <w:tcW w:w="340" w:type="dxa"/>
            <w:vAlign w:val="bottom"/>
            <w:gridSpan w:val="3"/>
          </w:tcPr>
          <w:p>
            <w:pPr>
              <w:jc w:val="right"/>
              <w:ind w:right="60"/>
              <w:spacing w:after="0"/>
              <w:rPr>
                <w:sz w:val="20"/>
                <w:szCs w:val="20"/>
                <w:color w:val="auto"/>
              </w:rPr>
            </w:pPr>
            <w:r>
              <w:rPr>
                <w:rFonts w:ascii="Times New Roman" w:cs="Times New Roman" w:eastAsia="Times New Roman" w:hAnsi="Times New Roman"/>
                <w:sz w:val="11"/>
                <w:szCs w:val="11"/>
                <w:b w:val="1"/>
                <w:bCs w:val="1"/>
                <w:color w:val="auto"/>
              </w:rPr>
              <w:t>Page</w:t>
            </w:r>
          </w:p>
        </w:tc>
        <w:tc>
          <w:tcPr>
            <w:tcW w:w="0" w:type="dxa"/>
            <w:vAlign w:val="bottom"/>
          </w:tcPr>
          <w:p>
            <w:pPr>
              <w:spacing w:after="0"/>
              <w:rPr>
                <w:sz w:val="1"/>
                <w:szCs w:val="1"/>
                <w:color w:val="auto"/>
              </w:rPr>
            </w:pPr>
          </w:p>
        </w:tc>
      </w:tr>
      <w:tr>
        <w:trPr>
          <w:trHeight w:val="123"/>
        </w:trPr>
        <w:tc>
          <w:tcPr>
            <w:tcW w:w="2700" w:type="dxa"/>
            <w:vAlign w:val="bottom"/>
            <w:tcBorders>
              <w:bottom w:val="single" w:sz="8" w:color="0000EE"/>
            </w:tcBorders>
            <w:gridSpan w:val="16"/>
            <w:vMerge w:val="continue"/>
          </w:tcPr>
          <w:p>
            <w:pPr>
              <w:spacing w:after="0"/>
              <w:rPr>
                <w:sz w:val="10"/>
                <w:szCs w:val="10"/>
                <w:color w:val="auto"/>
              </w:rPr>
            </w:pPr>
          </w:p>
        </w:tc>
        <w:tc>
          <w:tcPr>
            <w:tcW w:w="5580" w:type="dxa"/>
            <w:vAlign w:val="bottom"/>
            <w:gridSpan w:val="5"/>
            <w:vMerge w:val="continue"/>
          </w:tcPr>
          <w:p>
            <w:pPr>
              <w:spacing w:after="0"/>
              <w:rPr>
                <w:sz w:val="10"/>
                <w:szCs w:val="10"/>
                <w:color w:val="auto"/>
              </w:rPr>
            </w:pPr>
          </w:p>
        </w:tc>
        <w:tc>
          <w:tcPr>
            <w:tcW w:w="100" w:type="dxa"/>
            <w:vAlign w:val="bottom"/>
            <w:tcBorders>
              <w:top w:val="single" w:sz="8" w:color="auto"/>
            </w:tcBorders>
          </w:tcPr>
          <w:p>
            <w:pPr>
              <w:spacing w:after="0"/>
              <w:rPr>
                <w:sz w:val="10"/>
                <w:szCs w:val="10"/>
                <w:color w:val="auto"/>
              </w:rPr>
            </w:pPr>
          </w:p>
        </w:tc>
        <w:tc>
          <w:tcPr>
            <w:tcW w:w="22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2"/>
                <w:szCs w:val="12"/>
                <w:color w:val="auto"/>
              </w:rPr>
              <w:t>S-ii</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160"/>
        </w:trPr>
        <w:tc>
          <w:tcPr>
            <w:tcW w:w="4540" w:type="dxa"/>
            <w:vAlign w:val="bottom"/>
            <w:tcBorders>
              <w:bottom w:val="single" w:sz="8" w:color="0000EE"/>
            </w:tcBorders>
            <w:gridSpan w:val="20"/>
          </w:tcPr>
          <w:p>
            <w:pPr>
              <w:spacing w:after="0"/>
              <w:rPr>
                <w:sz w:val="20"/>
                <w:szCs w:val="20"/>
                <w:color w:val="auto"/>
              </w:rPr>
            </w:pPr>
            <w:r>
              <w:rPr>
                <w:rFonts w:ascii="Times New Roman" w:cs="Times New Roman" w:eastAsia="Times New Roman" w:hAnsi="Times New Roman"/>
                <w:sz w:val="14"/>
                <w:szCs w:val="14"/>
                <w:color w:val="0000EE"/>
                <w:w w:val="99"/>
              </w:rPr>
              <w:t>CAUTIONARY NOTE REGARDING FORWARD-LOOKING STATEMENTS</w:t>
            </w:r>
          </w:p>
        </w:tc>
        <w:tc>
          <w:tcPr>
            <w:tcW w:w="3740" w:type="dxa"/>
            <w:vAlign w:val="bottom"/>
          </w:tcPr>
          <w:p>
            <w:pPr>
              <w:spacing w:after="0"/>
              <w:rPr>
                <w:sz w:val="13"/>
                <w:szCs w:val="13"/>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S-iv</w:t>
            </w:r>
          </w:p>
        </w:tc>
        <w:tc>
          <w:tcPr>
            <w:tcW w:w="0" w:type="dxa"/>
            <w:vAlign w:val="bottom"/>
          </w:tcPr>
          <w:p>
            <w:pPr>
              <w:spacing w:after="0"/>
              <w:rPr>
                <w:sz w:val="1"/>
                <w:szCs w:val="1"/>
                <w:color w:val="auto"/>
              </w:rPr>
            </w:pPr>
          </w:p>
        </w:tc>
      </w:tr>
      <w:tr>
        <w:trPr>
          <w:trHeight w:val="150"/>
        </w:trPr>
        <w:tc>
          <w:tcPr>
            <w:tcW w:w="828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PROSPECTUS SUPPLEMENT SUMMARY</w:t>
            </w:r>
          </w:p>
        </w:tc>
        <w:tc>
          <w:tcPr>
            <w:tcW w:w="100" w:type="dxa"/>
            <w:vAlign w:val="bottom"/>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S-1</w:t>
            </w:r>
          </w:p>
        </w:tc>
        <w:tc>
          <w:tcPr>
            <w:tcW w:w="0" w:type="dxa"/>
            <w:vAlign w:val="bottom"/>
          </w:tcPr>
          <w:p>
            <w:pPr>
              <w:spacing w:after="0"/>
              <w:rPr>
                <w:sz w:val="1"/>
                <w:szCs w:val="1"/>
                <w:color w:val="auto"/>
              </w:rPr>
            </w:pPr>
          </w:p>
        </w:tc>
      </w:tr>
      <w:tr>
        <w:trPr>
          <w:trHeight w:val="150"/>
        </w:trPr>
        <w:tc>
          <w:tcPr>
            <w:tcW w:w="980" w:type="dxa"/>
            <w:vAlign w:val="bottom"/>
            <w:tcBorders>
              <w:top w:val="single" w:sz="8" w:color="0000EE"/>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w w:val="97"/>
              </w:rPr>
              <w:t>RISK FACTORS</w:t>
            </w:r>
          </w:p>
        </w:tc>
        <w:tc>
          <w:tcPr>
            <w:tcW w:w="1600" w:type="dxa"/>
            <w:vAlign w:val="bottom"/>
            <w:tcBorders>
              <w:top w:val="single" w:sz="8" w:color="0000EE"/>
            </w:tcBorders>
            <w:gridSpan w:val="11"/>
          </w:tcPr>
          <w:p>
            <w:pPr>
              <w:spacing w:after="0"/>
              <w:rPr>
                <w:sz w:val="13"/>
                <w:szCs w:val="13"/>
                <w:color w:val="auto"/>
              </w:rPr>
            </w:pPr>
          </w:p>
        </w:tc>
        <w:tc>
          <w:tcPr>
            <w:tcW w:w="5700" w:type="dxa"/>
            <w:vAlign w:val="bottom"/>
            <w:gridSpan w:val="7"/>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gridSpan w:val="2"/>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S-6</w:t>
            </w:r>
          </w:p>
        </w:tc>
        <w:tc>
          <w:tcPr>
            <w:tcW w:w="0" w:type="dxa"/>
            <w:vAlign w:val="bottom"/>
          </w:tcPr>
          <w:p>
            <w:pPr>
              <w:spacing w:after="0"/>
              <w:rPr>
                <w:sz w:val="1"/>
                <w:szCs w:val="1"/>
                <w:color w:val="auto"/>
              </w:rPr>
            </w:pPr>
          </w:p>
        </w:tc>
      </w:tr>
      <w:tr>
        <w:trPr>
          <w:trHeight w:val="150"/>
        </w:trPr>
        <w:tc>
          <w:tcPr>
            <w:tcW w:w="126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rPr>
              <w:t>USE OF PROCEEDS</w:t>
            </w:r>
          </w:p>
        </w:tc>
        <w:tc>
          <w:tcPr>
            <w:tcW w:w="7020" w:type="dxa"/>
            <w:vAlign w:val="bottom"/>
            <w:gridSpan w:val="15"/>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S-10</w:t>
            </w:r>
          </w:p>
        </w:tc>
        <w:tc>
          <w:tcPr>
            <w:tcW w:w="0" w:type="dxa"/>
            <w:vAlign w:val="bottom"/>
          </w:tcPr>
          <w:p>
            <w:pPr>
              <w:spacing w:after="0"/>
              <w:rPr>
                <w:sz w:val="1"/>
                <w:szCs w:val="1"/>
                <w:color w:val="auto"/>
              </w:rPr>
            </w:pPr>
          </w:p>
        </w:tc>
      </w:tr>
      <w:tr>
        <w:trPr>
          <w:trHeight w:val="150"/>
        </w:trPr>
        <w:tc>
          <w:tcPr>
            <w:tcW w:w="680" w:type="dxa"/>
            <w:vAlign w:val="bottom"/>
            <w:tcBorders>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EE"/>
                <w:w w:val="98"/>
              </w:rPr>
              <w:t>DILUTION</w:t>
            </w:r>
          </w:p>
        </w:tc>
        <w:tc>
          <w:tcPr>
            <w:tcW w:w="7600" w:type="dxa"/>
            <w:vAlign w:val="bottom"/>
            <w:gridSpan w:val="19"/>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S-11</w:t>
            </w:r>
          </w:p>
        </w:tc>
        <w:tc>
          <w:tcPr>
            <w:tcW w:w="0" w:type="dxa"/>
            <w:vAlign w:val="bottom"/>
          </w:tcPr>
          <w:p>
            <w:pPr>
              <w:spacing w:after="0"/>
              <w:rPr>
                <w:sz w:val="1"/>
                <w:szCs w:val="1"/>
                <w:color w:val="auto"/>
              </w:rPr>
            </w:pPr>
          </w:p>
        </w:tc>
      </w:tr>
      <w:tr>
        <w:trPr>
          <w:trHeight w:val="150"/>
        </w:trPr>
        <w:tc>
          <w:tcPr>
            <w:tcW w:w="1240" w:type="dxa"/>
            <w:vAlign w:val="bottom"/>
            <w:tcBorders>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w w:val="99"/>
              </w:rPr>
              <w:t>DIVIDEND POLICY</w:t>
            </w:r>
          </w:p>
        </w:tc>
        <w:tc>
          <w:tcPr>
            <w:tcW w:w="7040" w:type="dxa"/>
            <w:vAlign w:val="bottom"/>
            <w:gridSpan w:val="16"/>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S-13</w:t>
            </w:r>
          </w:p>
        </w:tc>
        <w:tc>
          <w:tcPr>
            <w:tcW w:w="0" w:type="dxa"/>
            <w:vAlign w:val="bottom"/>
          </w:tcPr>
          <w:p>
            <w:pPr>
              <w:spacing w:after="0"/>
              <w:rPr>
                <w:sz w:val="1"/>
                <w:szCs w:val="1"/>
                <w:color w:val="auto"/>
              </w:rPr>
            </w:pPr>
          </w:p>
        </w:tc>
      </w:tr>
      <w:tr>
        <w:trPr>
          <w:trHeight w:val="150"/>
        </w:trPr>
        <w:tc>
          <w:tcPr>
            <w:tcW w:w="828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S-14</w:t>
            </w:r>
          </w:p>
        </w:tc>
        <w:tc>
          <w:tcPr>
            <w:tcW w:w="0" w:type="dxa"/>
            <w:vAlign w:val="bottom"/>
          </w:tcPr>
          <w:p>
            <w:pPr>
              <w:spacing w:after="0"/>
              <w:rPr>
                <w:sz w:val="1"/>
                <w:szCs w:val="1"/>
                <w:color w:val="auto"/>
              </w:rPr>
            </w:pPr>
          </w:p>
        </w:tc>
      </w:tr>
      <w:tr>
        <w:trPr>
          <w:trHeight w:val="150"/>
        </w:trPr>
        <w:tc>
          <w:tcPr>
            <w:tcW w:w="1600" w:type="dxa"/>
            <w:vAlign w:val="bottom"/>
            <w:tcBorders>
              <w:top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6680" w:type="dxa"/>
            <w:vAlign w:val="bottom"/>
            <w:gridSpan w:val="12"/>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S-16</w:t>
            </w:r>
          </w:p>
        </w:tc>
        <w:tc>
          <w:tcPr>
            <w:tcW w:w="0" w:type="dxa"/>
            <w:vAlign w:val="bottom"/>
          </w:tcPr>
          <w:p>
            <w:pPr>
              <w:spacing w:after="0"/>
              <w:rPr>
                <w:sz w:val="1"/>
                <w:szCs w:val="1"/>
                <w:color w:val="auto"/>
              </w:rPr>
            </w:pPr>
          </w:p>
        </w:tc>
      </w:tr>
      <w:tr>
        <w:trPr>
          <w:trHeight w:val="150"/>
        </w:trPr>
        <w:tc>
          <w:tcPr>
            <w:tcW w:w="1140" w:type="dxa"/>
            <w:vAlign w:val="bottom"/>
            <w:tcBorders>
              <w:top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rPr>
              <w:t>EXPERTS</w:t>
            </w:r>
          </w:p>
        </w:tc>
        <w:tc>
          <w:tcPr>
            <w:tcW w:w="7140" w:type="dxa"/>
            <w:vAlign w:val="bottom"/>
            <w:gridSpan w:val="17"/>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S-17</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920" w:type="dxa"/>
            <w:vAlign w:val="bottom"/>
            <w:gridSpan w:val="6"/>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gridSpan w:val="2"/>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340" w:type="dxa"/>
            <w:vAlign w:val="bottom"/>
            <w:gridSpan w:val="2"/>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000" w:type="dxa"/>
            <w:vAlign w:val="bottom"/>
            <w:tcBorders>
              <w:bottom w:val="single" w:sz="8" w:color="0000EE"/>
            </w:tcBorders>
            <w:gridSpan w:val="17"/>
          </w:tcPr>
          <w:p>
            <w:pPr>
              <w:spacing w:after="0" w:line="150" w:lineRule="exact"/>
              <w:rPr>
                <w:sz w:val="20"/>
                <w:szCs w:val="20"/>
                <w:color w:val="auto"/>
              </w:rPr>
            </w:pPr>
            <w:r>
              <w:rPr>
                <w:rFonts w:ascii="Times New Roman" w:cs="Times New Roman" w:eastAsia="Times New Roman" w:hAnsi="Times New Roman"/>
                <w:sz w:val="14"/>
                <w:szCs w:val="14"/>
                <w:color w:val="0000EE"/>
                <w:w w:val="99"/>
              </w:rPr>
              <w:t>WHERE YOU CAN FIND MORE INFORMATION</w:t>
            </w:r>
          </w:p>
        </w:tc>
        <w:tc>
          <w:tcPr>
            <w:tcW w:w="5280" w:type="dxa"/>
            <w:vAlign w:val="bottom"/>
            <w:gridSpan w:val="4"/>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S-18</w:t>
            </w:r>
          </w:p>
        </w:tc>
        <w:tc>
          <w:tcPr>
            <w:tcW w:w="0" w:type="dxa"/>
            <w:vAlign w:val="bottom"/>
          </w:tcPr>
          <w:p>
            <w:pPr>
              <w:spacing w:after="0"/>
              <w:rPr>
                <w:sz w:val="1"/>
                <w:szCs w:val="1"/>
                <w:color w:val="auto"/>
              </w:rPr>
            </w:pPr>
          </w:p>
        </w:tc>
      </w:tr>
      <w:tr>
        <w:trPr>
          <w:trHeight w:val="150"/>
        </w:trPr>
        <w:tc>
          <w:tcPr>
            <w:tcW w:w="828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S-19</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00" w:type="dxa"/>
            <w:vAlign w:val="bottom"/>
            <w:shd w:val="clear" w:color="auto" w:fill="0000EE"/>
          </w:tcPr>
          <w:p>
            <w:pPr>
              <w:spacing w:after="0" w:line="20" w:lineRule="exact"/>
              <w:rPr>
                <w:sz w:val="1"/>
                <w:szCs w:val="1"/>
                <w:color w:val="auto"/>
              </w:rPr>
            </w:pPr>
          </w:p>
        </w:tc>
        <w:tc>
          <w:tcPr>
            <w:tcW w:w="80" w:type="dxa"/>
            <w:vAlign w:val="bottom"/>
            <w:shd w:val="clear" w:color="auto" w:fill="0000EE"/>
          </w:tcPr>
          <w:p>
            <w:pPr>
              <w:spacing w:after="0" w:line="20" w:lineRule="exact"/>
              <w:rPr>
                <w:sz w:val="1"/>
                <w:szCs w:val="1"/>
                <w:color w:val="auto"/>
              </w:rPr>
            </w:pPr>
          </w:p>
        </w:tc>
        <w:tc>
          <w:tcPr>
            <w:tcW w:w="40" w:type="dxa"/>
            <w:vAlign w:val="bottom"/>
            <w:shd w:val="clear" w:color="auto" w:fill="0000EE"/>
          </w:tcPr>
          <w:p>
            <w:pPr>
              <w:spacing w:after="0" w:line="20" w:lineRule="exact"/>
              <w:rPr>
                <w:sz w:val="1"/>
                <w:szCs w:val="1"/>
                <w:color w:val="auto"/>
              </w:rPr>
            </w:pPr>
          </w:p>
        </w:tc>
        <w:tc>
          <w:tcPr>
            <w:tcW w:w="300" w:type="dxa"/>
            <w:vAlign w:val="bottom"/>
            <w:shd w:val="clear" w:color="auto" w:fill="0000EE"/>
          </w:tcPr>
          <w:p>
            <w:pPr>
              <w:spacing w:after="0" w:line="20" w:lineRule="exact"/>
              <w:rPr>
                <w:sz w:val="1"/>
                <w:szCs w:val="1"/>
                <w:color w:val="auto"/>
              </w:rPr>
            </w:pPr>
          </w:p>
        </w:tc>
        <w:tc>
          <w:tcPr>
            <w:tcW w:w="1060" w:type="dxa"/>
            <w:vAlign w:val="bottom"/>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20"/>
        </w:trPr>
        <w:tc>
          <w:tcPr>
            <w:tcW w:w="6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5280" w:type="dxa"/>
            <w:vAlign w:val="bottom"/>
            <w:gridSpan w:val="4"/>
          </w:tcPr>
          <w:p>
            <w:pPr>
              <w:ind w:left="860"/>
              <w:spacing w:after="0"/>
              <w:rPr>
                <w:sz w:val="20"/>
                <w:szCs w:val="20"/>
                <w:color w:val="auto"/>
              </w:rPr>
            </w:pPr>
            <w:r>
              <w:rPr>
                <w:rFonts w:ascii="Times New Roman" w:cs="Times New Roman" w:eastAsia="Times New Roman" w:hAnsi="Times New Roman"/>
                <w:sz w:val="14"/>
                <w:szCs w:val="14"/>
                <w:b w:val="1"/>
                <w:bCs w:val="1"/>
                <w:color w:val="auto"/>
              </w:rPr>
              <w:t>PROSPECTUS</w:t>
            </w:r>
          </w:p>
        </w:tc>
        <w:tc>
          <w:tcPr>
            <w:tcW w:w="10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08"/>
        </w:trPr>
        <w:tc>
          <w:tcPr>
            <w:tcW w:w="8280" w:type="dxa"/>
            <w:vAlign w:val="bottom"/>
            <w:gridSpan w:val="21"/>
            <w:vMerge w:val="restart"/>
          </w:tcPr>
          <w:p>
            <w:pPr>
              <w:spacing w:after="0"/>
              <w:rPr>
                <w:sz w:val="20"/>
                <w:szCs w:val="20"/>
                <w:color w:val="auto"/>
              </w:rPr>
            </w:pPr>
            <w:r>
              <w:rPr>
                <w:rFonts w:ascii="Times New Roman" w:cs="Times New Roman" w:eastAsia="Times New Roman" w:hAnsi="Times New Roman"/>
                <w:sz w:val="14"/>
                <w:szCs w:val="14"/>
                <w:color w:val="0000EE"/>
              </w:rPr>
              <w:t>ABOUT THIS PROSPECTUS</w:t>
            </w:r>
          </w:p>
        </w:tc>
        <w:tc>
          <w:tcPr>
            <w:tcW w:w="100" w:type="dxa"/>
            <w:vAlign w:val="bottom"/>
          </w:tcPr>
          <w:p>
            <w:pPr>
              <w:spacing w:after="0"/>
              <w:rPr>
                <w:sz w:val="24"/>
                <w:szCs w:val="24"/>
                <w:color w:val="auto"/>
              </w:rPr>
            </w:pPr>
          </w:p>
        </w:tc>
        <w:tc>
          <w:tcPr>
            <w:tcW w:w="240" w:type="dxa"/>
            <w:vAlign w:val="bottom"/>
            <w:gridSpan w:val="2"/>
          </w:tcPr>
          <w:p>
            <w:pPr>
              <w:jc w:val="right"/>
              <w:ind w:right="20"/>
              <w:spacing w:after="0"/>
              <w:rPr>
                <w:sz w:val="20"/>
                <w:szCs w:val="20"/>
                <w:color w:val="auto"/>
              </w:rPr>
            </w:pPr>
            <w:r>
              <w:rPr>
                <w:rFonts w:ascii="Times New Roman" w:cs="Times New Roman" w:eastAsia="Times New Roman" w:hAnsi="Times New Roman"/>
                <w:sz w:val="11"/>
                <w:szCs w:val="11"/>
                <w:b w:val="1"/>
                <w:bCs w:val="1"/>
                <w:color w:val="auto"/>
                <w:w w:val="88"/>
              </w:rPr>
              <w:t>Page</w:t>
            </w:r>
          </w:p>
        </w:tc>
        <w:tc>
          <w:tcPr>
            <w:tcW w:w="0" w:type="dxa"/>
            <w:vAlign w:val="bottom"/>
          </w:tcPr>
          <w:p>
            <w:pPr>
              <w:spacing w:after="0"/>
              <w:rPr>
                <w:sz w:val="1"/>
                <w:szCs w:val="1"/>
                <w:color w:val="auto"/>
              </w:rPr>
            </w:pPr>
          </w:p>
        </w:tc>
      </w:tr>
      <w:tr>
        <w:trPr>
          <w:trHeight w:val="118"/>
        </w:trPr>
        <w:tc>
          <w:tcPr>
            <w:tcW w:w="8280" w:type="dxa"/>
            <w:vAlign w:val="bottom"/>
            <w:gridSpan w:val="21"/>
            <w:vMerge w:val="continue"/>
          </w:tcPr>
          <w:p>
            <w:pPr>
              <w:spacing w:after="0"/>
              <w:rPr>
                <w:sz w:val="10"/>
                <w:szCs w:val="10"/>
                <w:color w:val="auto"/>
              </w:rPr>
            </w:pPr>
          </w:p>
        </w:tc>
        <w:tc>
          <w:tcPr>
            <w:tcW w:w="100" w:type="dxa"/>
            <w:vAlign w:val="bottom"/>
          </w:tcPr>
          <w:p>
            <w:pPr>
              <w:spacing w:after="0"/>
              <w:rPr>
                <w:sz w:val="10"/>
                <w:szCs w:val="10"/>
                <w:color w:val="auto"/>
              </w:rPr>
            </w:pPr>
          </w:p>
        </w:tc>
        <w:tc>
          <w:tcPr>
            <w:tcW w:w="220" w:type="dxa"/>
            <w:vAlign w:val="bottom"/>
            <w:tcBorders>
              <w:top w:val="single" w:sz="8" w:color="auto"/>
            </w:tcBorders>
          </w:tcPr>
          <w:p>
            <w:pPr>
              <w:jc w:val="right"/>
              <w:spacing w:after="0" w:line="107" w:lineRule="exact"/>
              <w:rPr>
                <w:sz w:val="20"/>
                <w:szCs w:val="20"/>
                <w:color w:val="auto"/>
              </w:rPr>
            </w:pPr>
            <w:r>
              <w:rPr>
                <w:rFonts w:ascii="Times New Roman" w:cs="Times New Roman" w:eastAsia="Times New Roman" w:hAnsi="Times New Roman"/>
                <w:sz w:val="12"/>
                <w:szCs w:val="12"/>
                <w:color w:val="auto"/>
              </w:rPr>
              <w:t>1</w:t>
            </w:r>
          </w:p>
        </w:tc>
        <w:tc>
          <w:tcPr>
            <w:tcW w:w="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152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160" w:type="dxa"/>
            <w:vAlign w:val="bottom"/>
            <w:gridSpan w:val="2"/>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gridSpan w:val="2"/>
          </w:tcPr>
          <w:p>
            <w:pPr>
              <w:spacing w:after="0" w:line="20" w:lineRule="exact"/>
              <w:rPr>
                <w:sz w:val="1"/>
                <w:szCs w:val="1"/>
                <w:color w:val="auto"/>
              </w:rPr>
            </w:pPr>
          </w:p>
        </w:tc>
        <w:tc>
          <w:tcPr>
            <w:tcW w:w="1520" w:type="dxa"/>
            <w:vAlign w:val="bottom"/>
            <w:gridSpan w:val="4"/>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3000" w:type="dxa"/>
            <w:vAlign w:val="bottom"/>
            <w:tcBorders>
              <w:bottom w:val="single" w:sz="8" w:color="0000EE"/>
            </w:tcBorders>
            <w:gridSpan w:val="17"/>
          </w:tcPr>
          <w:p>
            <w:pPr>
              <w:spacing w:after="0"/>
              <w:rPr>
                <w:sz w:val="20"/>
                <w:szCs w:val="20"/>
                <w:color w:val="auto"/>
              </w:rPr>
            </w:pPr>
            <w:r>
              <w:rPr>
                <w:rFonts w:ascii="Times New Roman" w:cs="Times New Roman" w:eastAsia="Times New Roman" w:hAnsi="Times New Roman"/>
                <w:sz w:val="14"/>
                <w:szCs w:val="14"/>
                <w:color w:val="0000EE"/>
                <w:w w:val="99"/>
              </w:rPr>
              <w:t>WHERE YOU CAN FIND MORE INFORMATION</w:t>
            </w:r>
          </w:p>
        </w:tc>
        <w:tc>
          <w:tcPr>
            <w:tcW w:w="5280" w:type="dxa"/>
            <w:vAlign w:val="bottom"/>
            <w:gridSpan w:val="4"/>
          </w:tcPr>
          <w:p>
            <w:pPr>
              <w:spacing w:after="0"/>
              <w:rPr>
                <w:sz w:val="13"/>
                <w:szCs w:val="13"/>
                <w:color w:val="auto"/>
              </w:rPr>
            </w:pPr>
          </w:p>
        </w:tc>
        <w:tc>
          <w:tcPr>
            <w:tcW w:w="340" w:type="dxa"/>
            <w:vAlign w:val="bottom"/>
            <w:gridSpan w:val="3"/>
          </w:tcPr>
          <w:p>
            <w:pPr>
              <w:jc w:val="right"/>
              <w:ind w:right="20"/>
              <w:spacing w:after="0"/>
              <w:rPr>
                <w:sz w:val="20"/>
                <w:szCs w:val="20"/>
                <w:color w:val="auto"/>
              </w:rPr>
            </w:pPr>
            <w:r>
              <w:rPr>
                <w:rFonts w:ascii="Times New Roman" w:cs="Times New Roman" w:eastAsia="Times New Roman" w:hAnsi="Times New Roman"/>
                <w:sz w:val="14"/>
                <w:szCs w:val="14"/>
                <w:color w:val="auto"/>
              </w:rPr>
              <w:t>1</w:t>
            </w:r>
          </w:p>
        </w:tc>
        <w:tc>
          <w:tcPr>
            <w:tcW w:w="0" w:type="dxa"/>
            <w:vAlign w:val="bottom"/>
          </w:tcPr>
          <w:p>
            <w:pPr>
              <w:spacing w:after="0"/>
              <w:rPr>
                <w:sz w:val="1"/>
                <w:szCs w:val="1"/>
                <w:color w:val="auto"/>
              </w:rPr>
            </w:pPr>
          </w:p>
        </w:tc>
      </w:tr>
      <w:tr>
        <w:trPr>
          <w:trHeight w:val="150"/>
        </w:trPr>
        <w:tc>
          <w:tcPr>
            <w:tcW w:w="828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2</w:t>
            </w:r>
          </w:p>
        </w:tc>
        <w:tc>
          <w:tcPr>
            <w:tcW w:w="0" w:type="dxa"/>
            <w:vAlign w:val="bottom"/>
          </w:tcPr>
          <w:p>
            <w:pPr>
              <w:spacing w:after="0"/>
              <w:rPr>
                <w:sz w:val="1"/>
                <w:szCs w:val="1"/>
                <w:color w:val="auto"/>
              </w:rPr>
            </w:pPr>
          </w:p>
        </w:tc>
      </w:tr>
      <w:tr>
        <w:trPr>
          <w:trHeight w:val="20"/>
        </w:trPr>
        <w:tc>
          <w:tcPr>
            <w:tcW w:w="1520" w:type="dxa"/>
            <w:vAlign w:val="bottom"/>
            <w:gridSpan w:val="7"/>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360" w:type="dxa"/>
            <w:vAlign w:val="bottom"/>
            <w:gridSpan w:val="3"/>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gridSpan w:val="2"/>
            <w:shd w:val="clear" w:color="auto" w:fill="0000EE"/>
          </w:tcPr>
          <w:p>
            <w:pPr>
              <w:spacing w:after="0" w:line="20" w:lineRule="exact"/>
              <w:rPr>
                <w:sz w:val="1"/>
                <w:szCs w:val="1"/>
                <w:color w:val="auto"/>
              </w:rPr>
            </w:pPr>
          </w:p>
        </w:tc>
        <w:tc>
          <w:tcPr>
            <w:tcW w:w="1400" w:type="dxa"/>
            <w:vAlign w:val="bottom"/>
            <w:gridSpan w:val="3"/>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4100" w:type="dxa"/>
            <w:vAlign w:val="bottom"/>
            <w:gridSpan w:val="2"/>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8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4</w:t>
            </w:r>
          </w:p>
        </w:tc>
        <w:tc>
          <w:tcPr>
            <w:tcW w:w="0" w:type="dxa"/>
            <w:vAlign w:val="bottom"/>
          </w:tcPr>
          <w:p>
            <w:pPr>
              <w:spacing w:after="0"/>
              <w:rPr>
                <w:sz w:val="1"/>
                <w:szCs w:val="1"/>
                <w:color w:val="auto"/>
              </w:rPr>
            </w:pPr>
          </w:p>
        </w:tc>
      </w:tr>
      <w:tr>
        <w:trPr>
          <w:trHeight w:val="150"/>
        </w:trPr>
        <w:tc>
          <w:tcPr>
            <w:tcW w:w="4180" w:type="dxa"/>
            <w:vAlign w:val="bottom"/>
            <w:tcBorders>
              <w:top w:val="single" w:sz="8" w:color="0000EE"/>
            </w:tcBorders>
            <w:gridSpan w:val="19"/>
          </w:tcPr>
          <w:p>
            <w:pPr>
              <w:spacing w:after="0" w:line="150" w:lineRule="exact"/>
              <w:rPr>
                <w:sz w:val="20"/>
                <w:szCs w:val="20"/>
                <w:color w:val="auto"/>
              </w:rPr>
            </w:pPr>
            <w:r>
              <w:rPr>
                <w:rFonts w:ascii="Times New Roman" w:cs="Times New Roman" w:eastAsia="Times New Roman" w:hAnsi="Times New Roman"/>
                <w:sz w:val="14"/>
                <w:szCs w:val="14"/>
                <w:color w:val="0000EE"/>
              </w:rPr>
              <w:t>ABOUT THE COMPANY</w:t>
            </w:r>
          </w:p>
        </w:tc>
        <w:tc>
          <w:tcPr>
            <w:tcW w:w="4100" w:type="dxa"/>
            <w:vAlign w:val="bottom"/>
            <w:gridSpan w:val="2"/>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7</w:t>
            </w:r>
          </w:p>
        </w:tc>
        <w:tc>
          <w:tcPr>
            <w:tcW w:w="0" w:type="dxa"/>
            <w:vAlign w:val="bottom"/>
          </w:tcPr>
          <w:p>
            <w:pPr>
              <w:spacing w:after="0"/>
              <w:rPr>
                <w:sz w:val="1"/>
                <w:szCs w:val="1"/>
                <w:color w:val="auto"/>
              </w:rPr>
            </w:pPr>
          </w:p>
        </w:tc>
      </w:tr>
      <w:tr>
        <w:trPr>
          <w:trHeight w:val="150"/>
        </w:trPr>
        <w:tc>
          <w:tcPr>
            <w:tcW w:w="980" w:type="dxa"/>
            <w:vAlign w:val="bottom"/>
            <w:tcBorders>
              <w:top w:val="single" w:sz="8" w:color="0000EE"/>
              <w:bottom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w w:val="97"/>
              </w:rPr>
              <w:t>RISK FACTORS</w:t>
            </w:r>
          </w:p>
        </w:tc>
        <w:tc>
          <w:tcPr>
            <w:tcW w:w="540" w:type="dxa"/>
            <w:vAlign w:val="bottom"/>
            <w:tcBorders>
              <w:top w:val="single" w:sz="8" w:color="0000EE"/>
            </w:tcBorders>
            <w:gridSpan w:val="4"/>
          </w:tcPr>
          <w:p>
            <w:pPr>
              <w:spacing w:after="0"/>
              <w:rPr>
                <w:sz w:val="13"/>
                <w:szCs w:val="13"/>
                <w:color w:val="auto"/>
              </w:rPr>
            </w:pPr>
          </w:p>
        </w:tc>
        <w:tc>
          <w:tcPr>
            <w:tcW w:w="6760" w:type="dxa"/>
            <w:vAlign w:val="bottom"/>
            <w:gridSpan w:val="14"/>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10</w:t>
            </w:r>
          </w:p>
        </w:tc>
        <w:tc>
          <w:tcPr>
            <w:tcW w:w="0" w:type="dxa"/>
            <w:vAlign w:val="bottom"/>
          </w:tcPr>
          <w:p>
            <w:pPr>
              <w:spacing w:after="0"/>
              <w:rPr>
                <w:sz w:val="1"/>
                <w:szCs w:val="1"/>
                <w:color w:val="auto"/>
              </w:rPr>
            </w:pPr>
          </w:p>
        </w:tc>
      </w:tr>
      <w:tr>
        <w:trPr>
          <w:trHeight w:val="150"/>
        </w:trPr>
        <w:tc>
          <w:tcPr>
            <w:tcW w:w="1260" w:type="dxa"/>
            <w:vAlign w:val="bottom"/>
            <w:tcBorders>
              <w:bottom w:val="single" w:sz="8" w:color="0000EE"/>
            </w:tcBorders>
            <w:gridSpan w:val="6"/>
          </w:tcPr>
          <w:p>
            <w:pPr>
              <w:spacing w:after="0" w:line="150" w:lineRule="exact"/>
              <w:rPr>
                <w:sz w:val="20"/>
                <w:szCs w:val="20"/>
                <w:color w:val="auto"/>
              </w:rPr>
            </w:pPr>
            <w:r>
              <w:rPr>
                <w:rFonts w:ascii="Times New Roman" w:cs="Times New Roman" w:eastAsia="Times New Roman" w:hAnsi="Times New Roman"/>
                <w:sz w:val="14"/>
                <w:szCs w:val="14"/>
                <w:color w:val="0000EE"/>
              </w:rPr>
              <w:t>USE OF PROCEEDS</w:t>
            </w:r>
          </w:p>
        </w:tc>
        <w:tc>
          <w:tcPr>
            <w:tcW w:w="7020" w:type="dxa"/>
            <w:vAlign w:val="bottom"/>
            <w:gridSpan w:val="15"/>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11</w:t>
            </w:r>
          </w:p>
        </w:tc>
        <w:tc>
          <w:tcPr>
            <w:tcW w:w="0" w:type="dxa"/>
            <w:vAlign w:val="bottom"/>
          </w:tcPr>
          <w:p>
            <w:pPr>
              <w:spacing w:after="0"/>
              <w:rPr>
                <w:sz w:val="1"/>
                <w:szCs w:val="1"/>
                <w:color w:val="auto"/>
              </w:rPr>
            </w:pPr>
          </w:p>
        </w:tc>
      </w:tr>
      <w:tr>
        <w:trPr>
          <w:trHeight w:val="150"/>
        </w:trPr>
        <w:tc>
          <w:tcPr>
            <w:tcW w:w="1240" w:type="dxa"/>
            <w:vAlign w:val="bottom"/>
            <w:tcBorders>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w w:val="99"/>
              </w:rPr>
              <w:t>DIVIDEND POLICY</w:t>
            </w:r>
          </w:p>
        </w:tc>
        <w:tc>
          <w:tcPr>
            <w:tcW w:w="7040" w:type="dxa"/>
            <w:vAlign w:val="bottom"/>
            <w:gridSpan w:val="16"/>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12</w:t>
            </w:r>
          </w:p>
        </w:tc>
        <w:tc>
          <w:tcPr>
            <w:tcW w:w="0" w:type="dxa"/>
            <w:vAlign w:val="bottom"/>
          </w:tcPr>
          <w:p>
            <w:pPr>
              <w:spacing w:after="0"/>
              <w:rPr>
                <w:sz w:val="1"/>
                <w:szCs w:val="1"/>
                <w:color w:val="auto"/>
              </w:rPr>
            </w:pPr>
          </w:p>
        </w:tc>
      </w:tr>
      <w:tr>
        <w:trPr>
          <w:trHeight w:val="150"/>
        </w:trPr>
        <w:tc>
          <w:tcPr>
            <w:tcW w:w="828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GENERAL DESCRIPTION OF SECURITIES</w:t>
            </w: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13</w:t>
            </w:r>
          </w:p>
        </w:tc>
        <w:tc>
          <w:tcPr>
            <w:tcW w:w="0" w:type="dxa"/>
            <w:vAlign w:val="bottom"/>
          </w:tcPr>
          <w:p>
            <w:pPr>
              <w:spacing w:after="0"/>
              <w:rPr>
                <w:sz w:val="1"/>
                <w:szCs w:val="1"/>
                <w:color w:val="auto"/>
              </w:rPr>
            </w:pPr>
          </w:p>
        </w:tc>
      </w:tr>
      <w:tr>
        <w:trPr>
          <w:trHeight w:val="150"/>
        </w:trPr>
        <w:tc>
          <w:tcPr>
            <w:tcW w:w="2260" w:type="dxa"/>
            <w:vAlign w:val="bottom"/>
            <w:tcBorders>
              <w:top w:val="single" w:sz="8" w:color="0000EE"/>
              <w:bottom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w w:val="99"/>
              </w:rPr>
              <w:t>DESCRIPTION OF CAPITAL STOCK</w:t>
            </w:r>
          </w:p>
        </w:tc>
        <w:tc>
          <w:tcPr>
            <w:tcW w:w="400" w:type="dxa"/>
            <w:vAlign w:val="bottom"/>
            <w:tcBorders>
              <w:top w:val="single" w:sz="8" w:color="0000EE"/>
            </w:tcBorders>
            <w:gridSpan w:val="3"/>
          </w:tcPr>
          <w:p>
            <w:pPr>
              <w:spacing w:after="0"/>
              <w:rPr>
                <w:sz w:val="13"/>
                <w:szCs w:val="13"/>
                <w:color w:val="auto"/>
              </w:rPr>
            </w:pPr>
          </w:p>
        </w:tc>
        <w:tc>
          <w:tcPr>
            <w:tcW w:w="5620" w:type="dxa"/>
            <w:vAlign w:val="bottom"/>
            <w:gridSpan w:val="6"/>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14</w:t>
            </w:r>
          </w:p>
        </w:tc>
        <w:tc>
          <w:tcPr>
            <w:tcW w:w="0" w:type="dxa"/>
            <w:vAlign w:val="bottom"/>
          </w:tcPr>
          <w:p>
            <w:pPr>
              <w:spacing w:after="0"/>
              <w:rPr>
                <w:sz w:val="1"/>
                <w:szCs w:val="1"/>
                <w:color w:val="auto"/>
              </w:rPr>
            </w:pPr>
          </w:p>
        </w:tc>
      </w:tr>
      <w:tr>
        <w:trPr>
          <w:trHeight w:val="150"/>
        </w:trPr>
        <w:tc>
          <w:tcPr>
            <w:tcW w:w="2380" w:type="dxa"/>
            <w:vAlign w:val="bottom"/>
            <w:tcBorders>
              <w:bottom w:val="single" w:sz="8" w:color="0000EE"/>
            </w:tcBorders>
            <w:gridSpan w:val="13"/>
          </w:tcPr>
          <w:p>
            <w:pPr>
              <w:spacing w:after="0" w:line="150"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5900" w:type="dxa"/>
            <w:vAlign w:val="bottom"/>
            <w:gridSpan w:val="8"/>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21</w:t>
            </w:r>
          </w:p>
        </w:tc>
        <w:tc>
          <w:tcPr>
            <w:tcW w:w="0" w:type="dxa"/>
            <w:vAlign w:val="bottom"/>
          </w:tcPr>
          <w:p>
            <w:pPr>
              <w:spacing w:after="0"/>
              <w:rPr>
                <w:sz w:val="1"/>
                <w:szCs w:val="1"/>
                <w:color w:val="auto"/>
              </w:rPr>
            </w:pPr>
          </w:p>
        </w:tc>
      </w:tr>
      <w:tr>
        <w:trPr>
          <w:trHeight w:val="150"/>
        </w:trPr>
        <w:tc>
          <w:tcPr>
            <w:tcW w:w="828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DESCRIPTION OF WARRANTS</w:t>
            </w: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28</w:t>
            </w:r>
          </w:p>
        </w:tc>
        <w:tc>
          <w:tcPr>
            <w:tcW w:w="0" w:type="dxa"/>
            <w:vAlign w:val="bottom"/>
          </w:tcPr>
          <w:p>
            <w:pPr>
              <w:spacing w:after="0"/>
              <w:rPr>
                <w:sz w:val="1"/>
                <w:szCs w:val="1"/>
                <w:color w:val="auto"/>
              </w:rPr>
            </w:pPr>
          </w:p>
        </w:tc>
      </w:tr>
      <w:tr>
        <w:trPr>
          <w:trHeight w:val="150"/>
        </w:trPr>
        <w:tc>
          <w:tcPr>
            <w:tcW w:w="1940" w:type="dxa"/>
            <w:vAlign w:val="bottom"/>
            <w:tcBorders>
              <w:top w:val="single" w:sz="8" w:color="0000EE"/>
            </w:tcBorders>
            <w:gridSpan w:val="11"/>
          </w:tcPr>
          <w:p>
            <w:pPr>
              <w:spacing w:after="0" w:line="150" w:lineRule="exact"/>
              <w:rPr>
                <w:sz w:val="20"/>
                <w:szCs w:val="20"/>
                <w:color w:val="auto"/>
              </w:rPr>
            </w:pPr>
            <w:r>
              <w:rPr>
                <w:rFonts w:ascii="Times New Roman" w:cs="Times New Roman" w:eastAsia="Times New Roman" w:hAnsi="Times New Roman"/>
                <w:sz w:val="14"/>
                <w:szCs w:val="14"/>
                <w:color w:val="0000EE"/>
              </w:rPr>
              <w:t>DESCRIPTION OF UNITS</w:t>
            </w:r>
          </w:p>
        </w:tc>
        <w:tc>
          <w:tcPr>
            <w:tcW w:w="6340" w:type="dxa"/>
            <w:vAlign w:val="bottom"/>
            <w:gridSpan w:val="10"/>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29</w:t>
            </w:r>
          </w:p>
        </w:tc>
        <w:tc>
          <w:tcPr>
            <w:tcW w:w="0" w:type="dxa"/>
            <w:vAlign w:val="bottom"/>
          </w:tcPr>
          <w:p>
            <w:pPr>
              <w:spacing w:after="0"/>
              <w:rPr>
                <w:sz w:val="1"/>
                <w:szCs w:val="1"/>
                <w:color w:val="auto"/>
              </w:rPr>
            </w:pPr>
          </w:p>
        </w:tc>
      </w:tr>
      <w:tr>
        <w:trPr>
          <w:trHeight w:val="20"/>
        </w:trPr>
        <w:tc>
          <w:tcPr>
            <w:tcW w:w="1580" w:type="dxa"/>
            <w:vAlign w:val="bottom"/>
            <w:gridSpan w:val="8"/>
            <w:shd w:val="clear" w:color="auto" w:fill="0000EE"/>
          </w:tcPr>
          <w:p>
            <w:pPr>
              <w:spacing w:after="0" w:line="20" w:lineRule="exact"/>
              <w:rPr>
                <w:sz w:val="1"/>
                <w:szCs w:val="1"/>
                <w:color w:val="auto"/>
              </w:rPr>
            </w:pPr>
          </w:p>
        </w:tc>
        <w:tc>
          <w:tcPr>
            <w:tcW w:w="6700" w:type="dxa"/>
            <w:vAlign w:val="bottom"/>
            <w:gridSpan w:val="13"/>
          </w:tcPr>
          <w:p>
            <w:pPr>
              <w:spacing w:after="0" w:line="20" w:lineRule="exact"/>
              <w:rPr>
                <w:sz w:val="1"/>
                <w:szCs w:val="1"/>
                <w:color w:val="auto"/>
              </w:rPr>
            </w:pPr>
          </w:p>
        </w:tc>
        <w:tc>
          <w:tcPr>
            <w:tcW w:w="340" w:type="dxa"/>
            <w:vAlign w:val="bottom"/>
            <w:gridSpan w:val="3"/>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8280" w:type="dxa"/>
            <w:vAlign w:val="bottom"/>
            <w:gridSpan w:val="21"/>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32</w:t>
            </w:r>
          </w:p>
        </w:tc>
        <w:tc>
          <w:tcPr>
            <w:tcW w:w="0" w:type="dxa"/>
            <w:vAlign w:val="bottom"/>
          </w:tcPr>
          <w:p>
            <w:pPr>
              <w:spacing w:after="0"/>
              <w:rPr>
                <w:sz w:val="1"/>
                <w:szCs w:val="1"/>
                <w:color w:val="auto"/>
              </w:rPr>
            </w:pPr>
          </w:p>
        </w:tc>
      </w:tr>
      <w:tr>
        <w:trPr>
          <w:trHeight w:val="150"/>
        </w:trPr>
        <w:tc>
          <w:tcPr>
            <w:tcW w:w="1600" w:type="dxa"/>
            <w:vAlign w:val="bottom"/>
            <w:tcBorders>
              <w:top w:val="single" w:sz="8" w:color="0000EE"/>
            </w:tcBorders>
            <w:gridSpan w:val="9"/>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6680" w:type="dxa"/>
            <w:vAlign w:val="bottom"/>
            <w:gridSpan w:val="12"/>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150"/>
        </w:trPr>
        <w:tc>
          <w:tcPr>
            <w:tcW w:w="1140" w:type="dxa"/>
            <w:vAlign w:val="bottom"/>
            <w:tcBorders>
              <w:top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rPr>
              <w:t>EXPERTS</w:t>
            </w:r>
          </w:p>
        </w:tc>
        <w:tc>
          <w:tcPr>
            <w:tcW w:w="7140" w:type="dxa"/>
            <w:vAlign w:val="bottom"/>
            <w:gridSpan w:val="17"/>
          </w:tcPr>
          <w:p>
            <w:pPr>
              <w:spacing w:after="0"/>
              <w:rPr>
                <w:sz w:val="13"/>
                <w:szCs w:val="13"/>
                <w:color w:val="auto"/>
              </w:rPr>
            </w:pPr>
          </w:p>
        </w:tc>
        <w:tc>
          <w:tcPr>
            <w:tcW w:w="340" w:type="dxa"/>
            <w:vAlign w:val="bottom"/>
            <w:gridSpan w:val="3"/>
          </w:tcPr>
          <w:p>
            <w:pPr>
              <w:jc w:val="right"/>
              <w:ind w:right="20"/>
              <w:spacing w:after="0" w:line="150" w:lineRule="exact"/>
              <w:rPr>
                <w:sz w:val="20"/>
                <w:szCs w:val="20"/>
                <w:color w:val="auto"/>
              </w:rPr>
            </w:pPr>
            <w:r>
              <w:rPr>
                <w:rFonts w:ascii="Times New Roman" w:cs="Times New Roman" w:eastAsia="Times New Roman" w:hAnsi="Times New Roman"/>
                <w:sz w:val="14"/>
                <w:szCs w:val="14"/>
                <w:color w:val="auto"/>
              </w:rPr>
              <w:t>35</w:t>
            </w:r>
          </w:p>
        </w:tc>
        <w:tc>
          <w:tcPr>
            <w:tcW w:w="0" w:type="dxa"/>
            <w:vAlign w:val="bottom"/>
          </w:tcPr>
          <w:p>
            <w:pPr>
              <w:spacing w:after="0"/>
              <w:rPr>
                <w:sz w:val="1"/>
                <w:szCs w:val="1"/>
                <w:color w:val="auto"/>
              </w:rPr>
            </w:pPr>
          </w:p>
        </w:tc>
      </w:tr>
      <w:tr>
        <w:trPr>
          <w:trHeight w:val="20"/>
        </w:trPr>
        <w:tc>
          <w:tcPr>
            <w:tcW w:w="600" w:type="dxa"/>
            <w:vAlign w:val="bottom"/>
            <w:shd w:val="clear" w:color="auto" w:fill="0000EE"/>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37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2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w:t>
      </w:r>
    </w:p>
    <w:p>
      <w:pPr>
        <w:sectPr>
          <w:pgSz w:w="11900" w:h="16838" w:orient="portrait"/>
          <w:cols w:equalWidth="0" w:num="1">
            <w:col w:w="9019"/>
          </w:cols>
          <w:pgMar w:left="1440" w:top="239" w:right="1440" w:bottom="1440" w:gutter="0" w:footer="0" w:header="0"/>
        </w:sectPr>
      </w:pPr>
    </w:p>
    <w:bookmarkStart w:id="2" w:name="page3"/>
    <w:bookmarkEnd w:id="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ABOUT THIS PROSPECTUS SUPPLEMENT</w:t>
      </w:r>
    </w:p>
    <w:p>
      <w:pPr>
        <w:spacing w:after="0" w:line="180" w:lineRule="exact"/>
        <w:rPr>
          <w:sz w:val="20"/>
          <w:szCs w:val="20"/>
          <w:color w:val="auto"/>
        </w:rPr>
      </w:pPr>
    </w:p>
    <w:p>
      <w:pPr>
        <w:ind w:left="180" w:right="639" w:firstLine="346"/>
        <w:spacing w:after="0" w:line="286" w:lineRule="auto"/>
        <w:rPr>
          <w:sz w:val="20"/>
          <w:szCs w:val="20"/>
          <w:color w:val="auto"/>
        </w:rPr>
      </w:pPr>
      <w:r>
        <w:rPr>
          <w:rFonts w:ascii="Times New Roman" w:cs="Times New Roman" w:eastAsia="Times New Roman" w:hAnsi="Times New Roman"/>
          <w:sz w:val="14"/>
          <w:szCs w:val="14"/>
          <w:color w:val="auto"/>
        </w:rPr>
        <w:t>This prospectus supplement is part of an automatic shelf registration statement on Form S-3 that we filed with the Securities and Exchange Commission, or the SEC, as a “well-known seasoned issuer” as defined in Rule 405 of the Securities Act.</w:t>
      </w:r>
    </w:p>
    <w:p>
      <w:pPr>
        <w:spacing w:after="0" w:line="125" w:lineRule="exact"/>
        <w:rPr>
          <w:sz w:val="20"/>
          <w:szCs w:val="20"/>
          <w:color w:val="auto"/>
        </w:rPr>
      </w:pPr>
    </w:p>
    <w:p>
      <w:pPr>
        <w:ind w:left="180" w:right="259" w:firstLine="346"/>
        <w:spacing w:after="0" w:line="264" w:lineRule="auto"/>
        <w:rPr>
          <w:sz w:val="20"/>
          <w:szCs w:val="20"/>
          <w:color w:val="auto"/>
        </w:rPr>
      </w:pPr>
      <w:r>
        <w:rPr>
          <w:rFonts w:ascii="Times New Roman" w:cs="Times New Roman" w:eastAsia="Times New Roman" w:hAnsi="Times New Roman"/>
          <w:sz w:val="14"/>
          <w:szCs w:val="14"/>
          <w:color w:val="auto"/>
        </w:rPr>
        <w:t>This document is in two parts. The first part is this prospectus supplement, which describes the specific terms of this offering of shares of our common stock having an aggregate offering price of up to $189,925,765 from time to time through or to TD Cowen, acting as our sales agent, at prices and on terms to be determined by market conditions at the time of offering. The second part is the accompanying base prospectus, which provides more general information, some of which may not apply to this offering.</w:t>
      </w:r>
    </w:p>
    <w:p>
      <w:pPr>
        <w:spacing w:after="0" w:line="140" w:lineRule="exact"/>
        <w:rPr>
          <w:sz w:val="20"/>
          <w:szCs w:val="20"/>
          <w:color w:val="auto"/>
        </w:rPr>
      </w:pPr>
    </w:p>
    <w:p>
      <w:pPr>
        <w:ind w:left="180" w:right="219" w:firstLine="346"/>
        <w:spacing w:after="0" w:line="257" w:lineRule="auto"/>
        <w:rPr>
          <w:sz w:val="20"/>
          <w:szCs w:val="20"/>
          <w:color w:val="auto"/>
        </w:rPr>
      </w:pPr>
      <w:r>
        <w:rPr>
          <w:rFonts w:ascii="Times New Roman" w:cs="Times New Roman" w:eastAsia="Times New Roman" w:hAnsi="Times New Roman"/>
          <w:sz w:val="14"/>
          <w:szCs w:val="14"/>
          <w:color w:val="auto"/>
        </w:rPr>
        <w:t>Before buying any of the shares of common stock offered hereby, we urge you to read carefully this prospectus supplement and the accompanying base prospectus, together with the information incorporated herein by reference as described below under the heading “Incorporation of Certain Information by Reference.” These documents contain important information that you should consider when making your investment decision. To the extent there is a conflict between the information contained in this prospectus supplement, on the one hand, and the accompanying base prospectus or the information contained in any document incorporated by reference in this prospectus supplement that was filed with the SEC before the date of this prospectus supplement, on the other hand, you should rely on the information in this prospectus supplement, provided that if any statement in one of these documents is inconsistent with a statement in another document having a later date—for example, a document incorporated by reference in this prospectus—the statement in the document having the later date modifies or supersedes the earlier statement.</w:t>
      </w:r>
    </w:p>
    <w:p>
      <w:pPr>
        <w:spacing w:after="0" w:line="147" w:lineRule="exact"/>
        <w:rPr>
          <w:sz w:val="20"/>
          <w:szCs w:val="20"/>
          <w:color w:val="auto"/>
        </w:rPr>
      </w:pPr>
    </w:p>
    <w:p>
      <w:pPr>
        <w:ind w:left="180" w:right="259" w:firstLine="346"/>
        <w:spacing w:after="0" w:line="257" w:lineRule="auto"/>
        <w:rPr>
          <w:sz w:val="20"/>
          <w:szCs w:val="20"/>
          <w:color w:val="auto"/>
        </w:rPr>
      </w:pPr>
      <w:r>
        <w:rPr>
          <w:rFonts w:ascii="Times New Roman" w:cs="Times New Roman" w:eastAsia="Times New Roman" w:hAnsi="Times New Roman"/>
          <w:sz w:val="14"/>
          <w:szCs w:val="14"/>
          <w:color w:val="auto"/>
        </w:rPr>
        <w:t>We have not, and TD Cowen has not, authorized anyone to provide you with information other than the information that we have provided or incorporated by reference in this prospectus supplement or the accompanying base prospectus and your reliance on any unauthorized information or representation is at your own risk. We and TD Cowen take no responsibility for, and can provide no assurance as to the reliability of, any other information that others may give you. This prospectus supplement may be used only in jurisdictions where offers and sales of these securities are permitted. You should assume that the information appearing in this prospectus supplement is accurate only as of the date of this prospectus supplement and that any information we have incorporated by reference is accurate only as of the date of the document incorporated by reference, regardless of the time of delivery of this prospectus supplement, or any sale of our common stock. Our business, financial condition and results of operations may have changed since those dates.</w:t>
      </w:r>
    </w:p>
    <w:p>
      <w:pPr>
        <w:spacing w:after="0" w:line="147" w:lineRule="exact"/>
        <w:rPr>
          <w:sz w:val="20"/>
          <w:szCs w:val="20"/>
          <w:color w:val="auto"/>
        </w:rPr>
      </w:pPr>
    </w:p>
    <w:p>
      <w:pPr>
        <w:ind w:left="180" w:right="239" w:firstLine="346"/>
        <w:spacing w:after="0" w:line="257" w:lineRule="auto"/>
        <w:rPr>
          <w:sz w:val="20"/>
          <w:szCs w:val="20"/>
          <w:color w:val="auto"/>
        </w:rPr>
      </w:pPr>
      <w:r>
        <w:rPr>
          <w:rFonts w:ascii="Times New Roman" w:cs="Times New Roman" w:eastAsia="Times New Roman" w:hAnsi="Times New Roman"/>
          <w:sz w:val="14"/>
          <w:szCs w:val="14"/>
          <w:color w:val="auto"/>
        </w:rPr>
        <w:t>We are offering to sell, and seeking offers to buy, shares of common stock only in jurisdictions where offers and sales are permitted. The distribution of this prospectus supplement and the accompanying base prospectus and the offering of the common stock in certain jurisdictions may be restricted by law. No action is being taken in any jurisdiction outside the United States to permit a public offering of the securities or possession or distribution of this prospectus supplement or the accompanying base prospectus in that jurisdiction. Persons outside the United States who come into possession of this prospectus supplement and the accompanying base prospectus must inform themselves about, and observe any restrictions relating to, the offering of the common stock and the distribution of this prospectus supplement and the accompanying base prospectus outside the United States. This prospectus supplement and the accompanying base prospectus do not constitute, and may not be used in connection with, an offer to sell, or a solicitation of an offer to buy, any securities offered by this prospectus supplement and the accompanying base prospectus by any person in any jurisdiction in which it is unlawful for such person to make such an offer or solicitation.</w:t>
      </w:r>
    </w:p>
    <w:p>
      <w:pPr>
        <w:spacing w:after="0" w:line="145" w:lineRule="exact"/>
        <w:rPr>
          <w:sz w:val="20"/>
          <w:szCs w:val="20"/>
          <w:color w:val="auto"/>
        </w:rPr>
      </w:pPr>
    </w:p>
    <w:p>
      <w:pPr>
        <w:ind w:left="180" w:right="299" w:firstLine="346"/>
        <w:spacing w:after="0" w:line="269" w:lineRule="auto"/>
        <w:rPr>
          <w:sz w:val="20"/>
          <w:szCs w:val="20"/>
          <w:color w:val="auto"/>
        </w:rPr>
      </w:pPr>
      <w:r>
        <w:rPr>
          <w:rFonts w:ascii="Times New Roman" w:cs="Times New Roman" w:eastAsia="Times New Roman" w:hAnsi="Times New Roman"/>
          <w:sz w:val="14"/>
          <w:szCs w:val="14"/>
          <w:color w:val="auto"/>
        </w:rPr>
        <w:t>We further note that the representations, warranties and covenants made by us in any agreement that is filed as an exhibit to any document that is incorporated by reference herein were made solely for the benefit of the parties to such agreement, including, in some cases, for the purpose of allocating risk among the parties to such agreements, and should not be deemed to be a representation, warranty or covenant to you. Moreover, such</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S-ii</w:t>
      </w:r>
    </w:p>
    <w:p>
      <w:pPr>
        <w:sectPr>
          <w:pgSz w:w="11900" w:h="16838" w:orient="portrait"/>
          <w:cols w:equalWidth="0" w:num="1">
            <w:col w:w="9019"/>
          </w:cols>
          <w:pgMar w:left="1440" w:top="239" w:right="1440" w:bottom="1440" w:gutter="0" w:footer="0" w:header="0"/>
        </w:sectPr>
      </w:pPr>
    </w:p>
    <w:bookmarkStart w:id="3" w:name="page4"/>
    <w:bookmarkEnd w:id="3"/>
    <w:p>
      <w:pPr>
        <w:ind w:left="180" w:right="519"/>
        <w:spacing w:after="0" w:line="28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representations, warranties or covenants were accurate only as of the date when made. Accordingly, such representations, warranties and covenants should not be relied on as accurately representing the current state of our affairs.</w:t>
      </w:r>
    </w:p>
    <w:p>
      <w:pPr>
        <w:spacing w:after="0" w:line="125" w:lineRule="exact"/>
        <w:rPr>
          <w:sz w:val="20"/>
          <w:szCs w:val="20"/>
          <w:color w:val="auto"/>
        </w:rPr>
      </w:pPr>
    </w:p>
    <w:p>
      <w:pPr>
        <w:ind w:left="180" w:right="219" w:firstLine="346"/>
        <w:spacing w:after="0" w:line="261" w:lineRule="auto"/>
        <w:rPr>
          <w:sz w:val="20"/>
          <w:szCs w:val="20"/>
          <w:color w:val="auto"/>
        </w:rPr>
      </w:pPr>
      <w:r>
        <w:rPr>
          <w:rFonts w:ascii="Times New Roman" w:cs="Times New Roman" w:eastAsia="Times New Roman" w:hAnsi="Times New Roman"/>
          <w:sz w:val="14"/>
          <w:szCs w:val="14"/>
          <w:color w:val="auto"/>
        </w:rPr>
        <w:t>On December 29, 2022, we acquired Disc Medicine Opco, Inc. (formerly Disc Medicine, Inc.), or Private Disc, pursuant to an agreement and plan of merger, or the Merger, and we changed our name to Disc Medicine, Inc. on December 29, 2022. As used in this prospectus supplement,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pacing w:after="0" w:line="142" w:lineRule="exact"/>
        <w:rPr>
          <w:sz w:val="20"/>
          <w:szCs w:val="20"/>
          <w:color w:val="auto"/>
        </w:rPr>
      </w:pPr>
    </w:p>
    <w:p>
      <w:pPr>
        <w:ind w:left="180" w:right="359" w:firstLine="346"/>
        <w:spacing w:after="0" w:line="286" w:lineRule="auto"/>
        <w:rPr>
          <w:sz w:val="20"/>
          <w:szCs w:val="20"/>
          <w:color w:val="auto"/>
        </w:rPr>
      </w:pPr>
      <w:r>
        <w:rPr>
          <w:rFonts w:ascii="Times New Roman" w:cs="Times New Roman" w:eastAsia="Times New Roman" w:hAnsi="Times New Roman"/>
          <w:sz w:val="14"/>
          <w:szCs w:val="14"/>
          <w:color w:val="auto"/>
        </w:rPr>
        <w:t>All references in this prospectus supplement and the accompanying prospectus to our consolidated financial statements include the related notes thereto.</w:t>
      </w:r>
    </w:p>
    <w:p>
      <w:pPr>
        <w:spacing w:after="0" w:line="125" w:lineRule="exact"/>
        <w:rPr>
          <w:sz w:val="20"/>
          <w:szCs w:val="20"/>
          <w:color w:val="auto"/>
        </w:rPr>
      </w:pPr>
    </w:p>
    <w:p>
      <w:pPr>
        <w:jc w:val="both"/>
        <w:ind w:left="180" w:right="259" w:firstLine="346"/>
        <w:spacing w:after="0" w:line="229" w:lineRule="auto"/>
        <w:rPr>
          <w:sz w:val="20"/>
          <w:szCs w:val="20"/>
          <w:color w:val="auto"/>
        </w:rPr>
      </w:pPr>
      <w:r>
        <w:rPr>
          <w:rFonts w:ascii="Times New Roman" w:cs="Times New Roman" w:eastAsia="Times New Roman" w:hAnsi="Times New Roman"/>
          <w:sz w:val="14"/>
          <w:szCs w:val="14"/>
          <w:color w:val="auto"/>
        </w:rPr>
        <w:t xml:space="preserve">Disc Medicine, Inc., the Disc logo and our other registered or common law trademarks, trade names or service marks appearing in this prospectus supplement are owned by us. All other trademarks or trade names referred to in this prospectus supplement are the property of their respective owners. Solely for convenience, the trademarks and trade names in this prospectus supplement are referred to without the symbols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21"/>
          <w:szCs w:val="21"/>
          <w:color w:val="auto"/>
          <w:vertAlign w:val="superscript"/>
        </w:rPr>
        <w:t>™</w:t>
      </w:r>
      <w:r>
        <w:rPr>
          <w:rFonts w:ascii="Times New Roman" w:cs="Times New Roman" w:eastAsia="Times New Roman" w:hAnsi="Times New Roman"/>
          <w:sz w:val="14"/>
          <w:szCs w:val="14"/>
          <w:color w:val="auto"/>
        </w:rPr>
        <w:t>, but such references should not be construed as any indicator that their respective owners will not assert, to the fullest extent under applicable law, their rights thereto.</w:t>
      </w:r>
    </w:p>
    <w:p>
      <w:pPr>
        <w:spacing w:after="0" w:line="10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S-iii</w:t>
      </w:r>
    </w:p>
    <w:p>
      <w:pPr>
        <w:sectPr>
          <w:pgSz w:w="11900" w:h="16838" w:orient="portrait"/>
          <w:cols w:equalWidth="0" w:num="1">
            <w:col w:w="9019"/>
          </w:cols>
          <w:pgMar w:left="1440" w:top="241" w:right="1440" w:bottom="1440" w:gutter="0" w:footer="0" w:header="0"/>
        </w:sectPr>
      </w:pPr>
    </w:p>
    <w:bookmarkStart w:id="4" w:name="page5"/>
    <w:bookmarkEnd w:id="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CAUTIONARY NOTE REGARDING FORWARD-LOOKING STATEMENTS</w:t>
      </w:r>
    </w:p>
    <w:p>
      <w:pPr>
        <w:spacing w:after="0" w:line="180" w:lineRule="exact"/>
        <w:rPr>
          <w:sz w:val="20"/>
          <w:szCs w:val="20"/>
          <w:color w:val="auto"/>
        </w:rPr>
      </w:pPr>
    </w:p>
    <w:p>
      <w:pPr>
        <w:ind w:left="180" w:right="219" w:firstLine="346"/>
        <w:spacing w:after="0" w:line="257" w:lineRule="auto"/>
        <w:rPr>
          <w:sz w:val="20"/>
          <w:szCs w:val="20"/>
          <w:color w:val="auto"/>
        </w:rPr>
      </w:pPr>
      <w:r>
        <w:rPr>
          <w:rFonts w:ascii="Times New Roman" w:cs="Times New Roman" w:eastAsia="Times New Roman" w:hAnsi="Times New Roman"/>
          <w:sz w:val="14"/>
          <w:szCs w:val="14"/>
          <w:color w:val="auto"/>
        </w:rPr>
        <w:t>This prospectus supplement, the accompanying base prospectus and the documents that we incorporate by reference contain “forward-looking statements” within the meaning of Section 27A of the Securities Act and Section 21E of the Exchange Act. All statements, other than statements of historical facts, included in this prospectus supplement and the accompanying base prospectus, including the documents that we incorporate by reference, regarding our strategy, future operations, future financial position, future revenue, projected costs, prospects, plans, objectives of management and expected market growth are forward-looking statements. The words “anticipate,” “believe,” “continue,” “could,” “estimate,” “expect,” “intend,” “may,” “plan,” “potential,” “predict,” “project,” “should,” “target,” “will,” “would” and similar expressions are intended to identify forward-looking statements, although not all forward-looking statements contain these identifying words. These forward-looking statements include, among other things, statements about:</w:t>
      </w:r>
    </w:p>
    <w:p>
      <w:pPr>
        <w:spacing w:after="0" w:line="73" w:lineRule="exact"/>
        <w:rPr>
          <w:sz w:val="20"/>
          <w:szCs w:val="20"/>
          <w:color w:val="auto"/>
        </w:rPr>
      </w:pPr>
    </w:p>
    <w:p>
      <w:pPr>
        <w:ind w:left="520" w:right="379" w:hanging="256"/>
        <w:spacing w:after="0" w:line="269" w:lineRule="auto"/>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results, and cost of our research and development programs and our current and future preclinical studies and clinical trials, including statements regarding the timing of initiation and completion of studies or trials and related preparatory work, the period during which the results of the trials will become available, and our research and development programs;</w:t>
      </w:r>
    </w:p>
    <w:p>
      <w:pPr>
        <w:spacing w:after="0" w:line="6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efficiently discover and develop product candidates;</w:t>
      </w:r>
    </w:p>
    <w:p>
      <w:pPr>
        <w:spacing w:after="0" w:line="104" w:lineRule="exact"/>
        <w:rPr>
          <w:rFonts w:ascii="Times New Roman" w:cs="Times New Roman" w:eastAsia="Times New Roman" w:hAnsi="Times New Roman"/>
          <w:sz w:val="14"/>
          <w:szCs w:val="14"/>
          <w:color w:val="auto"/>
        </w:rPr>
      </w:pPr>
    </w:p>
    <w:p>
      <w:pPr>
        <w:ind w:left="520" w:right="359" w:hanging="256"/>
        <w:spacing w:after="0" w:line="286" w:lineRule="auto"/>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successfully manufacture our drug substances and product candidates for preclinical use, for clinical trials and on a larger scale for commercial use, if approved;</w:t>
      </w:r>
    </w:p>
    <w:p>
      <w:pPr>
        <w:spacing w:after="0" w:line="50"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necessary to further develop and, if approved, commercialize our product candidates;</w:t>
      </w:r>
    </w:p>
    <w:p>
      <w:pPr>
        <w:spacing w:after="0" w:line="104" w:lineRule="exact"/>
        <w:rPr>
          <w:rFonts w:ascii="Times New Roman" w:cs="Times New Roman" w:eastAsia="Times New Roman" w:hAnsi="Times New Roman"/>
          <w:sz w:val="14"/>
          <w:szCs w:val="14"/>
          <w:color w:val="auto"/>
        </w:rPr>
      </w:pPr>
    </w:p>
    <w:p>
      <w:pPr>
        <w:ind w:left="520" w:right="339" w:hanging="256"/>
        <w:spacing w:after="0" w:line="286" w:lineRule="auto"/>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of bitopertin and any of our other product candidates, and the timing of any such potential approvals;</w:t>
      </w:r>
    </w:p>
    <w:p>
      <w:pPr>
        <w:spacing w:after="0" w:line="50"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our products, if approved;</w:t>
      </w:r>
    </w:p>
    <w:p>
      <w:pPr>
        <w:spacing w:after="0" w:line="10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10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and product candidates;</w:t>
      </w:r>
    </w:p>
    <w:p>
      <w:pPr>
        <w:spacing w:after="0" w:line="10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w:t>
      </w:r>
    </w:p>
    <w:p>
      <w:pPr>
        <w:spacing w:after="0" w:line="10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future expenses, revenues, capital requirements, and our needs for additional financing;</w:t>
      </w:r>
    </w:p>
    <w:p>
      <w:pPr>
        <w:spacing w:after="0" w:line="10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comply with our current and future debt obligations;</w:t>
      </w:r>
    </w:p>
    <w:p>
      <w:pPr>
        <w:spacing w:after="0" w:line="104" w:lineRule="exact"/>
        <w:rPr>
          <w:rFonts w:ascii="Times New Roman" w:cs="Times New Roman" w:eastAsia="Times New Roman" w:hAnsi="Times New Roman"/>
          <w:sz w:val="14"/>
          <w:szCs w:val="14"/>
          <w:color w:val="auto"/>
        </w:rPr>
      </w:pPr>
    </w:p>
    <w:p>
      <w:pPr>
        <w:ind w:left="520" w:right="479" w:hanging="256"/>
        <w:spacing w:after="0" w:line="286" w:lineRule="auto"/>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0"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agreements with third parties in connection with the commercialization of our product candidates, if approved;</w:t>
      </w:r>
    </w:p>
    <w:p>
      <w:pPr>
        <w:spacing w:after="0" w:line="10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10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10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w:t>
      </w:r>
    </w:p>
    <w:p>
      <w:pPr>
        <w:spacing w:after="0" w:line="10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developments in the United States and foreign countries;</w:t>
      </w:r>
    </w:p>
    <w:p>
      <w:pPr>
        <w:spacing w:after="0" w:line="10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w:t>
      </w:r>
    </w:p>
    <w:p>
      <w:pPr>
        <w:spacing w:after="0" w:line="10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our products or product candidates with advantages in turnaround times or manufacturing cost;</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S-iv</w:t>
      </w:r>
    </w:p>
    <w:p>
      <w:pPr>
        <w:sectPr>
          <w:pgSz w:w="11900" w:h="16838" w:orient="portrait"/>
          <w:cols w:equalWidth="0" w:num="1">
            <w:col w:w="9019"/>
          </w:cols>
          <w:pgMar w:left="1440" w:top="239" w:right="1440" w:bottom="1440" w:gutter="0" w:footer="0" w:header="0"/>
        </w:sectPr>
      </w:pPr>
    </w:p>
    <w:bookmarkStart w:id="5" w:name="page6"/>
    <w:bookmarkEnd w:id="5"/>
    <w:p>
      <w:pPr>
        <w:ind w:left="520" w:hanging="256"/>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success of competing therapies that are or may become available;</w:t>
      </w:r>
    </w:p>
    <w:p>
      <w:pPr>
        <w:spacing w:after="0" w:line="10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or management personnel;</w:t>
      </w:r>
    </w:p>
    <w:p>
      <w:pPr>
        <w:spacing w:after="0" w:line="10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laws and regulations;</w:t>
      </w:r>
    </w:p>
    <w:p>
      <w:pPr>
        <w:spacing w:after="0" w:line="104"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104" w:lineRule="exact"/>
        <w:rPr>
          <w:rFonts w:ascii="Times New Roman" w:cs="Times New Roman" w:eastAsia="Times New Roman" w:hAnsi="Times New Roman"/>
          <w:sz w:val="14"/>
          <w:szCs w:val="14"/>
          <w:color w:val="auto"/>
        </w:rPr>
      </w:pPr>
    </w:p>
    <w:p>
      <w:pPr>
        <w:ind w:left="520" w:right="239" w:hanging="256"/>
        <w:spacing w:after="0" w:line="269"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global economic and political developments on our business, including rising inflation and capital market disruptions, geopolitical conflicts, economic sanctions and economic slowdowns or recessions that may result from such developments which could harm our research and development efforts as well as the value of our common stock and our ability to access capital markets;</w:t>
      </w:r>
    </w:p>
    <w:p>
      <w:pPr>
        <w:spacing w:after="0" w:line="62" w:lineRule="exact"/>
        <w:rPr>
          <w:rFonts w:ascii="Times New Roman" w:cs="Times New Roman" w:eastAsia="Times New Roman" w:hAnsi="Times New Roman"/>
          <w:sz w:val="14"/>
          <w:szCs w:val="14"/>
          <w:color w:val="auto"/>
        </w:rPr>
      </w:pPr>
    </w:p>
    <w:p>
      <w:pPr>
        <w:ind w:left="520" w:right="479" w:hanging="256"/>
        <w:spacing w:after="0" w:line="286" w:lineRule="auto"/>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impacts of changes in the policies or regulations of the U.S. Food and Drug Administration, or the FDA, or comparable foreign regulatory authorities regarding development, approval, and marketing of products;</w:t>
      </w:r>
    </w:p>
    <w:p>
      <w:pPr>
        <w:spacing w:after="0" w:line="50"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anticipated use of proceeds from this offering; and</w:t>
      </w:r>
    </w:p>
    <w:p>
      <w:pPr>
        <w:spacing w:after="0" w:line="102" w:lineRule="exact"/>
        <w:rPr>
          <w:rFonts w:ascii="Times New Roman" w:cs="Times New Roman" w:eastAsia="Times New Roman" w:hAnsi="Times New Roman"/>
          <w:sz w:val="14"/>
          <w:szCs w:val="14"/>
          <w:color w:val="auto"/>
        </w:rPr>
      </w:pPr>
    </w:p>
    <w:p>
      <w:pPr>
        <w:ind w:left="520" w:hanging="256"/>
        <w:spacing w:after="0"/>
        <w:tabs>
          <w:tab w:leader="none" w:pos="520" w:val="left"/>
        </w:tabs>
        <w:numPr>
          <w:ilvl w:val="0"/>
          <w:numId w:val="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listed under the caption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ind w:left="180" w:right="219" w:firstLine="346"/>
        <w:spacing w:after="0" w:line="258" w:lineRule="auto"/>
        <w:rPr>
          <w:sz w:val="20"/>
          <w:szCs w:val="20"/>
          <w:color w:val="auto"/>
        </w:rPr>
      </w:pPr>
      <w:r>
        <w:rPr>
          <w:rFonts w:ascii="Times New Roman" w:cs="Times New Roman" w:eastAsia="Times New Roman" w:hAnsi="Times New Roman"/>
          <w:sz w:val="14"/>
          <w:szCs w:val="14"/>
          <w:color w:val="auto"/>
        </w:rPr>
        <w:t>The forward-looking statements in this prospectus supplement represent our views as of the date of this prospectus supplement. We anticipate that subsequent events and developments will cause our views to change. However, while we may elect to update these forward-looking statements at some point in the future, we have no current intention of doing so except to the extent required by applicable law. The outcome of the events described in these forward-looking statements is subject to known and unknown risks, uncertainties, and other factors. As a result of a number of known and unknown risks and uncertainties, our actual results or performance may be materially different from those expressed or implied by these forward-looking statements. You should therefore not rely on these forward-looking statements as representing our views as of any date subsequent to the date of this prospectus supplement.</w:t>
      </w:r>
    </w:p>
    <w:p>
      <w:pPr>
        <w:spacing w:after="0" w:line="145" w:lineRule="exact"/>
        <w:rPr>
          <w:sz w:val="20"/>
          <w:szCs w:val="20"/>
          <w:color w:val="auto"/>
        </w:rPr>
      </w:pPr>
    </w:p>
    <w:p>
      <w:pPr>
        <w:ind w:left="180" w:right="239" w:firstLine="346"/>
        <w:spacing w:after="0" w:line="255" w:lineRule="auto"/>
        <w:rPr>
          <w:sz w:val="20"/>
          <w:szCs w:val="20"/>
          <w:color w:val="auto"/>
        </w:rPr>
      </w:pPr>
      <w:r>
        <w:rPr>
          <w:rFonts w:ascii="Times New Roman" w:cs="Times New Roman" w:eastAsia="Times New Roman" w:hAnsi="Times New Roman"/>
          <w:sz w:val="14"/>
          <w:szCs w:val="14"/>
          <w:color w:val="auto"/>
        </w:rPr>
        <w:t>We may from time-to-time provide estimates, projections and other information concerning our industry, our business and the markets for our programs and product candidates. Information that is based on estimates, forecasts, projections, market research or similar methodologies is inherently subject to uncertainties and actual events or circumstances may differ materially from events and circumstances that are assumed in this information. Unless otherwise expressly stated, we obtained this industry, business, market, and other data from our own internal estimates and research as well as from reports, research surveys, studies, and similar data prepared by market research firms and other third parties, industry, medical and general publications, government data and similar sources. Neither we nor TD Cowen has independently verified the accuracy or completeness of any such third-party information. While we are not aware of any misstatements regarding any third-party information presented in this prospectus supplement or the accompanying base prospectus, their estimates, in particular, as they relate to projections, involve numerous assumptions, are subject to risks and uncertainties and are subject to change based on various factors. You should read this prospectus supplement, the accompanying base prospectus and any related free writing prospectus and the documents that we reference therein and have filed with the SEC as exhibits thereto completely and with the understanding that our actual future results may be materially different from any future results expressed or implied by these forward-looking statements. These estimates involve numerous assumptions, are subject to risks and uncertainties and are subject to change based on various factors, including those discussed in our Annual Reports on Form 10-K, Quarterly Reports on Form 10-Q and Current Reports on Form 8-K which are incorporated into this prospectus supplement by reference, and the section of this prospectus supplement and the accompanying base prospectus entitled “Risk Factors.” Our forward-looking statements do not reflect the potential impact of any future acquisitions, mergers, dispositions, collaborations, joint ventures, or investments that we may make or into which we may enter.</w:t>
      </w:r>
    </w:p>
    <w:p>
      <w:pPr>
        <w:spacing w:after="0" w:line="38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S-v</w:t>
      </w:r>
    </w:p>
    <w:p>
      <w:pPr>
        <w:sectPr>
          <w:pgSz w:w="11900" w:h="16838" w:orient="portrait"/>
          <w:cols w:equalWidth="0" w:num="1">
            <w:col w:w="9019"/>
          </w:cols>
          <w:pgMar w:left="1440" w:top="241" w:right="1440" w:bottom="1440" w:gutter="0" w:footer="0" w:header="0"/>
        </w:sectPr>
      </w:pPr>
    </w:p>
    <w:bookmarkStart w:id="6" w:name="page7"/>
    <w:bookmarkEnd w:id="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478218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00900" cy="4782185"/>
                    </a:xfrm>
                    <a:prstGeom prst="rect">
                      <a:avLst/>
                    </a:prstGeom>
                    <a:noFill/>
                  </pic:spPr>
                </pic:pic>
              </a:graphicData>
            </a:graphic>
          </wp:anchor>
        </w:drawing>
        <w:t>PROSPECTUS SUPPLEMENT SUMMARY</w:t>
      </w:r>
    </w:p>
    <w:p>
      <w:pPr>
        <w:spacing w:after="0" w:line="178" w:lineRule="exact"/>
        <w:rPr>
          <w:sz w:val="20"/>
          <w:szCs w:val="20"/>
          <w:color w:val="auto"/>
        </w:rPr>
      </w:pPr>
    </w:p>
    <w:p>
      <w:pPr>
        <w:ind w:left="320" w:right="399" w:firstLine="334"/>
        <w:spacing w:after="0" w:line="258" w:lineRule="auto"/>
        <w:rPr>
          <w:sz w:val="20"/>
          <w:szCs w:val="20"/>
          <w:color w:val="auto"/>
        </w:rPr>
      </w:pPr>
      <w:r>
        <w:rPr>
          <w:rFonts w:ascii="Times New Roman" w:cs="Times New Roman" w:eastAsia="Times New Roman" w:hAnsi="Times New Roman"/>
          <w:sz w:val="14"/>
          <w:szCs w:val="14"/>
          <w:i w:val="1"/>
          <w:iCs w:val="1"/>
          <w:color w:val="auto"/>
        </w:rPr>
        <w:t>This summary highlights selected information about us and this offering and does not contain all of the information that you should consider before investing in our common stock. You should read this prospectus supplement, the accompanying base prospectus and the documents incorporated by reference herein and therein carefully, especially the discussion of the risks related to investing in our common stock discussed under “Risk Factors” beginning on page S-6 of this prospectus supplement and page 10 in the accompanying prospectus, and in our most recent Annual Report on Form 10-K and any subsequent Quarterly Reports on Form 10-Q or Current Reports on Form 8-K we file after the date of this prospectus supplement, which are incorporated by reference in this prospectus supplement, along with our consolidated financial statements and notes to those consolidated financial statements and the other information incorporated by reference in this prospectus supplement, before making an investment decision.</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Company Overview</w:t>
      </w:r>
    </w:p>
    <w:p>
      <w:pPr>
        <w:spacing w:after="0" w:line="95" w:lineRule="exact"/>
        <w:rPr>
          <w:sz w:val="20"/>
          <w:szCs w:val="20"/>
          <w:color w:val="auto"/>
        </w:rPr>
      </w:pPr>
    </w:p>
    <w:p>
      <w:pPr>
        <w:ind w:left="320" w:right="419" w:firstLine="334"/>
        <w:spacing w:after="0" w:line="257" w:lineRule="auto"/>
        <w:rPr>
          <w:sz w:val="20"/>
          <w:szCs w:val="20"/>
          <w:color w:val="auto"/>
        </w:rPr>
      </w:pPr>
      <w:r>
        <w:rPr>
          <w:rFonts w:ascii="Times New Roman" w:cs="Times New Roman" w:eastAsia="Times New Roman" w:hAnsi="Times New Roman"/>
          <w:sz w:val="14"/>
          <w:szCs w:val="14"/>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selcodebart (DISC-0974) for the treatment of anemia of myelofibrosis, or MF, and anemia of inflammatory bowel disease, or IBD; and DISC-3405 for the treatment of polycythemia vera, or PV, sickle cell disease, or SCD, and other hematologic disorders. In addition, our preclinical programs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227"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i w:val="1"/>
          <w:iCs w:val="1"/>
          <w:color w:val="auto"/>
        </w:rPr>
        <w:t>Heme Biosynthesis: Bitopertin</w:t>
      </w:r>
    </w:p>
    <w:p>
      <w:pPr>
        <w:spacing w:after="0" w:line="95" w:lineRule="exact"/>
        <w:rPr>
          <w:sz w:val="20"/>
          <w:szCs w:val="20"/>
          <w:color w:val="auto"/>
        </w:rPr>
      </w:pPr>
    </w:p>
    <w:p>
      <w:pPr>
        <w:ind w:left="320" w:right="399" w:firstLine="334"/>
        <w:spacing w:after="0" w:line="259" w:lineRule="auto"/>
        <w:rPr>
          <w:sz w:val="20"/>
          <w:szCs w:val="20"/>
          <w:color w:val="auto"/>
        </w:rPr>
      </w:pPr>
      <w:r>
        <w:rPr>
          <w:rFonts w:ascii="Times New Roman" w:cs="Times New Roman" w:eastAsia="Times New Roman" w:hAnsi="Times New Roman"/>
          <w:sz w:val="14"/>
          <w:szCs w:val="14"/>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inhibitor and its effect on heme biosynthesis. We are initially developing bitopertin for the treatment of EPs, including EPP and XLP, which are part of a group of severe diseases, known as porphyrias, caused by defects in the heme biosynthesis pathway that cause an accumulation of toxic metabolites referred to as porphyrins, resulting in skin hypersensitivity to sunlight and some types of artificial light.</w:t>
      </w:r>
    </w:p>
    <w:p>
      <w:pPr>
        <w:spacing w:after="0" w:line="145" w:lineRule="exact"/>
        <w:rPr>
          <w:sz w:val="20"/>
          <w:szCs w:val="20"/>
          <w:color w:val="auto"/>
        </w:rPr>
      </w:pPr>
    </w:p>
    <w:p>
      <w:pPr>
        <w:ind w:left="320" w:right="399" w:firstLine="334"/>
        <w:spacing w:after="0" w:line="256" w:lineRule="auto"/>
        <w:rPr>
          <w:sz w:val="20"/>
          <w:szCs w:val="20"/>
          <w:color w:val="auto"/>
        </w:rPr>
      </w:pPr>
      <w:r>
        <w:rPr>
          <w:rFonts w:ascii="Times New Roman" w:cs="Times New Roman" w:eastAsia="Times New Roman" w:hAnsi="Times New Roman"/>
          <w:sz w:val="14"/>
          <w:szCs w:val="14"/>
          <w:color w:val="auto"/>
        </w:rPr>
        <w:t>In October 2026, we announced positive topline results from APOLLO, a randomized, double-blind, pivotal Phase 3 trial evaluating the safety and efficacy of bitopertin versus placebo in adults and adolescents aged 12 or older with EPP or XLP. Bitopertin achieved statistical significance on both co-primary endpoints versus placebo, with reduction in whole-blood metal-free protoporphyrin IX, or PPIX, from baseline (-41.4% vs. placebo, p&lt;0.0001) and increase in average monthly total time in light without pain during month 6 (+12.2 hours vs. placebo, p=0.0010). Bitopertin also achieved statistical significance on all secondary endpoints versus placebo, including reduction in incidence rate of phototoxic reactions over the 6-month treatment period (p&lt;0.0001), increase in cumulative total time in light without pain over the 6-month treatment period (p&lt;0.0001), and increase in change from baseline in average daily sunlight exposure time to prodrome (p=0.0077, adults only). In addition, bitopertin demonstrated additional quality of life benefits versus placebo, including improved Patient Global Impression of Change score (p&lt;0.0001) and Patient Global Impression of Severity score (p&lt;0.0001). Bitopertin was generally well-tolerated. Consistent with prior studies, dizziness was the most commonly reported</w:t>
      </w:r>
    </w:p>
    <w:p>
      <w:pPr>
        <w:spacing w:after="0" w:line="23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w:t>
      </w:r>
    </w:p>
    <w:p>
      <w:pPr>
        <w:sectPr>
          <w:pgSz w:w="11900" w:h="16838" w:orient="portrait"/>
          <w:cols w:equalWidth="0" w:num="1">
            <w:col w:w="9019"/>
          </w:cols>
          <w:pgMar w:left="1440" w:top="388" w:right="1440" w:bottom="1440" w:gutter="0" w:footer="0" w:header="0"/>
        </w:sectPr>
      </w:pPr>
    </w:p>
    <w:bookmarkStart w:id="7" w:name="page8"/>
    <w:bookmarkEnd w:id="7"/>
    <w:p>
      <w:pPr>
        <w:ind w:left="320" w:right="779"/>
        <w:spacing w:after="0" w:line="28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456628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00900" cy="4566285"/>
                    </a:xfrm>
                    <a:prstGeom prst="rect">
                      <a:avLst/>
                    </a:prstGeom>
                    <a:noFill/>
                  </pic:spPr>
                </pic:pic>
              </a:graphicData>
            </a:graphic>
          </wp:anchor>
        </w:drawing>
        <w:t>treatment emergent adverse event, or TEAE, in the bitopertin group (50%) and was mild or moderate and generally transient. There were no TEAEs above Grade 3.</w:t>
      </w:r>
    </w:p>
    <w:p>
      <w:pPr>
        <w:spacing w:after="0" w:line="125" w:lineRule="exact"/>
        <w:rPr>
          <w:sz w:val="20"/>
          <w:szCs w:val="20"/>
          <w:color w:val="auto"/>
        </w:rPr>
      </w:pPr>
    </w:p>
    <w:p>
      <w:pPr>
        <w:ind w:left="320" w:right="459" w:firstLine="334"/>
        <w:spacing w:after="0" w:line="258" w:lineRule="auto"/>
        <w:rPr>
          <w:sz w:val="20"/>
          <w:szCs w:val="20"/>
          <w:color w:val="auto"/>
        </w:rPr>
      </w:pPr>
      <w:r>
        <w:rPr>
          <w:rFonts w:ascii="Times New Roman" w:cs="Times New Roman" w:eastAsia="Times New Roman" w:hAnsi="Times New Roman"/>
          <w:sz w:val="14"/>
          <w:szCs w:val="14"/>
          <w:color w:val="auto"/>
        </w:rPr>
        <w:t>We have also completed two Phase 2 clinical trials of bitopertin: BEACON, an open-label, parallel-dose clinical trial in EPP and XLP patients conducted at sites in Australia, and AURORA, a randomized, double-blind, placebo- controlled clinical trial in EPP patients conducted at sites in the United States. In both trials, bitopertin significantly reduced PPIX and was associated with improvements in measures of time spent in sunlight and quality of life. In addition, bitopertin was generally well-tolerated. All participants in AURORA and BEACON were eligible to participate in HELIOS, an ongoing open-label, long-term extension study of bitopertin in EPP and XLP patients. Interim data from HELIOS, presented in June 2025 and June 2026, demonstrated that longer term treatment of bitopertin was associated with sustained reductions in PPIX, as well as improvements in quality of life and liver biomarkers.</w:t>
      </w:r>
    </w:p>
    <w:p>
      <w:pPr>
        <w:spacing w:after="0" w:line="145" w:lineRule="exact"/>
        <w:rPr>
          <w:sz w:val="20"/>
          <w:szCs w:val="20"/>
          <w:color w:val="auto"/>
        </w:rPr>
      </w:pPr>
    </w:p>
    <w:p>
      <w:pPr>
        <w:ind w:left="320" w:right="419" w:firstLine="334"/>
        <w:spacing w:after="0" w:line="257" w:lineRule="auto"/>
        <w:rPr>
          <w:sz w:val="20"/>
          <w:szCs w:val="20"/>
          <w:color w:val="auto"/>
        </w:rPr>
      </w:pPr>
      <w:r>
        <w:rPr>
          <w:rFonts w:ascii="Times New Roman" w:cs="Times New Roman" w:eastAsia="Times New Roman" w:hAnsi="Times New Roman"/>
          <w:sz w:val="14"/>
          <w:szCs w:val="14"/>
          <w:color w:val="auto"/>
        </w:rPr>
        <w:t>In September 2025 we submitted a New Drug Application, or NDA, for accelerated approval of bitopertin in EPP and XLP in the United States based on our Phase 2 data. The FDA accepted our NDA for review in November 2025 and in February 2026 issued a complete response letter, or CRL. The FDA concluded that the AURORA and BEACON trials did not show evidence of association between percent change in PPIX and sunlight exposure-based endpoints as measured in the trials, resulting in uncertainty regarding whether bitopertin’s effect on PPIX is reasonably likely to predict clinical benefit, despite the strong mechanistic and biological plausibility supporting the use of the PPIX biomarker in protoporphyria. In our Type A meeting during the second quarter of 2026, the FDA indicated that results of the Phase 3 APOLLO trial, if successful, could serve as the basis for a response to the CRL and could potentially support a traditional approval. With the positive topline results from APOLLO, we plan to engage with the FDA and resubmit an NDA by the end of 2026, with an FDA decision anticipated by mid-2027.</w:t>
      </w:r>
    </w:p>
    <w:p>
      <w:pPr>
        <w:spacing w:after="0" w:line="147" w:lineRule="exact"/>
        <w:rPr>
          <w:sz w:val="20"/>
          <w:szCs w:val="20"/>
          <w:color w:val="auto"/>
        </w:rPr>
      </w:pPr>
    </w:p>
    <w:p>
      <w:pPr>
        <w:ind w:left="320" w:right="619" w:firstLine="334"/>
        <w:spacing w:after="0" w:line="286" w:lineRule="auto"/>
        <w:rPr>
          <w:sz w:val="20"/>
          <w:szCs w:val="20"/>
          <w:color w:val="auto"/>
        </w:rPr>
      </w:pPr>
      <w:r>
        <w:rPr>
          <w:rFonts w:ascii="Times New Roman" w:cs="Times New Roman" w:eastAsia="Times New Roman" w:hAnsi="Times New Roman"/>
          <w:sz w:val="14"/>
          <w:szCs w:val="14"/>
          <w:color w:val="auto"/>
        </w:rPr>
        <w:t>Our APOLLO clinical trial is also intended to serve as a registrational trial with respect to any potential future marketing applications for bitopertin in EPP and XLP outside the United States. We continue to evaluate potential additional trials of bitopertin in other indications.</w:t>
      </w:r>
    </w:p>
    <w:p>
      <w:pPr>
        <w:spacing w:after="0" w:line="208" w:lineRule="exact"/>
        <w:rPr>
          <w:sz w:val="20"/>
          <w:szCs w:val="20"/>
          <w:color w:val="auto"/>
        </w:rPr>
      </w:pPr>
    </w:p>
    <w:p>
      <w:pPr>
        <w:ind w:left="660"/>
        <w:spacing w:after="0"/>
        <w:rPr>
          <w:sz w:val="20"/>
          <w:szCs w:val="20"/>
          <w:color w:val="auto"/>
        </w:rPr>
      </w:pPr>
      <w:r>
        <w:rPr>
          <w:rFonts w:ascii="Times New Roman" w:cs="Times New Roman" w:eastAsia="Times New Roman" w:hAnsi="Times New Roman"/>
          <w:sz w:val="14"/>
          <w:szCs w:val="14"/>
          <w:b w:val="1"/>
          <w:bCs w:val="1"/>
          <w:i w:val="1"/>
          <w:iCs w:val="1"/>
          <w:color w:val="auto"/>
        </w:rPr>
        <w:t>Iron Homeostasis: Selcodebart (DISC-0974) and DISC-3405</w:t>
      </w:r>
    </w:p>
    <w:p>
      <w:pPr>
        <w:spacing w:after="0" w:line="95" w:lineRule="exact"/>
        <w:rPr>
          <w:sz w:val="20"/>
          <w:szCs w:val="20"/>
          <w:color w:val="auto"/>
        </w:rPr>
      </w:pPr>
    </w:p>
    <w:p>
      <w:pPr>
        <w:ind w:left="320" w:right="359" w:firstLine="334"/>
        <w:spacing w:after="0" w:line="255" w:lineRule="auto"/>
        <w:rPr>
          <w:sz w:val="20"/>
          <w:szCs w:val="20"/>
          <w:color w:val="auto"/>
        </w:rPr>
      </w:pPr>
      <w:r>
        <w:rPr>
          <w:rFonts w:ascii="Times New Roman" w:cs="Times New Roman" w:eastAsia="Times New Roman" w:hAnsi="Times New Roman"/>
          <w:sz w:val="14"/>
          <w:szCs w:val="14"/>
          <w:color w:val="auto"/>
        </w:rPr>
        <w:t>Selcodebart is the lead product candidate in our iron homeostasis portfolio and was licensed from AbbVie Deutschland GmbH &amp; Co. KG, or AbbVie. Selcodebart is designed to suppress hepcidin production and increase serum iron levels. We completed a Phase 1 clinical trial in healthy volunteers in the United States in June 2022, with results showing an acceptable tolerability profile and evidence of target engagement, iron mobilization and augmented erythropoiesis. We initiated a Phase 1b/2 clinical trial in June 2022 in patients with anemia of MF, with results from the Phase 1b portion of this clinical trial showing substantial and sustained reductions in hepcidin levels and increases in iron alongside strong hematologic responses across patient types and an acceptable tolerability profile. We initiated RALLY-MF, the open-label Phase 2 portion of this clinical trial, in December 2024 and reported initial data in December 2025 and interim data in June 2026, with results demonstrating meaningful overall anemia responses across all patient subgroups, regardless of baseline transfusion status and independent of concomitant Janus Kinase inhibitor therapy use. We expect to share additional data and hold an end-of-Phase 2 meeting with the FDA for selcodebart in anemia of MF by the end of 2026. We anticipate initiating a Phase 3 clinical program for selcodebart in anemia of MF in the first half of 2027, subject to the outcome of our end-of-Phase 2 meeting with the FDA. We also initiated RALLY-IBD, a Phase 2 clinical trial of selcodebart in patients with IBD and anemia in the first quarter of 2026, with initial data anticipated in 2027, and we are planning exploratory studies in additional patient populations with anemia of chronic disease. We are also developing a preclinical anti-hemojuvelin monoclonal antibody, DISC-0998, which also targets hepcidin suppression and was licensed from AbbVie. DISC-0998 is designed to increase serum iron levels and has an extended serum half-life as compared to selcodebart. We believe this profile may be desirable in certain subsets of patients with anemia associated with inflammatory diseases.</w:t>
      </w:r>
    </w:p>
    <w:p>
      <w:pPr>
        <w:spacing w:after="0" w:line="23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w:t>
      </w:r>
    </w:p>
    <w:p>
      <w:pPr>
        <w:sectPr>
          <w:pgSz w:w="11900" w:h="16838" w:orient="portrait"/>
          <w:cols w:equalWidth="0" w:num="1">
            <w:col w:w="9019"/>
          </w:cols>
          <w:pgMar w:left="1440" w:top="390" w:right="1440" w:bottom="1440" w:gutter="0" w:footer="0" w:header="0"/>
        </w:sectPr>
      </w:pPr>
    </w:p>
    <w:bookmarkStart w:id="8" w:name="page9"/>
    <w:bookmarkEnd w:id="8"/>
    <w:p>
      <w:pPr>
        <w:ind w:left="320" w:right="339" w:firstLine="334"/>
        <w:spacing w:after="0" w:line="255"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27406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00900" cy="3274060"/>
                    </a:xfrm>
                    <a:prstGeom prst="rect">
                      <a:avLst/>
                    </a:prstGeom>
                    <a:noFill/>
                  </pic:spPr>
                </pic:pic>
              </a:graphicData>
            </a:graphic>
          </wp:anchor>
        </w:drawing>
        <w:t>In addition, we are developing DISC-3405, a monoclonal antibody against Transmembrane Serine Protease 6 that we licensed from Mabwell Therapeutics, Inc. DISC-3405 is part of our iron homeostasis portfolio and is designed to induce hepcidin production and reduce serum iron levels. We initiated a Phase 1 clinical trial of DISC-3405 in healthy adult volunteers in October 2023, with results showing an acceptable tolerability profile and evidence of target engagement, including dose-related increases in serum hepcidin and corresponding reductions in serum iron across all dose levels. We are developing DISC-3405 for the treatment of PV, SCD, and other hematologic disorders. We initiated RESTORE-PV, an open-label Phase 2 clinical trial of DISC-3405 in patients with PV, in June 2025, and reported initial efficacy data from Cohort A of this trial in September 2026, with results demonstrating that treatment with DISC-3405 increased hepcidin and lowered serum iron, translating to reduction in phlebotomy events, controlled hematocrit, and improved symptom burden in patients with PV. In this initial data, DISC-3405 was generally well-tolerated in participants in Cohort A and Cohort B, with adverse events that were consistent with underlying disease and a low rate of injection site reactions, which were mild and self-limited. We expect to report additional data from our RESTORE-PV clinical trial by the end of 2026 and topline data in 2027. If positive, and subject to engagement with the FDA, we anticipate initiating a Phase 3 clinical program for DISC-3405 in PV in 2027. We also initiated a Phase 1b, open-label clinical trial of DISC-3405 in patients with SCD in October 2025, with initial data expected in the fourth quarter of 2026, and plan to explore the role of therapeutic iron restriction in other indications.</w:t>
      </w:r>
    </w:p>
    <w:p>
      <w:pPr>
        <w:spacing w:after="0" w:line="234"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5" w:lineRule="exact"/>
        <w:rPr>
          <w:sz w:val="20"/>
          <w:szCs w:val="20"/>
          <w:color w:val="auto"/>
        </w:rPr>
      </w:pPr>
    </w:p>
    <w:p>
      <w:pPr>
        <w:ind w:left="320" w:right="439" w:firstLine="334"/>
        <w:spacing w:after="0" w:line="258" w:lineRule="auto"/>
        <w:rPr>
          <w:sz w:val="20"/>
          <w:szCs w:val="20"/>
          <w:color w:val="auto"/>
        </w:rPr>
      </w:pPr>
      <w:r>
        <w:rPr>
          <w:rFonts w:ascii="Times New Roman" w:cs="Times New Roman" w:eastAsia="Times New Roman" w:hAnsi="Times New Roman"/>
          <w:sz w:val="14"/>
          <w:szCs w:val="14"/>
          <w:color w:val="auto"/>
        </w:rPr>
        <w:t>Disc Medicine, Inc. was originally incorporated under the laws of the state of Delaware in October 2017, and changed its name to Disc Medicine Opco, Inc., or Disc Opco, in December 2022. On December 29, 2022, we completed our business combination with Gemini Therapeutics, Inc., or Gemini, in accordance with the terms of the Agreement and Plan of Merger and Reorganization, dated as of August 9, 2022, or the Merger Agreement, by and among Gemini, us and Gemstone Merger Sub, Inc., a Delaware corporation and a wholly owned subsidiary of Gemini, or Merger Sub,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45" w:lineRule="exact"/>
        <w:rPr>
          <w:sz w:val="20"/>
          <w:szCs w:val="20"/>
          <w:color w:val="auto"/>
        </w:rPr>
      </w:pPr>
    </w:p>
    <w:p>
      <w:pPr>
        <w:ind w:left="320" w:right="439" w:firstLine="334"/>
        <w:spacing w:after="0" w:line="264" w:lineRule="auto"/>
        <w:rPr>
          <w:sz w:val="20"/>
          <w:szCs w:val="20"/>
          <w:color w:val="auto"/>
        </w:rPr>
      </w:pPr>
      <w:r>
        <w:rPr>
          <w:rFonts w:ascii="Times New Roman" w:cs="Times New Roman" w:eastAsia="Times New Roman" w:hAnsi="Times New Roman"/>
          <w:sz w:val="14"/>
          <w:szCs w:val="14"/>
          <w:color w:val="auto"/>
        </w:rPr>
        <w:t>Our principal executive offices are located at 321 Arsenal Street, Suite 101, Watertown, MA 02472, and our telephone number is (617) 674-9274. We maintain an Internet website at the following address: www.discmedicine.com. Information contained on or accessible through our website is not a part of or incorporated by reference into this prospectus supplement or the accompanying prospectus, and you should not consider any information on, or that can be accessed from, our website as part of this prospectus supplement or the accompanying prospectus.</w:t>
      </w:r>
    </w:p>
    <w:p>
      <w:pPr>
        <w:spacing w:after="0" w:line="22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S-3</w:t>
      </w:r>
    </w:p>
    <w:p>
      <w:pPr>
        <w:sectPr>
          <w:pgSz w:w="11900" w:h="16838" w:orient="portrait"/>
          <w:cols w:equalWidth="0" w:num="1">
            <w:col w:w="9019"/>
          </w:cols>
          <w:pgMar w:left="1440" w:top="390" w:right="1440" w:bottom="1440" w:gutter="0" w:footer="0" w:header="0"/>
        </w:sectPr>
      </w:pPr>
    </w:p>
    <w:bookmarkStart w:id="9" w:name="page10"/>
    <w:bookmarkEnd w:id="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478218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00900" cy="4782185"/>
                    </a:xfrm>
                    <a:prstGeom prst="rect">
                      <a:avLst/>
                    </a:prstGeom>
                    <a:noFill/>
                  </pic:spPr>
                </pic:pic>
              </a:graphicData>
            </a:graphic>
          </wp:anchor>
        </w:drawing>
        <w:t>THE OFFERING</w:t>
      </w:r>
    </w:p>
    <w:p>
      <w:pPr>
        <w:spacing w:after="0" w:line="199" w:lineRule="exact"/>
        <w:rPr>
          <w:sz w:val="20"/>
          <w:szCs w:val="20"/>
          <w:color w:val="auto"/>
        </w:rPr>
      </w:pPr>
    </w:p>
    <w:p>
      <w:pPr>
        <w:ind w:left="320"/>
        <w:spacing w:after="0"/>
        <w:tabs>
          <w:tab w:leader="none" w:pos="3480" w:val="left"/>
        </w:tabs>
        <w:rPr>
          <w:sz w:val="20"/>
          <w:szCs w:val="20"/>
          <w:color w:val="auto"/>
        </w:rPr>
      </w:pPr>
      <w:r>
        <w:rPr>
          <w:rFonts w:ascii="Times New Roman" w:cs="Times New Roman" w:eastAsia="Times New Roman" w:hAnsi="Times New Roman"/>
          <w:sz w:val="14"/>
          <w:szCs w:val="14"/>
          <w:b w:val="1"/>
          <w:bCs w:val="1"/>
          <w:color w:val="auto"/>
        </w:rPr>
        <w:t>Common stock offered by us</w:t>
      </w:r>
      <w:r>
        <w:rPr>
          <w:sz w:val="20"/>
          <w:szCs w:val="20"/>
          <w:color w:val="auto"/>
        </w:rPr>
        <w:tab/>
      </w:r>
      <w:r>
        <w:rPr>
          <w:rFonts w:ascii="Times New Roman" w:cs="Times New Roman" w:eastAsia="Times New Roman" w:hAnsi="Times New Roman"/>
          <w:sz w:val="14"/>
          <w:szCs w:val="14"/>
          <w:color w:val="auto"/>
        </w:rPr>
        <w:t>Shares of our common stock having an aggregate offering price of up to $189,925,765.</w:t>
      </w:r>
    </w:p>
    <w:p>
      <w:pPr>
        <w:spacing w:after="0" w:line="210" w:lineRule="exact"/>
        <w:rPr>
          <w:sz w:val="20"/>
          <w:szCs w:val="20"/>
          <w:color w:val="auto"/>
        </w:rPr>
      </w:pPr>
    </w:p>
    <w:p>
      <w:pPr>
        <w:ind w:left="320"/>
        <w:spacing w:after="0"/>
        <w:rPr>
          <w:sz w:val="20"/>
          <w:szCs w:val="20"/>
          <w:color w:val="auto"/>
        </w:rPr>
      </w:pPr>
      <w:r>
        <w:rPr>
          <w:rFonts w:ascii="Times New Roman" w:cs="Times New Roman" w:eastAsia="Times New Roman" w:hAnsi="Times New Roman"/>
          <w:sz w:val="14"/>
          <w:szCs w:val="14"/>
          <w:b w:val="1"/>
          <w:bCs w:val="1"/>
          <w:color w:val="auto"/>
        </w:rPr>
        <w:t xml:space="preserve">Common stock to be outstanding immediately after </w:t>
      </w:r>
      <w:r>
        <w:rPr>
          <w:rFonts w:ascii="Times New Roman" w:cs="Times New Roman" w:eastAsia="Times New Roman" w:hAnsi="Times New Roman"/>
          <w:sz w:val="14"/>
          <w:szCs w:val="14"/>
          <w:color w:val="auto"/>
        </w:rPr>
        <w:t>Up to 47,799,880 shares of our common stock, assuming sales of 2,280,568 shares of our</w:t>
      </w:r>
    </w:p>
    <w:p>
      <w:pPr>
        <w:spacing w:after="0" w:line="25" w:lineRule="exact"/>
        <w:rPr>
          <w:sz w:val="20"/>
          <w:szCs w:val="20"/>
          <w:color w:val="auto"/>
        </w:rPr>
      </w:pPr>
    </w:p>
    <w:p>
      <w:pPr>
        <w:ind w:left="3500" w:right="479" w:hanging="3105"/>
        <w:spacing w:after="0" w:line="257" w:lineRule="auto"/>
        <w:tabs>
          <w:tab w:leader="none" w:pos="3480" w:val="left"/>
        </w:tabs>
        <w:rPr>
          <w:sz w:val="20"/>
          <w:szCs w:val="20"/>
          <w:color w:val="auto"/>
        </w:rPr>
      </w:pPr>
      <w:r>
        <w:rPr>
          <w:rFonts w:ascii="Times New Roman" w:cs="Times New Roman" w:eastAsia="Times New Roman" w:hAnsi="Times New Roman"/>
          <w:sz w:val="14"/>
          <w:szCs w:val="14"/>
          <w:b w:val="1"/>
          <w:bCs w:val="1"/>
          <w:color w:val="auto"/>
        </w:rPr>
        <w:t>this offering</w:t>
      </w:r>
      <w:r>
        <w:rPr>
          <w:sz w:val="20"/>
          <w:szCs w:val="20"/>
          <w:color w:val="auto"/>
        </w:rPr>
        <w:tab/>
      </w:r>
      <w:r>
        <w:rPr>
          <w:rFonts w:ascii="Times New Roman" w:cs="Times New Roman" w:eastAsia="Times New Roman" w:hAnsi="Times New Roman"/>
          <w:sz w:val="14"/>
          <w:szCs w:val="14"/>
          <w:color w:val="auto"/>
        </w:rPr>
        <w:t>common stock in this offering at an offering price of $83.28 per share, which was the last reported sale price of our common stock on The Nasdaq Global Market on November 4, 2026. The actual number of shares of common stock issued will vary depending on the sales price under this offering.</w:t>
      </w:r>
    </w:p>
    <w:p>
      <w:pPr>
        <w:spacing w:after="0" w:line="163" w:lineRule="exact"/>
        <w:rPr>
          <w:sz w:val="20"/>
          <w:szCs w:val="20"/>
          <w:color w:val="auto"/>
        </w:rPr>
      </w:pPr>
    </w:p>
    <w:tbl>
      <w:tblPr>
        <w:tblLayout w:type="fixed"/>
        <w:tblInd w:w="320" w:type="dxa"/>
        <w:tblCellMar>
          <w:top w:w="0" w:type="dxa"/>
          <w:left w:w="0" w:type="dxa"/>
          <w:bottom w:w="0" w:type="dxa"/>
          <w:right w:w="0" w:type="dxa"/>
        </w:tblCellMar>
      </w:tblPr>
      <w:tr>
        <w:trPr>
          <w:trHeight w:val="172"/>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Plan of distribution</w:t>
            </w: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“At the market offering” that may be made from time to time on The Nasdaq Global</w:t>
            </w:r>
          </w:p>
        </w:tc>
      </w:tr>
      <w:tr>
        <w:trPr>
          <w:trHeight w:val="170"/>
        </w:trPr>
        <w:tc>
          <w:tcPr>
            <w:tcW w:w="2520" w:type="dxa"/>
            <w:vAlign w:val="bottom"/>
          </w:tcPr>
          <w:p>
            <w:pPr>
              <w:spacing w:after="0"/>
              <w:rPr>
                <w:sz w:val="14"/>
                <w:szCs w:val="14"/>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Market or such other national securities exchange on which our common stock is then</w:t>
            </w:r>
          </w:p>
        </w:tc>
      </w:tr>
      <w:tr>
        <w:trPr>
          <w:trHeight w:val="170"/>
        </w:trPr>
        <w:tc>
          <w:tcPr>
            <w:tcW w:w="2520" w:type="dxa"/>
            <w:vAlign w:val="bottom"/>
          </w:tcPr>
          <w:p>
            <w:pPr>
              <w:spacing w:after="0"/>
              <w:rPr>
                <w:sz w:val="14"/>
                <w:szCs w:val="14"/>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listed, through or to our sales agent, TD Cowen. See the section entitled “Plan of</w:t>
            </w:r>
          </w:p>
        </w:tc>
      </w:tr>
      <w:tr>
        <w:trPr>
          <w:trHeight w:val="184"/>
        </w:trPr>
        <w:tc>
          <w:tcPr>
            <w:tcW w:w="2520" w:type="dxa"/>
            <w:vAlign w:val="bottom"/>
          </w:tcPr>
          <w:p>
            <w:pPr>
              <w:spacing w:after="0"/>
              <w:rPr>
                <w:sz w:val="15"/>
                <w:szCs w:val="15"/>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Distribution” on page S-14 of this prospectus supplement.</w:t>
            </w:r>
          </w:p>
        </w:tc>
      </w:tr>
      <w:tr>
        <w:trPr>
          <w:trHeight w:val="346"/>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Use of proceeds</w:t>
            </w: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We currently intend to use the net proceeds from this offering, together with our existing</w:t>
            </w:r>
          </w:p>
        </w:tc>
      </w:tr>
      <w:tr>
        <w:trPr>
          <w:trHeight w:val="170"/>
        </w:trPr>
        <w:tc>
          <w:tcPr>
            <w:tcW w:w="2520" w:type="dxa"/>
            <w:vAlign w:val="bottom"/>
          </w:tcPr>
          <w:p>
            <w:pPr>
              <w:spacing w:after="0"/>
              <w:rPr>
                <w:sz w:val="14"/>
                <w:szCs w:val="14"/>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cash, cash equivalents and marketable securities, to fund research and clinical development</w:t>
            </w:r>
          </w:p>
        </w:tc>
      </w:tr>
      <w:tr>
        <w:trPr>
          <w:trHeight w:val="170"/>
        </w:trPr>
        <w:tc>
          <w:tcPr>
            <w:tcW w:w="2520" w:type="dxa"/>
            <w:vAlign w:val="bottom"/>
          </w:tcPr>
          <w:p>
            <w:pPr>
              <w:spacing w:after="0"/>
              <w:rPr>
                <w:sz w:val="14"/>
                <w:szCs w:val="14"/>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of our current or additional product candidates, to support the potential commercialization</w:t>
            </w:r>
          </w:p>
        </w:tc>
      </w:tr>
      <w:tr>
        <w:trPr>
          <w:trHeight w:val="170"/>
        </w:trPr>
        <w:tc>
          <w:tcPr>
            <w:tcW w:w="2520" w:type="dxa"/>
            <w:vAlign w:val="bottom"/>
          </w:tcPr>
          <w:p>
            <w:pPr>
              <w:spacing w:after="0"/>
              <w:rPr>
                <w:sz w:val="14"/>
                <w:szCs w:val="14"/>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of bitopertin for EPP and XLP, and additional pre-commercialization activities for our</w:t>
            </w:r>
          </w:p>
        </w:tc>
      </w:tr>
      <w:tr>
        <w:trPr>
          <w:trHeight w:val="170"/>
        </w:trPr>
        <w:tc>
          <w:tcPr>
            <w:tcW w:w="2520" w:type="dxa"/>
            <w:vAlign w:val="bottom"/>
          </w:tcPr>
          <w:p>
            <w:pPr>
              <w:spacing w:after="0"/>
              <w:rPr>
                <w:sz w:val="14"/>
                <w:szCs w:val="14"/>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other product candidates, and the remainder for working capital and other general corporate</w:t>
            </w:r>
          </w:p>
        </w:tc>
      </w:tr>
      <w:tr>
        <w:trPr>
          <w:trHeight w:val="170"/>
        </w:trPr>
        <w:tc>
          <w:tcPr>
            <w:tcW w:w="2520" w:type="dxa"/>
            <w:vAlign w:val="bottom"/>
          </w:tcPr>
          <w:p>
            <w:pPr>
              <w:spacing w:after="0"/>
              <w:rPr>
                <w:sz w:val="14"/>
                <w:szCs w:val="14"/>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purposes. We may also use a portion of the net proceeds to in-license, acquire or invest in</w:t>
            </w:r>
          </w:p>
        </w:tc>
      </w:tr>
      <w:tr>
        <w:trPr>
          <w:trHeight w:val="170"/>
        </w:trPr>
        <w:tc>
          <w:tcPr>
            <w:tcW w:w="2520" w:type="dxa"/>
            <w:vAlign w:val="bottom"/>
          </w:tcPr>
          <w:p>
            <w:pPr>
              <w:spacing w:after="0"/>
              <w:rPr>
                <w:sz w:val="14"/>
                <w:szCs w:val="14"/>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complementary businesses or technologies to continue to build our pipeline, research and</w:t>
            </w:r>
          </w:p>
        </w:tc>
      </w:tr>
      <w:tr>
        <w:trPr>
          <w:trHeight w:val="170"/>
        </w:trPr>
        <w:tc>
          <w:tcPr>
            <w:tcW w:w="2520" w:type="dxa"/>
            <w:vAlign w:val="bottom"/>
          </w:tcPr>
          <w:p>
            <w:pPr>
              <w:spacing w:after="0"/>
              <w:rPr>
                <w:sz w:val="14"/>
                <w:szCs w:val="14"/>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development capabilities and our intellectual property position. See “Use of Proceeds” on</w:t>
            </w:r>
          </w:p>
        </w:tc>
      </w:tr>
      <w:tr>
        <w:trPr>
          <w:trHeight w:val="184"/>
        </w:trPr>
        <w:tc>
          <w:tcPr>
            <w:tcW w:w="2520" w:type="dxa"/>
            <w:vAlign w:val="bottom"/>
          </w:tcPr>
          <w:p>
            <w:pPr>
              <w:spacing w:after="0"/>
              <w:rPr>
                <w:sz w:val="15"/>
                <w:szCs w:val="15"/>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page S-10 of this prospectus supplement.</w:t>
            </w:r>
          </w:p>
        </w:tc>
      </w:tr>
      <w:tr>
        <w:trPr>
          <w:trHeight w:val="329"/>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Risk factors</w:t>
            </w: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You should read the “</w:t>
            </w:r>
            <w:r>
              <w:rPr>
                <w:rFonts w:ascii="Times New Roman" w:cs="Times New Roman" w:eastAsia="Times New Roman" w:hAnsi="Times New Roman"/>
                <w:sz w:val="14"/>
                <w:szCs w:val="14"/>
                <w:color w:val="0000EE"/>
              </w:rPr>
              <w:t>Risk Factors</w:t>
            </w:r>
            <w:r>
              <w:rPr>
                <w:rFonts w:ascii="Times New Roman" w:cs="Times New Roman" w:eastAsia="Times New Roman" w:hAnsi="Times New Roman"/>
                <w:sz w:val="14"/>
                <w:szCs w:val="14"/>
                <w:color w:val="auto"/>
              </w:rPr>
              <w:t>” section of this prospectus supplement beginning on</w:t>
            </w:r>
          </w:p>
        </w:tc>
      </w:tr>
      <w:tr>
        <w:trPr>
          <w:trHeight w:val="20"/>
        </w:trPr>
        <w:tc>
          <w:tcPr>
            <w:tcW w:w="2520" w:type="dxa"/>
            <w:vAlign w:val="bottom"/>
          </w:tcPr>
          <w:p>
            <w:pPr>
              <w:spacing w:after="0" w:line="20" w:lineRule="exact"/>
              <w:rPr>
                <w:sz w:val="1"/>
                <w:szCs w:val="1"/>
                <w:color w:val="auto"/>
              </w:rPr>
            </w:pPr>
          </w:p>
        </w:tc>
        <w:tc>
          <w:tcPr>
            <w:tcW w:w="1880" w:type="dxa"/>
            <w:vAlign w:val="bottom"/>
          </w:tcPr>
          <w:p>
            <w:pPr>
              <w:spacing w:after="0" w:line="20" w:lineRule="exact"/>
              <w:rPr>
                <w:sz w:val="1"/>
                <w:szCs w:val="1"/>
                <w:color w:val="auto"/>
              </w:rPr>
            </w:pPr>
          </w:p>
        </w:tc>
        <w:tc>
          <w:tcPr>
            <w:tcW w:w="700" w:type="dxa"/>
            <w:vAlign w:val="bottom"/>
            <w:shd w:val="clear" w:color="auto" w:fill="0000EE"/>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r>
      <w:tr>
        <w:trPr>
          <w:trHeight w:val="167"/>
        </w:trPr>
        <w:tc>
          <w:tcPr>
            <w:tcW w:w="2520" w:type="dxa"/>
            <w:vAlign w:val="bottom"/>
          </w:tcPr>
          <w:p>
            <w:pPr>
              <w:spacing w:after="0"/>
              <w:rPr>
                <w:sz w:val="14"/>
                <w:szCs w:val="14"/>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page S-6 and page 10 in the accompanying prospectus and the other information included</w:t>
            </w:r>
          </w:p>
        </w:tc>
      </w:tr>
      <w:tr>
        <w:trPr>
          <w:trHeight w:val="170"/>
        </w:trPr>
        <w:tc>
          <w:tcPr>
            <w:tcW w:w="2520" w:type="dxa"/>
            <w:vAlign w:val="bottom"/>
          </w:tcPr>
          <w:p>
            <w:pPr>
              <w:spacing w:after="0"/>
              <w:rPr>
                <w:sz w:val="14"/>
                <w:szCs w:val="14"/>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in, or incorporated by reference into, this prospectus supplement and the accompanying</w:t>
            </w:r>
          </w:p>
        </w:tc>
      </w:tr>
      <w:tr>
        <w:trPr>
          <w:trHeight w:val="170"/>
        </w:trPr>
        <w:tc>
          <w:tcPr>
            <w:tcW w:w="2520" w:type="dxa"/>
            <w:vAlign w:val="bottom"/>
          </w:tcPr>
          <w:p>
            <w:pPr>
              <w:spacing w:after="0"/>
              <w:rPr>
                <w:sz w:val="14"/>
                <w:szCs w:val="14"/>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base prospectus for a discussion of factors to consider before deciding to purchase shares</w:t>
            </w:r>
          </w:p>
        </w:tc>
      </w:tr>
      <w:tr>
        <w:trPr>
          <w:trHeight w:val="184"/>
        </w:trPr>
        <w:tc>
          <w:tcPr>
            <w:tcW w:w="2520" w:type="dxa"/>
            <w:vAlign w:val="bottom"/>
          </w:tcPr>
          <w:p>
            <w:pPr>
              <w:spacing w:after="0"/>
              <w:rPr>
                <w:sz w:val="15"/>
                <w:szCs w:val="15"/>
                <w:color w:val="auto"/>
              </w:rPr>
            </w:pP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of our common stock.</w:t>
            </w:r>
          </w:p>
        </w:tc>
      </w:tr>
      <w:tr>
        <w:trPr>
          <w:trHeight w:val="360"/>
        </w:trPr>
        <w:tc>
          <w:tcPr>
            <w:tcW w:w="2520" w:type="dxa"/>
            <w:vAlign w:val="bottom"/>
          </w:tcPr>
          <w:p>
            <w:pPr>
              <w:spacing w:after="0"/>
              <w:rPr>
                <w:sz w:val="20"/>
                <w:szCs w:val="20"/>
                <w:color w:val="auto"/>
              </w:rPr>
            </w:pPr>
            <w:r>
              <w:rPr>
                <w:rFonts w:ascii="Times New Roman" w:cs="Times New Roman" w:eastAsia="Times New Roman" w:hAnsi="Times New Roman"/>
                <w:sz w:val="14"/>
                <w:szCs w:val="14"/>
                <w:b w:val="1"/>
                <w:bCs w:val="1"/>
                <w:color w:val="auto"/>
              </w:rPr>
              <w:t>Nasdaq Global Market symbol</w:t>
            </w:r>
          </w:p>
        </w:tc>
        <w:tc>
          <w:tcPr>
            <w:tcW w:w="5840" w:type="dxa"/>
            <w:vAlign w:val="bottom"/>
            <w:gridSpan w:val="3"/>
          </w:tcPr>
          <w:p>
            <w:pPr>
              <w:ind w:left="660"/>
              <w:spacing w:after="0"/>
              <w:rPr>
                <w:sz w:val="20"/>
                <w:szCs w:val="20"/>
                <w:color w:val="auto"/>
              </w:rPr>
            </w:pPr>
            <w:r>
              <w:rPr>
                <w:rFonts w:ascii="Times New Roman" w:cs="Times New Roman" w:eastAsia="Times New Roman" w:hAnsi="Times New Roman"/>
                <w:sz w:val="14"/>
                <w:szCs w:val="14"/>
                <w:color w:val="auto"/>
              </w:rPr>
              <w:t>“IRON”</w:t>
            </w:r>
          </w:p>
        </w:tc>
      </w:tr>
    </w:tbl>
    <w:p>
      <w:pPr>
        <w:spacing w:after="0" w:line="166" w:lineRule="exact"/>
        <w:rPr>
          <w:sz w:val="20"/>
          <w:szCs w:val="20"/>
          <w:color w:val="auto"/>
        </w:rPr>
      </w:pPr>
    </w:p>
    <w:p>
      <w:pPr>
        <w:ind w:left="320" w:right="459" w:firstLine="334"/>
        <w:spacing w:after="0" w:line="269" w:lineRule="auto"/>
        <w:rPr>
          <w:sz w:val="20"/>
          <w:szCs w:val="20"/>
          <w:color w:val="auto"/>
        </w:rPr>
      </w:pPr>
      <w:r>
        <w:rPr>
          <w:rFonts w:ascii="Times New Roman" w:cs="Times New Roman" w:eastAsia="Times New Roman" w:hAnsi="Times New Roman"/>
          <w:sz w:val="14"/>
          <w:szCs w:val="14"/>
          <w:color w:val="auto"/>
        </w:rPr>
        <w:t>All information in this prospectus supplement related to the number of shares of our common stock to be outstanding immediately after this offering is based on 38,619,312 shares of our common stock outstanding as of September 30, 2026 and after giving effect to 6,900,000 shares of our common stock issued in an underwritten public offering in October 2026, or the October 2026 Offering, and excludes:</w:t>
      </w:r>
    </w:p>
    <w:p>
      <w:pPr>
        <w:spacing w:after="0" w:line="63" w:lineRule="exact"/>
        <w:rPr>
          <w:sz w:val="20"/>
          <w:szCs w:val="20"/>
          <w:color w:val="auto"/>
        </w:rPr>
      </w:pPr>
    </w:p>
    <w:p>
      <w:pPr>
        <w:ind w:left="1060" w:right="559" w:hanging="324"/>
        <w:spacing w:after="0" w:line="286" w:lineRule="auto"/>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3,487,422 shares of common stock issuable upon the exercise of stock options outstanding as of September 30, 2026, at a weighted average exercise price of $46.48 per share;</w:t>
      </w:r>
    </w:p>
    <w:p>
      <w:pPr>
        <w:spacing w:after="0" w:line="50" w:lineRule="exact"/>
        <w:rPr>
          <w:rFonts w:ascii="Times New Roman" w:cs="Times New Roman" w:eastAsia="Times New Roman" w:hAnsi="Times New Roman"/>
          <w:sz w:val="14"/>
          <w:szCs w:val="14"/>
          <w:color w:val="auto"/>
        </w:rPr>
      </w:pPr>
    </w:p>
    <w:p>
      <w:pPr>
        <w:ind w:left="1060" w:right="459" w:hanging="324"/>
        <w:spacing w:after="0" w:line="286" w:lineRule="auto"/>
        <w:tabs>
          <w:tab w:leader="none" w:pos="1060" w:val="left"/>
        </w:tabs>
        <w:numPr>
          <w:ilvl w:val="0"/>
          <w:numId w:val="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18,165 shares of common stock issuable upon the exercise of stock options granted subsequent to September 30, 2026, at a weighted average exercise price of $60.48 per share;</w:t>
      </w:r>
    </w:p>
    <w:p>
      <w:pPr>
        <w:spacing w:after="0" w:line="21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S-4</w:t>
      </w:r>
    </w:p>
    <w:p>
      <w:pPr>
        <w:sectPr>
          <w:pgSz w:w="11900" w:h="16838" w:orient="portrait"/>
          <w:cols w:equalWidth="0" w:num="1">
            <w:col w:w="9019"/>
          </w:cols>
          <w:pgMar w:left="1440" w:top="388" w:right="1440" w:bottom="1440" w:gutter="0" w:footer="0" w:header="0"/>
        </w:sectPr>
      </w:pPr>
    </w:p>
    <w:bookmarkStart w:id="10" w:name="page11"/>
    <w:bookmarkEnd w:id="10"/>
    <w:p>
      <w:pPr>
        <w:ind w:left="1060" w:hanging="324"/>
        <w:spacing w:after="0"/>
        <w:tabs>
          <w:tab w:leader="none" w:pos="1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185420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00900" cy="1854200"/>
                    </a:xfrm>
                    <a:prstGeom prst="rect">
                      <a:avLst/>
                    </a:prstGeom>
                    <a:noFill/>
                  </pic:spPr>
                </pic:pic>
              </a:graphicData>
            </a:graphic>
          </wp:anchor>
        </w:drawing>
        <w:t>1,351,975 shares of common stock issuable upon the vesting of restricted stock awards outstanding as of September 30, 2026;</w:t>
      </w:r>
    </w:p>
    <w:p>
      <w:pPr>
        <w:spacing w:after="0" w:line="104" w:lineRule="exact"/>
        <w:rPr>
          <w:rFonts w:ascii="Times New Roman" w:cs="Times New Roman" w:eastAsia="Times New Roman" w:hAnsi="Times New Roman"/>
          <w:sz w:val="14"/>
          <w:szCs w:val="14"/>
          <w:color w:val="auto"/>
        </w:rPr>
      </w:pPr>
    </w:p>
    <w:p>
      <w:pPr>
        <w:ind w:left="1060" w:hanging="324"/>
        <w:spacing w:after="0"/>
        <w:tabs>
          <w:tab w:leader="none" w:pos="1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17,395 shares of common stock issuable upon the vesting of restricted stock awards granted subsequent to September 30, 2026;</w:t>
      </w:r>
    </w:p>
    <w:p>
      <w:pPr>
        <w:spacing w:after="0" w:line="104" w:lineRule="exact"/>
        <w:rPr>
          <w:rFonts w:ascii="Times New Roman" w:cs="Times New Roman" w:eastAsia="Times New Roman" w:hAnsi="Times New Roman"/>
          <w:sz w:val="14"/>
          <w:szCs w:val="14"/>
          <w:color w:val="auto"/>
        </w:rPr>
      </w:pPr>
    </w:p>
    <w:p>
      <w:pPr>
        <w:ind w:left="1060" w:right="739" w:hanging="324"/>
        <w:spacing w:after="0" w:line="286" w:lineRule="auto"/>
        <w:tabs>
          <w:tab w:leader="none" w:pos="1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445,422 shares of common stock issuable upon the exercise of pre-funded warrants outstanding as of September 30, 2026, at an exercise price of $0.0001 per share;</w:t>
      </w:r>
    </w:p>
    <w:p>
      <w:pPr>
        <w:spacing w:after="0" w:line="50" w:lineRule="exact"/>
        <w:rPr>
          <w:rFonts w:ascii="Times New Roman" w:cs="Times New Roman" w:eastAsia="Times New Roman" w:hAnsi="Times New Roman"/>
          <w:sz w:val="14"/>
          <w:szCs w:val="14"/>
          <w:color w:val="auto"/>
        </w:rPr>
      </w:pPr>
    </w:p>
    <w:p>
      <w:pPr>
        <w:ind w:left="1060" w:right="539" w:hanging="324"/>
        <w:spacing w:after="0" w:line="286" w:lineRule="auto"/>
        <w:tabs>
          <w:tab w:leader="none" w:pos="1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1,605,065 shares of common stock available for future issuance under our Amended and Restated 2021 Stock Option and Incentive Plan as of September 30, 2026; and</w:t>
      </w:r>
    </w:p>
    <w:p>
      <w:pPr>
        <w:spacing w:after="0" w:line="50" w:lineRule="exact"/>
        <w:rPr>
          <w:rFonts w:ascii="Times New Roman" w:cs="Times New Roman" w:eastAsia="Times New Roman" w:hAnsi="Times New Roman"/>
          <w:sz w:val="14"/>
          <w:szCs w:val="14"/>
          <w:color w:val="auto"/>
        </w:rPr>
      </w:pPr>
    </w:p>
    <w:p>
      <w:pPr>
        <w:ind w:left="1060" w:right="419" w:hanging="324"/>
        <w:spacing w:after="0" w:line="286" w:lineRule="auto"/>
        <w:tabs>
          <w:tab w:leader="none" w:pos="1060" w:val="left"/>
        </w:tabs>
        <w:numPr>
          <w:ilvl w:val="0"/>
          <w:numId w:val="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305,793 shares of common stock available for future issuance under our Amended and Restated 2021 Employee Stock Purchase Plan as of September 30, 2026.</w:t>
      </w:r>
    </w:p>
    <w:p>
      <w:pPr>
        <w:spacing w:after="0" w:line="125" w:lineRule="exact"/>
        <w:rPr>
          <w:sz w:val="20"/>
          <w:szCs w:val="20"/>
          <w:color w:val="auto"/>
        </w:rPr>
      </w:pPr>
    </w:p>
    <w:p>
      <w:pPr>
        <w:ind w:left="320" w:right="479" w:firstLine="334"/>
        <w:spacing w:after="0" w:line="269" w:lineRule="auto"/>
        <w:rPr>
          <w:sz w:val="20"/>
          <w:szCs w:val="20"/>
          <w:color w:val="auto"/>
        </w:rPr>
      </w:pPr>
      <w:r>
        <w:rPr>
          <w:rFonts w:ascii="Times New Roman" w:cs="Times New Roman" w:eastAsia="Times New Roman" w:hAnsi="Times New Roman"/>
          <w:sz w:val="14"/>
          <w:szCs w:val="14"/>
          <w:color w:val="auto"/>
        </w:rPr>
        <w:t>Unless otherwise stated, all information contained in this prospectus supplement (i) assumes no exercise of the outstanding stock options or pre-funded warrants or vesting of restricted stock units as described above after September 30, 2026 and (ii) reflects an assumed public offering price of $83.28, which was the last reported sale price of our common stock on The Nasdaq Global Market on November 4, 2026.</w:t>
      </w:r>
    </w:p>
    <w:p>
      <w:pPr>
        <w:spacing w:after="0" w:line="22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S-5</w:t>
      </w:r>
    </w:p>
    <w:p>
      <w:pPr>
        <w:sectPr>
          <w:pgSz w:w="11900" w:h="16838" w:orient="portrait"/>
          <w:cols w:equalWidth="0" w:num="1">
            <w:col w:w="9019"/>
          </w:cols>
          <w:pgMar w:left="1440" w:top="485" w:right="1440" w:bottom="1440" w:gutter="0" w:footer="0" w:header="0"/>
        </w:sectPr>
      </w:pPr>
    </w:p>
    <w:bookmarkStart w:id="11" w:name="page12"/>
    <w:bookmarkEnd w:id="11"/>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RISK FACTORS</w:t>
      </w:r>
    </w:p>
    <w:p>
      <w:pPr>
        <w:spacing w:after="0" w:line="178" w:lineRule="exact"/>
        <w:rPr>
          <w:sz w:val="20"/>
          <w:szCs w:val="20"/>
          <w:color w:val="auto"/>
        </w:rPr>
      </w:pPr>
    </w:p>
    <w:p>
      <w:pPr>
        <w:ind w:left="180" w:right="299" w:firstLine="346"/>
        <w:spacing w:after="0" w:line="259" w:lineRule="auto"/>
        <w:rPr>
          <w:sz w:val="20"/>
          <w:szCs w:val="20"/>
          <w:color w:val="auto"/>
        </w:rPr>
      </w:pPr>
      <w:r>
        <w:rPr>
          <w:rFonts w:ascii="Times New Roman" w:cs="Times New Roman" w:eastAsia="Times New Roman" w:hAnsi="Times New Roman"/>
          <w:sz w:val="14"/>
          <w:szCs w:val="14"/>
          <w:i w:val="1"/>
          <w:iCs w:val="1"/>
          <w:color w:val="auto"/>
        </w:rPr>
        <w:t>Investing in our common stock involves a high degree of risk. Before you decide to invest in our common stock, you should carefully consider the risks and uncertainties described below, in the accompanying base prospectus, and in our most recently filed Annual Report on Form 10-K, Quarterly Report on Form 10-Q and other filings we make with the SEC from time to time, which are incorporated by reference herein in their entirety, together with all other information contained in this prospectus supplement and in our filings with the SEC that we have incorporated by reference in this prospectus supplement. If any of the following risks actually occurs, our business, financial condition or results of operations could be adversely affected, which, in turn, could have a negative impact on the price of our common stock. In these circumstances, the market price of our common stock could decline, and you may lose all or part of your investment.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Additional Risks Related To Our Common Stock And This Offering</w:t>
      </w:r>
    </w:p>
    <w:p>
      <w:pPr>
        <w:spacing w:after="0" w:line="93"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If you purchase shares of common stock in this offering, you may suffer immediate and substantial dilution of your investment.</w:t>
      </w:r>
    </w:p>
    <w:p>
      <w:pPr>
        <w:spacing w:after="0" w:line="95" w:lineRule="exact"/>
        <w:rPr>
          <w:sz w:val="20"/>
          <w:szCs w:val="20"/>
          <w:color w:val="auto"/>
        </w:rPr>
      </w:pPr>
    </w:p>
    <w:p>
      <w:pPr>
        <w:ind w:left="180" w:right="219" w:firstLine="346"/>
        <w:spacing w:after="0" w:line="257" w:lineRule="auto"/>
        <w:rPr>
          <w:sz w:val="20"/>
          <w:szCs w:val="20"/>
          <w:color w:val="auto"/>
        </w:rPr>
      </w:pPr>
      <w:r>
        <w:rPr>
          <w:rFonts w:ascii="Times New Roman" w:cs="Times New Roman" w:eastAsia="Times New Roman" w:hAnsi="Times New Roman"/>
          <w:sz w:val="14"/>
          <w:szCs w:val="14"/>
          <w:color w:val="auto"/>
        </w:rPr>
        <w:t>The price per share of our common stock in this offering may exceed the net tangible book value per share of our common stock outstanding prior to this offering. Therefore, if you purchase shares of our common stock in this offering, you may pay a price per share that substantially exceeds our net tangible book value per share after this offering. To the extent shares are issued under outstanding options at exercise prices lower than the price of our common stock in this offering, you will incur further dilution. Assuming that an aggregate of 2,280,568 shares of our common stock are sold at a price of $83.28 per share, the last reported sale price of our common stock on The Nasdaq Global Market on November 4, 2026, for aggregate net proceeds to us of approximately $185.6 million, after deducting commissions and estimated aggregate offering expenses payable by us, investors in this offering would experience immediate dilution of $56.59 per share, representing the difference between our as adjusted net tangible book value per share as of September 30, 2026, after giving effect to this offering, and the assumed offering price per share.</w:t>
      </w:r>
    </w:p>
    <w:p>
      <w:pPr>
        <w:spacing w:after="0" w:line="147" w:lineRule="exact"/>
        <w:rPr>
          <w:sz w:val="20"/>
          <w:szCs w:val="20"/>
          <w:color w:val="auto"/>
        </w:rPr>
      </w:pPr>
    </w:p>
    <w:p>
      <w:pPr>
        <w:jc w:val="both"/>
        <w:ind w:left="180" w:right="299" w:firstLine="346"/>
        <w:spacing w:after="0" w:line="269" w:lineRule="auto"/>
        <w:rPr>
          <w:sz w:val="20"/>
          <w:szCs w:val="20"/>
          <w:color w:val="auto"/>
        </w:rPr>
      </w:pPr>
      <w:r>
        <w:rPr>
          <w:rFonts w:ascii="Times New Roman" w:cs="Times New Roman" w:eastAsia="Times New Roman" w:hAnsi="Times New Roman"/>
          <w:sz w:val="14"/>
          <w:szCs w:val="14"/>
          <w:color w:val="auto"/>
        </w:rPr>
        <w:t>This dilution is due to the substantially lower price paid by some of our investors who purchased shares prior to this offering as compared to the price offered to the public in this offering and the exercise of stock options granted to our employees, directors and consultants. See the section entitled “Dilution” below for a more detailed illustration of the dilution you would incur if you participate in this offering.</w:t>
      </w:r>
    </w:p>
    <w:p>
      <w:pPr>
        <w:spacing w:after="0" w:line="220" w:lineRule="exact"/>
        <w:rPr>
          <w:sz w:val="20"/>
          <w:szCs w:val="20"/>
          <w:color w:val="auto"/>
        </w:rPr>
      </w:pPr>
    </w:p>
    <w:p>
      <w:pPr>
        <w:ind w:left="180" w:right="539" w:firstLine="346"/>
        <w:spacing w:after="0" w:line="289" w:lineRule="auto"/>
        <w:rPr>
          <w:sz w:val="20"/>
          <w:szCs w:val="20"/>
          <w:color w:val="auto"/>
        </w:rPr>
      </w:pPr>
      <w:r>
        <w:rPr>
          <w:rFonts w:ascii="Times New Roman" w:cs="Times New Roman" w:eastAsia="Times New Roman" w:hAnsi="Times New Roman"/>
          <w:sz w:val="14"/>
          <w:szCs w:val="14"/>
          <w:i w:val="1"/>
          <w:iCs w:val="1"/>
          <w:color w:val="auto"/>
        </w:rPr>
        <w:t>We have broad discretion in the use of the net proceeds from this offering and may use them in ways that you and other stockholders may not approve.</w:t>
      </w:r>
    </w:p>
    <w:p>
      <w:pPr>
        <w:spacing w:after="0" w:line="38" w:lineRule="exact"/>
        <w:rPr>
          <w:sz w:val="20"/>
          <w:szCs w:val="20"/>
          <w:color w:val="auto"/>
        </w:rPr>
      </w:pPr>
    </w:p>
    <w:p>
      <w:pPr>
        <w:ind w:left="180" w:right="239" w:firstLine="346"/>
        <w:spacing w:after="0" w:line="256" w:lineRule="auto"/>
        <w:rPr>
          <w:sz w:val="20"/>
          <w:szCs w:val="20"/>
          <w:color w:val="auto"/>
        </w:rPr>
      </w:pPr>
      <w:r>
        <w:rPr>
          <w:rFonts w:ascii="Times New Roman" w:cs="Times New Roman" w:eastAsia="Times New Roman" w:hAnsi="Times New Roman"/>
          <w:sz w:val="14"/>
          <w:szCs w:val="14"/>
          <w:color w:val="auto"/>
        </w:rPr>
        <w:t>We currently expect to use the net proceeds of this offering to fund research and clinical development of our current or additional product candidates, to support the potential commercialization of bitopertin for EPP and XLP, and additional pre-commercialization activities for our other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Because of the number and variability of factors that will determine our use of the net proceeds from this offering, their ultimate use may vary substantially from their currently intended use. Our management will have broad discretion in the application of the net proceeds from this offering and you will not have the opportunity as part of your investment decision to assess whether the net proceeds are being used appropriately. Our management might not spend the net proceeds in ways that improve our results of operations or enhance the value of our common stock. The failure by our management to apply these funds effectively could result in financial losses that could have a material adverse effect on our business, cause the price of our common stock to decline and delay the development of our product candidates. Pending their use, we may invest the net proceeds from this offering in a manner that does not produce income or that loses value. See “Use of Proceeds.”</w:t>
      </w:r>
    </w:p>
    <w:p>
      <w:pPr>
        <w:spacing w:after="0" w:line="9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S-6</w:t>
      </w:r>
    </w:p>
    <w:p>
      <w:pPr>
        <w:sectPr>
          <w:pgSz w:w="11900" w:h="16838" w:orient="portrait"/>
          <w:cols w:equalWidth="0" w:num="1">
            <w:col w:w="9019"/>
          </w:cols>
          <w:pgMar w:left="1440" w:top="239" w:right="1440" w:bottom="1440" w:gutter="0" w:footer="0" w:header="0"/>
        </w:sectPr>
      </w:pPr>
    </w:p>
    <w:bookmarkStart w:id="12" w:name="page13"/>
    <w:bookmarkEnd w:id="12"/>
    <w:p>
      <w:pPr>
        <w:ind w:left="520"/>
        <w:spacing w:after="0"/>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You may experience future dilution as a result of future equity offerings.</w:t>
      </w:r>
    </w:p>
    <w:p>
      <w:pPr>
        <w:spacing w:after="0" w:line="95" w:lineRule="exact"/>
        <w:rPr>
          <w:sz w:val="20"/>
          <w:szCs w:val="20"/>
          <w:color w:val="auto"/>
        </w:rPr>
      </w:pPr>
    </w:p>
    <w:p>
      <w:pPr>
        <w:ind w:left="180" w:right="259" w:firstLine="346"/>
        <w:spacing w:after="0" w:line="261" w:lineRule="auto"/>
        <w:rPr>
          <w:sz w:val="20"/>
          <w:szCs w:val="20"/>
          <w:color w:val="auto"/>
        </w:rPr>
      </w:pPr>
      <w:r>
        <w:rPr>
          <w:rFonts w:ascii="Times New Roman" w:cs="Times New Roman" w:eastAsia="Times New Roman" w:hAnsi="Times New Roman"/>
          <w:sz w:val="14"/>
          <w:szCs w:val="14"/>
          <w:color w:val="auto"/>
        </w:rPr>
        <w:t>To raise additional capital, we may in the future offer additional shares of our common stock or other securities convertible into or exchangeable for our common stock at prices that may not be the same as the price per share in this offering. We may sell shares or other securities in any other offering at a price per share that is less than the price per share paid by investors in this offering, and investors purchasing shares or other securities in the future could have rights superior to existing stockholders. The price per share at which we sell additional shares of our common stock, or securities convertible or exchangeable into common stock, in future transactions may be higher or lower than the price per share paid by investors in this offering.</w:t>
      </w:r>
    </w:p>
    <w:p>
      <w:pPr>
        <w:spacing w:after="0" w:line="225" w:lineRule="exact"/>
        <w:rPr>
          <w:sz w:val="20"/>
          <w:szCs w:val="20"/>
          <w:color w:val="auto"/>
        </w:rPr>
      </w:pPr>
    </w:p>
    <w:p>
      <w:pPr>
        <w:ind w:left="180" w:right="619" w:firstLine="346"/>
        <w:spacing w:after="0" w:line="289" w:lineRule="auto"/>
        <w:rPr>
          <w:sz w:val="20"/>
          <w:szCs w:val="20"/>
          <w:color w:val="auto"/>
        </w:rPr>
      </w:pPr>
      <w:r>
        <w:rPr>
          <w:rFonts w:ascii="Times New Roman" w:cs="Times New Roman" w:eastAsia="Times New Roman" w:hAnsi="Times New Roman"/>
          <w:sz w:val="14"/>
          <w:szCs w:val="14"/>
          <w:i w:val="1"/>
          <w:iCs w:val="1"/>
          <w:color w:val="auto"/>
        </w:rPr>
        <w:t>Future sales or issuances of our common stock in the public markets, or the perception of such sales, could depress the trading price of our common stock.</w:t>
      </w:r>
    </w:p>
    <w:p>
      <w:pPr>
        <w:spacing w:after="0" w:line="38" w:lineRule="exact"/>
        <w:rPr>
          <w:sz w:val="20"/>
          <w:szCs w:val="20"/>
          <w:color w:val="auto"/>
        </w:rPr>
      </w:pPr>
    </w:p>
    <w:p>
      <w:pPr>
        <w:ind w:left="180" w:right="279" w:firstLine="346"/>
        <w:spacing w:after="0" w:line="261" w:lineRule="auto"/>
        <w:rPr>
          <w:sz w:val="20"/>
          <w:szCs w:val="20"/>
          <w:color w:val="auto"/>
        </w:rPr>
      </w:pPr>
      <w:r>
        <w:rPr>
          <w:rFonts w:ascii="Times New Roman" w:cs="Times New Roman" w:eastAsia="Times New Roman" w:hAnsi="Times New Roman"/>
          <w:sz w:val="14"/>
          <w:szCs w:val="14"/>
          <w:color w:val="auto"/>
        </w:rPr>
        <w:t>The sale of a substantial number of shares of our common stock or other securities convertible into or exchangeable for our common stock in the public markets, or the perception that such sales could occur, could depress the market price of our common stock and impair our ability to raise capital through the sale of additional equity securities. We may sell large quantities of our common stock at any time pursuant to this prospectus supplement or in one or more separate offerings. We cannot predict the effect that future sales of common stock or other equity-related securities would have on the market price of our common stock.</w:t>
      </w:r>
    </w:p>
    <w:p>
      <w:pPr>
        <w:spacing w:after="0" w:line="142" w:lineRule="exact"/>
        <w:rPr>
          <w:sz w:val="20"/>
          <w:szCs w:val="20"/>
          <w:color w:val="auto"/>
        </w:rPr>
      </w:pPr>
    </w:p>
    <w:p>
      <w:pPr>
        <w:ind w:left="180" w:right="239" w:firstLine="346"/>
        <w:spacing w:after="0" w:line="258" w:lineRule="auto"/>
        <w:rPr>
          <w:sz w:val="20"/>
          <w:szCs w:val="20"/>
          <w:color w:val="auto"/>
        </w:rPr>
      </w:pPr>
      <w:r>
        <w:rPr>
          <w:rFonts w:ascii="Times New Roman" w:cs="Times New Roman" w:eastAsia="Times New Roman" w:hAnsi="Times New Roman"/>
          <w:sz w:val="14"/>
          <w:szCs w:val="14"/>
          <w:color w:val="auto"/>
        </w:rPr>
        <w:t>In addition, we have a significant number of stock options and restricted stock units outstanding and our board of directors intends to grant additional stock options, and may also choose to issue additional restricted stock units, common stock, or securities convertible into or exchangeable for common stock, in the future in connection with a financing, an acquisition, employee arrangements or otherwise. In the event that the outstanding options are exercised or that we make additional issuances of common stock or other convertible or exchangeable securities, you could experience additional dilution. Furthermore, we cannot assure you that we will be able to issue shares or other securities in any other offering at a price per share that is equal to or greater than the price per share paid by investors in this offering, and investors purchasing our securities in the future may have rights superior to investors purchasing shares in this offering.</w:t>
      </w:r>
    </w:p>
    <w:p>
      <w:pPr>
        <w:spacing w:after="0" w:line="228"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i w:val="1"/>
          <w:iCs w:val="1"/>
          <w:color w:val="auto"/>
        </w:rPr>
        <w:t>The actual number of shares we will issue and gross proceeds resulting from those sales, at any one time or in total, is uncertain.</w:t>
      </w:r>
    </w:p>
    <w:p>
      <w:pPr>
        <w:spacing w:after="0" w:line="95" w:lineRule="exact"/>
        <w:rPr>
          <w:sz w:val="20"/>
          <w:szCs w:val="20"/>
          <w:color w:val="auto"/>
        </w:rPr>
      </w:pPr>
    </w:p>
    <w:p>
      <w:pPr>
        <w:ind w:left="180" w:right="239" w:firstLine="346"/>
        <w:spacing w:after="0" w:line="259" w:lineRule="auto"/>
        <w:rPr>
          <w:sz w:val="20"/>
          <w:szCs w:val="20"/>
          <w:color w:val="auto"/>
        </w:rPr>
      </w:pPr>
      <w:r>
        <w:rPr>
          <w:rFonts w:ascii="Times New Roman" w:cs="Times New Roman" w:eastAsia="Times New Roman" w:hAnsi="Times New Roman"/>
          <w:sz w:val="14"/>
          <w:szCs w:val="14"/>
          <w:color w:val="auto"/>
        </w:rPr>
        <w:t>Subject to certain limitations in the sales agreement and compliance with applicable law, we have the discretion to deliver a placement notice to TD Cowen at any time throughout the term of the sales agreement. The number of shares that are sold by TD Cowen after delivering a placement notice will fluctuate based on the market price of our common stock during the sales period and limits we set with TD Cowen in any instruction to sell shares, and the demand for our common stock during the sales period. Because the price per share of each share sold will fluctuate based on the market price of our common stock during the sales period, it is not possible at this stage to predict the number of shares or the gross proceeds to be raised in connection with those sales, if any, that will be ultimately issued.</w:t>
      </w:r>
    </w:p>
    <w:p>
      <w:pPr>
        <w:spacing w:after="0" w:line="228" w:lineRule="exact"/>
        <w:rPr>
          <w:sz w:val="20"/>
          <w:szCs w:val="20"/>
          <w:color w:val="auto"/>
        </w:rPr>
      </w:pPr>
    </w:p>
    <w:p>
      <w:pPr>
        <w:ind w:left="180" w:right="219" w:firstLine="346"/>
        <w:spacing w:after="0" w:line="289" w:lineRule="auto"/>
        <w:rPr>
          <w:sz w:val="20"/>
          <w:szCs w:val="20"/>
          <w:color w:val="auto"/>
        </w:rPr>
      </w:pPr>
      <w:r>
        <w:rPr>
          <w:rFonts w:ascii="Times New Roman" w:cs="Times New Roman" w:eastAsia="Times New Roman" w:hAnsi="Times New Roman"/>
          <w:sz w:val="14"/>
          <w:szCs w:val="14"/>
          <w:i w:val="1"/>
          <w:iCs w:val="1"/>
          <w:color w:val="auto"/>
        </w:rPr>
        <w:t>The common stock offered hereby will be sold in “at the market offerings,” and investors who buy shares at different times will likely pay different prices.</w:t>
      </w:r>
    </w:p>
    <w:p>
      <w:pPr>
        <w:spacing w:after="0" w:line="38" w:lineRule="exact"/>
        <w:rPr>
          <w:sz w:val="20"/>
          <w:szCs w:val="20"/>
          <w:color w:val="auto"/>
        </w:rPr>
      </w:pPr>
    </w:p>
    <w:p>
      <w:pPr>
        <w:ind w:left="180" w:right="259" w:firstLine="346"/>
        <w:spacing w:after="0" w:line="264" w:lineRule="auto"/>
        <w:rPr>
          <w:sz w:val="20"/>
          <w:szCs w:val="20"/>
          <w:color w:val="auto"/>
        </w:rPr>
      </w:pPr>
      <w:r>
        <w:rPr>
          <w:rFonts w:ascii="Times New Roman" w:cs="Times New Roman" w:eastAsia="Times New Roman" w:hAnsi="Times New Roman"/>
          <w:sz w:val="14"/>
          <w:szCs w:val="14"/>
          <w:color w:val="auto"/>
        </w:rPr>
        <w:t>Investors who purchase shares in this offering at different times will likely pay different prices, and so may experience different outcomes in their investment results. We will have discretion, subject to market demand, to vary the timing, prices and numbers of shares sold, and there is no minimum or maximum sales price. Investors may experience a decline in the value of their shares as a result of share sales made at prices lower than the prices they paid.</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S-7</w:t>
      </w:r>
    </w:p>
    <w:p>
      <w:pPr>
        <w:sectPr>
          <w:pgSz w:w="11900" w:h="16838" w:orient="portrait"/>
          <w:cols w:equalWidth="0" w:num="1">
            <w:col w:w="9019"/>
          </w:cols>
          <w:pgMar w:left="1440" w:top="239" w:right="1440" w:bottom="1440" w:gutter="0" w:footer="0" w:header="0"/>
        </w:sectPr>
      </w:pPr>
    </w:p>
    <w:bookmarkStart w:id="13" w:name="page14"/>
    <w:bookmarkEnd w:id="13"/>
    <w:p>
      <w:pPr>
        <w:ind w:left="180" w:right="219" w:firstLine="346"/>
        <w:spacing w:after="0" w:line="289" w:lineRule="auto"/>
        <w:rPr>
          <w:sz w:val="20"/>
          <w:szCs w:val="20"/>
          <w:color w:val="auto"/>
        </w:rPr>
      </w:pPr>
      <w:r>
        <w:rPr>
          <w:rFonts w:ascii="Times New Roman" w:cs="Times New Roman" w:eastAsia="Times New Roman" w:hAnsi="Times New Roman"/>
          <w:sz w:val="14"/>
          <w:szCs w:val="14"/>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trading price of the shares of our common stock has been, and may continue to be, highly volatile, and purchasers of our common stock could incur substantial losses.</w:t>
      </w:r>
    </w:p>
    <w:p>
      <w:pPr>
        <w:spacing w:after="0" w:line="38" w:lineRule="exact"/>
        <w:rPr>
          <w:sz w:val="20"/>
          <w:szCs w:val="20"/>
          <w:color w:val="auto"/>
        </w:rPr>
      </w:pPr>
    </w:p>
    <w:p>
      <w:pPr>
        <w:ind w:left="180" w:right="339" w:firstLine="346"/>
        <w:spacing w:after="0" w:line="264" w:lineRule="auto"/>
        <w:rPr>
          <w:sz w:val="20"/>
          <w:szCs w:val="20"/>
          <w:color w:val="auto"/>
        </w:rPr>
      </w:pPr>
      <w:r>
        <w:rPr>
          <w:rFonts w:ascii="Times New Roman" w:cs="Times New Roman" w:eastAsia="Times New Roman" w:hAnsi="Times New Roman"/>
          <w:sz w:val="14"/>
          <w:szCs w:val="14"/>
          <w:color w:val="auto"/>
        </w:rPr>
        <w:t>The volatility of our common stock may affect the price at which you could sell the shares of our common stock, and the sale of substantial amounts of our common stock could adversely affect the price of our common stock. Our stock price is likely to continue to be volatile and subject to significant price and volume fluctuations in response to market and other factors, including those described in the sections captioned “Risk Factors” in this prospectus supplement, the accompanying base prospectus and the documents incorporated by reference herein and therein.</w:t>
      </w:r>
    </w:p>
    <w:p>
      <w:pPr>
        <w:spacing w:after="0" w:line="140" w:lineRule="exact"/>
        <w:rPr>
          <w:sz w:val="20"/>
          <w:szCs w:val="20"/>
          <w:color w:val="auto"/>
        </w:rPr>
      </w:pPr>
    </w:p>
    <w:p>
      <w:pPr>
        <w:ind w:left="180" w:right="279" w:firstLine="346"/>
        <w:spacing w:after="0" w:line="264" w:lineRule="auto"/>
        <w:rPr>
          <w:sz w:val="20"/>
          <w:szCs w:val="20"/>
          <w:color w:val="auto"/>
        </w:rPr>
      </w:pPr>
      <w:r>
        <w:rPr>
          <w:rFonts w:ascii="Times New Roman" w:cs="Times New Roman" w:eastAsia="Times New Roman" w:hAnsi="Times New Roman"/>
          <w:sz w:val="14"/>
          <w:szCs w:val="14"/>
          <w:color w:val="auto"/>
        </w:rPr>
        <w:t>As a result, you may not be able to sell your shares of common stock at or above the price at which you purchase them. In addition, the stock market in general, and The Nasdaq Global Market and the stock of biotechnology and emerging pharmaceutical companies in particular, have experienced extreme price and volume fluctuations that have often been unrelated or disproportionate to the operating performance of these companies. Broad market and industry factors may negatively affect the market price of our common stock, regardless of our actual operating performance.</w:t>
      </w:r>
    </w:p>
    <w:p>
      <w:pPr>
        <w:spacing w:after="0" w:line="140" w:lineRule="exact"/>
        <w:rPr>
          <w:sz w:val="20"/>
          <w:szCs w:val="20"/>
          <w:color w:val="auto"/>
        </w:rPr>
      </w:pPr>
    </w:p>
    <w:p>
      <w:pPr>
        <w:ind w:left="180" w:right="199" w:firstLine="346"/>
        <w:spacing w:after="0" w:line="269" w:lineRule="auto"/>
        <w:rPr>
          <w:sz w:val="20"/>
          <w:szCs w:val="20"/>
          <w:color w:val="auto"/>
        </w:rPr>
      </w:pPr>
      <w:r>
        <w:rPr>
          <w:rFonts w:ascii="Times New Roman" w:cs="Times New Roman" w:eastAsia="Times New Roman" w:hAnsi="Times New Roman"/>
          <w:sz w:val="14"/>
          <w:szCs w:val="14"/>
          <w:color w:val="auto"/>
        </w:rPr>
        <w:t>The stock market in general and the market for pharmaceutical and biotechnology companies in particular have experienced extreme volatility that has often been unrelated to the operating performance of particular companies. The market price of our common stock may be influenced by many factors, including:</w:t>
      </w:r>
    </w:p>
    <w:p>
      <w:pPr>
        <w:spacing w:after="0" w:line="63" w:lineRule="exact"/>
        <w:rPr>
          <w:sz w:val="20"/>
          <w:szCs w:val="20"/>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issuance of new equity securities pursuant to a future offering, including issuances of preferred stock;</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changes in interest rates;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develop our product candidates;</w:t>
      </w:r>
    </w:p>
    <w:p>
      <w:pPr>
        <w:spacing w:after="0" w:line="104" w:lineRule="exact"/>
        <w:rPr>
          <w:rFonts w:ascii="Times New Roman" w:cs="Times New Roman" w:eastAsia="Times New Roman" w:hAnsi="Times New Roman"/>
          <w:sz w:val="14"/>
          <w:szCs w:val="14"/>
          <w:color w:val="auto"/>
        </w:rPr>
      </w:pPr>
    </w:p>
    <w:p>
      <w:pPr>
        <w:ind w:left="940" w:right="499" w:hanging="337"/>
        <w:spacing w:after="0" w:line="286" w:lineRule="auto"/>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competitive developments, including announcements by competitors of new products or services or significant contracts, acquisitions, strategic partnerships, joint ventures, or capital commitments;</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variations in quarterly operating results or those of companies that are perceived to be similar to us;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depth and liquidity of the market for our common stock;</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investor perceptions of our company and the pharmaceutical and biotechnology industries generally;</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financial and development projections we may provide to the public;</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failure to meet or exceed the financial and development projections of the investment community;</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degree of success of competitive products or technologies;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results of clinical trials and preclinical studies of our product candidates or those of our competitors;</w:t>
      </w:r>
    </w:p>
    <w:p>
      <w:pPr>
        <w:spacing w:after="0" w:line="104" w:lineRule="exact"/>
        <w:rPr>
          <w:rFonts w:ascii="Times New Roman" w:cs="Times New Roman" w:eastAsia="Times New Roman" w:hAnsi="Times New Roman"/>
          <w:sz w:val="14"/>
          <w:szCs w:val="14"/>
          <w:color w:val="auto"/>
        </w:rPr>
      </w:pPr>
    </w:p>
    <w:p>
      <w:pPr>
        <w:ind w:left="940" w:right="759" w:hanging="337"/>
        <w:spacing w:after="0" w:line="286" w:lineRule="auto"/>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regulatory or legal developments in the U.S. and other countries; actions taken by regulatory agencies with respect to our product candidates, clinical studies, and manufacturing processes;</w:t>
      </w:r>
    </w:p>
    <w:p>
      <w:pPr>
        <w:spacing w:after="0" w:line="50" w:lineRule="exact"/>
        <w:rPr>
          <w:rFonts w:ascii="Times New Roman" w:cs="Times New Roman" w:eastAsia="Times New Roman" w:hAnsi="Times New Roman"/>
          <w:sz w:val="14"/>
          <w:szCs w:val="14"/>
          <w:color w:val="auto"/>
        </w:rPr>
      </w:pPr>
    </w:p>
    <w:p>
      <w:pPr>
        <w:ind w:left="940" w:right="399" w:hanging="337"/>
        <w:spacing w:after="0" w:line="286" w:lineRule="auto"/>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receipt of, or failure to obtain, regulatory approvals, including approvals of NDAs from the FDA and our ability to use and benefit from any accelerated regulatory pathways;</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or disputes concerning patent applications, issued patents, or other proprietary rights;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recruitment or departure of key personnel;</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significant legal proceedings or lawsuits, including patent or stockholder litigation;</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our corporate strategy and goals;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level of expenses related to our product candidates;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results of our efforts to discover, develop, acquire, or in-license additional technologies or product candidates;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S-8</w:t>
      </w:r>
    </w:p>
    <w:p>
      <w:pPr>
        <w:sectPr>
          <w:pgSz w:w="11900" w:h="16838" w:orient="portrait"/>
          <w:cols w:equalWidth="0" w:num="1">
            <w:col w:w="9019"/>
          </w:cols>
          <w:pgMar w:left="1440" w:top="239" w:right="1440" w:bottom="1440" w:gutter="0" w:footer="0" w:header="0"/>
        </w:sectPr>
      </w:pPr>
    </w:p>
    <w:bookmarkStart w:id="14" w:name="page15"/>
    <w:bookmarkEnd w:id="14"/>
    <w:p>
      <w:pPr>
        <w:ind w:left="940" w:hanging="337"/>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actual or anticipated changes in estimates as to financial results, development timelines, or recommendations by securities analysts;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rumors or announcements regarding transactions involving our company or our product candidates;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market conditions in the pharmaceutical and biotechnology sectors;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general economic, industry, and market conditions and other national conditions; and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other factors described in this “Risk Factors” section in this prospectus supplement and the accompanying prospectus.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S-9</w:t>
      </w:r>
    </w:p>
    <w:p>
      <w:pPr>
        <w:sectPr>
          <w:pgSz w:w="11900" w:h="16838" w:orient="portrait"/>
          <w:cols w:equalWidth="0" w:num="1">
            <w:col w:w="9019"/>
          </w:cols>
          <w:pgMar w:left="1440" w:top="241" w:right="1440" w:bottom="1440" w:gutter="0" w:footer="0" w:header="0"/>
        </w:sectPr>
      </w:pPr>
    </w:p>
    <w:bookmarkStart w:id="15" w:name="page16"/>
    <w:bookmarkEnd w:id="15"/>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USE OF PROCEEDS</w:t>
      </w:r>
    </w:p>
    <w:p>
      <w:pPr>
        <w:spacing w:after="0" w:line="180" w:lineRule="exact"/>
        <w:rPr>
          <w:sz w:val="20"/>
          <w:szCs w:val="20"/>
          <w:color w:val="auto"/>
        </w:rPr>
      </w:pPr>
    </w:p>
    <w:p>
      <w:pPr>
        <w:ind w:left="180" w:right="199" w:firstLine="346"/>
        <w:spacing w:after="0" w:line="264" w:lineRule="auto"/>
        <w:rPr>
          <w:sz w:val="20"/>
          <w:szCs w:val="20"/>
          <w:color w:val="auto"/>
        </w:rPr>
      </w:pPr>
      <w:r>
        <w:rPr>
          <w:rFonts w:ascii="Times New Roman" w:cs="Times New Roman" w:eastAsia="Times New Roman" w:hAnsi="Times New Roman"/>
          <w:sz w:val="14"/>
          <w:szCs w:val="14"/>
          <w:color w:val="auto"/>
        </w:rPr>
        <w:t>Pursuant to the sales agreement, we may issue and sell shares of our common stock having aggregate gross sales proceeds of up to $189,925,765 (before deducting sales agent commissions and expenses) from time to time under this prospectus supplement and the accompanying base prospectus. The amount of the net proceeds to us from this offering will depend upon the number of shares of our common stock sold and the price at which they are sold. There can be no assurance that we will be able to sell any shares under or fully utilize the sales agreement with TD Cowen.</w:t>
      </w:r>
    </w:p>
    <w:p>
      <w:pPr>
        <w:spacing w:after="0" w:line="140" w:lineRule="exact"/>
        <w:rPr>
          <w:sz w:val="20"/>
          <w:szCs w:val="20"/>
          <w:color w:val="auto"/>
        </w:rPr>
      </w:pPr>
    </w:p>
    <w:p>
      <w:pPr>
        <w:ind w:left="180" w:right="199" w:firstLine="346"/>
        <w:spacing w:after="0" w:line="259" w:lineRule="auto"/>
        <w:rPr>
          <w:sz w:val="20"/>
          <w:szCs w:val="20"/>
          <w:color w:val="auto"/>
        </w:rPr>
      </w:pPr>
      <w:r>
        <w:rPr>
          <w:rFonts w:ascii="Times New Roman" w:cs="Times New Roman" w:eastAsia="Times New Roman" w:hAnsi="Times New Roman"/>
          <w:sz w:val="14"/>
          <w:szCs w:val="14"/>
          <w:color w:val="auto"/>
        </w:rPr>
        <w:t>We currently intend to use the net proceeds from this offering, together with our existing cash, cash equivalents and marketable securities, to fund research and clinical development of our current or additional product candidates, to support the potential commercialization of bitopertin for EPP and XLP, and additional pre-commercialization activities for our other product candidates, and the remainder for working capital and other general corporate purposes. We may also use a portion of the net proceeds to in-license, acquire or invest in complementary businesses or technologies to continue to build our pipeline, research and development capabilities and our intellectual property position. We have not determined the amount of net proceeds to be used specifically for such purposes. As a result, management will retain broad discretion over the allocation of net proceeds.</w:t>
      </w:r>
    </w:p>
    <w:p>
      <w:pPr>
        <w:spacing w:after="0" w:line="145" w:lineRule="exact"/>
        <w:rPr>
          <w:sz w:val="20"/>
          <w:szCs w:val="20"/>
          <w:color w:val="auto"/>
        </w:rPr>
      </w:pPr>
    </w:p>
    <w:p>
      <w:pPr>
        <w:ind w:left="180" w:right="199" w:firstLine="346"/>
        <w:spacing w:after="0" w:line="257" w:lineRule="auto"/>
        <w:rPr>
          <w:sz w:val="20"/>
          <w:szCs w:val="20"/>
          <w:color w:val="auto"/>
        </w:rPr>
      </w:pPr>
      <w:r>
        <w:rPr>
          <w:rFonts w:ascii="Times New Roman" w:cs="Times New Roman" w:eastAsia="Times New Roman" w:hAnsi="Times New Roman"/>
          <w:sz w:val="14"/>
          <w:szCs w:val="14"/>
          <w:color w:val="auto"/>
        </w:rPr>
        <w:t>The expected use of net proceeds from this offering represents our intentions based upon our current plans and business conditions, which could change in the future as our plans and business conditions evolve. We have not determined the amounts we plan to spend on any of the areas listed above or the timing of these expenditures. The amounts and timing of our actual expenditures may vary significantly depending on numerous factors, including the actual net proceeds from this offering (which will depend on the market price of our common stock during the sales period, any limits we may set with TD Cowen in any applicable placement notice and the demand for our common stock), the progress of our development, feedback and decisions from regulatory authorities, the status of and results from clinical trials and collaborations that we may enter into with third parties for our product candidates and any unforeseen cash needs, including the factors described under “Risk Factors” in this prospectus supplement and the accompanying base prospectus and in the documents incorporated by reference herein. We may find it necessary or advisable to use the net proceeds from this offering for other purposes. As a result, our management will retain broad discretion over the allocation of the net proceeds from this offering.</w:t>
      </w:r>
    </w:p>
    <w:p>
      <w:pPr>
        <w:spacing w:after="0" w:line="145" w:lineRule="exact"/>
        <w:rPr>
          <w:sz w:val="20"/>
          <w:szCs w:val="20"/>
          <w:color w:val="auto"/>
        </w:rPr>
      </w:pPr>
    </w:p>
    <w:p>
      <w:pPr>
        <w:jc w:val="both"/>
        <w:ind w:left="180" w:right="359" w:firstLine="346"/>
        <w:spacing w:after="0" w:line="269" w:lineRule="auto"/>
        <w:rPr>
          <w:sz w:val="20"/>
          <w:szCs w:val="20"/>
          <w:color w:val="auto"/>
        </w:rPr>
      </w:pPr>
      <w:r>
        <w:rPr>
          <w:rFonts w:ascii="Times New Roman" w:cs="Times New Roman" w:eastAsia="Times New Roman" w:hAnsi="Times New Roman"/>
          <w:sz w:val="14"/>
          <w:szCs w:val="14"/>
          <w:color w:val="auto"/>
        </w:rPr>
        <w:t>Pending use of the proceeds as described above, we intend to invest the proceeds in a variety of capital preservation instruments, including high quality, investment grade instruments, certificates of deposit or direct or guaranteed obligations of the U.S. government, or may hold such proceeds as cash, until they are used for their stated purpose.</w:t>
      </w:r>
    </w:p>
    <w:p>
      <w:pPr>
        <w:spacing w:after="0" w:line="137" w:lineRule="exact"/>
        <w:rPr>
          <w:sz w:val="20"/>
          <w:szCs w:val="20"/>
          <w:color w:val="auto"/>
        </w:rPr>
      </w:pPr>
    </w:p>
    <w:p>
      <w:pPr>
        <w:ind w:left="180" w:right="219" w:firstLine="346"/>
        <w:spacing w:after="0" w:line="264" w:lineRule="auto"/>
        <w:rPr>
          <w:sz w:val="20"/>
          <w:szCs w:val="20"/>
          <w:color w:val="auto"/>
        </w:rPr>
      </w:pPr>
      <w:r>
        <w:rPr>
          <w:rFonts w:ascii="Times New Roman" w:cs="Times New Roman" w:eastAsia="Times New Roman" w:hAnsi="Times New Roman"/>
          <w:sz w:val="14"/>
          <w:szCs w:val="14"/>
          <w:color w:val="auto"/>
        </w:rPr>
        <w:t>We have based our estimates on assumptions that may prove to be wrong. In addition, we could use our available capital resources sooner than we currently expect, in which case we would need to obtain additional funding, which may not be available to us on acceptable terms, or at all. See the “Risk Factors” sections of this prospectus supplement, the accompanying base prospectus and the documents incorporated by reference for a discussion of the risks affecting our business that could have an adverse effect on our available capital resources.</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S-10</w:t>
      </w:r>
    </w:p>
    <w:p>
      <w:pPr>
        <w:sectPr>
          <w:pgSz w:w="11900" w:h="16838" w:orient="portrait"/>
          <w:cols w:equalWidth="0" w:num="1">
            <w:col w:w="9019"/>
          </w:cols>
          <w:pgMar w:left="1440" w:top="239" w:right="1440" w:bottom="1440" w:gutter="0" w:footer="0" w:header="0"/>
        </w:sectPr>
      </w:pPr>
    </w:p>
    <w:bookmarkStart w:id="16" w:name="page17"/>
    <w:bookmarkEnd w:id="16"/>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DILUTION</w:t>
      </w:r>
    </w:p>
    <w:p>
      <w:pPr>
        <w:spacing w:after="0" w:line="180" w:lineRule="exact"/>
        <w:rPr>
          <w:sz w:val="20"/>
          <w:szCs w:val="20"/>
          <w:color w:val="auto"/>
        </w:rPr>
      </w:pPr>
    </w:p>
    <w:p>
      <w:pPr>
        <w:ind w:left="180" w:right="299" w:firstLine="346"/>
        <w:spacing w:after="0" w:line="286" w:lineRule="auto"/>
        <w:rPr>
          <w:sz w:val="20"/>
          <w:szCs w:val="20"/>
          <w:color w:val="auto"/>
        </w:rPr>
      </w:pPr>
      <w:r>
        <w:rPr>
          <w:rFonts w:ascii="Times New Roman" w:cs="Times New Roman" w:eastAsia="Times New Roman" w:hAnsi="Times New Roman"/>
          <w:sz w:val="14"/>
          <w:szCs w:val="14"/>
          <w:color w:val="auto"/>
        </w:rPr>
        <w:t>If you invest in this offering, your ownership interest will be diluted immediately to the extent of the difference between the public offering price per share and the as adjusted net tangible book value per share of our common stock after giving effect to this offering.</w:t>
      </w:r>
    </w:p>
    <w:p>
      <w:pPr>
        <w:spacing w:after="0" w:line="125" w:lineRule="exact"/>
        <w:rPr>
          <w:sz w:val="20"/>
          <w:szCs w:val="20"/>
          <w:color w:val="auto"/>
        </w:rPr>
      </w:pPr>
    </w:p>
    <w:p>
      <w:pPr>
        <w:ind w:left="180" w:right="219" w:firstLine="346"/>
        <w:spacing w:after="0" w:line="261" w:lineRule="auto"/>
        <w:rPr>
          <w:sz w:val="20"/>
          <w:szCs w:val="20"/>
          <w:color w:val="auto"/>
        </w:rPr>
      </w:pPr>
      <w:r>
        <w:rPr>
          <w:rFonts w:ascii="Times New Roman" w:cs="Times New Roman" w:eastAsia="Times New Roman" w:hAnsi="Times New Roman"/>
          <w:sz w:val="14"/>
          <w:szCs w:val="14"/>
          <w:color w:val="auto"/>
        </w:rPr>
        <w:t>As of September 30, 2026, we had a net tangible book value of approximately $604.3 million, or $15.65 per share of our common stock, based upon 38,619,312 shares of our common stock outstanding as of that date. Net tangible book value per share is equal to our total tangible assets, less total liabilities, divided by the number of outstanding shares of our common stock. Dilution in net tangible book value per share represents the difference between the amount per share paid by purchasers of shares of common stock in this offering and the as adjusted net tangible book value per share of our common stock immediately after giving effect to this offering.</w:t>
      </w:r>
    </w:p>
    <w:p>
      <w:pPr>
        <w:spacing w:after="0" w:line="142" w:lineRule="exact"/>
        <w:rPr>
          <w:sz w:val="20"/>
          <w:szCs w:val="20"/>
          <w:color w:val="auto"/>
        </w:rPr>
      </w:pPr>
    </w:p>
    <w:p>
      <w:pPr>
        <w:ind w:left="520"/>
        <w:spacing w:after="0"/>
        <w:rPr>
          <w:sz w:val="20"/>
          <w:szCs w:val="20"/>
          <w:color w:val="auto"/>
        </w:rPr>
      </w:pPr>
      <w:r>
        <w:rPr>
          <w:rFonts w:ascii="Times New Roman" w:cs="Times New Roman" w:eastAsia="Times New Roman" w:hAnsi="Times New Roman"/>
          <w:sz w:val="14"/>
          <w:szCs w:val="14"/>
          <w:color w:val="auto"/>
        </w:rPr>
        <w:t>After giving effect to the October 2026 Offering, our as adjusted net tangible book value as of September 30, 2026 would have been</w:t>
      </w:r>
    </w:p>
    <w:p>
      <w:pPr>
        <w:spacing w:after="0" w:line="2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$1,0901.1 million, or $23.95 per share of common stock. After giving further effect to the sale of our common stock pursuant to this prospectus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supplement in the aggregate amount of $189,925,765 at an assumed offering price of $83.28 per share, the last reported sale price of our common stock</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on The Nasdaq Global Market on November 4, 2026, and after deducting sales agent commissions and estimated aggregate offering expenses payable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by us, our as adjusted net tangible book value as of September 30, 2026 would have been $1,275.7 million, or $26.69 per share of common stock. This</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represents an immediate increase in the net tangible book value of $2.74 per share to our existing stockholders and an immediate dilution in net tangible</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book value of $56.59 per share of common stock to investors in this offering based on the assumed offering price. The following table illustrates this per</w:t>
      </w:r>
    </w:p>
    <w:p>
      <w:pPr>
        <w:spacing w:after="0" w:line="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share dilution:</w:t>
      </w:r>
    </w:p>
    <w:p>
      <w:pPr>
        <w:spacing w:after="0" w:line="200" w:lineRule="exact"/>
        <w:rPr>
          <w:sz w:val="20"/>
          <w:szCs w:val="20"/>
          <w:color w:val="auto"/>
        </w:rPr>
      </w:pPr>
    </w:p>
    <w:tbl>
      <w:tblPr>
        <w:tblLayout w:type="fixed"/>
        <w:tblInd w:w="1220" w:type="dxa"/>
        <w:tblCellMar>
          <w:top w:w="0" w:type="dxa"/>
          <w:left w:w="0" w:type="dxa"/>
          <w:bottom w:w="0" w:type="dxa"/>
          <w:right w:w="0" w:type="dxa"/>
        </w:tblCellMar>
      </w:tblPr>
      <w:tr>
        <w:trPr>
          <w:trHeight w:val="17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Assumed offering price per share</w:t>
            </w:r>
          </w:p>
        </w:tc>
        <w:tc>
          <w:tcPr>
            <w:tcW w:w="6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color w:val="auto"/>
              </w:rPr>
              <w:t>$83.28</w:t>
            </w:r>
          </w:p>
        </w:tc>
      </w:tr>
      <w:tr>
        <w:trPr>
          <w:trHeight w:val="170"/>
        </w:trPr>
        <w:tc>
          <w:tcPr>
            <w:tcW w:w="5380" w:type="dxa"/>
            <w:vAlign w:val="bottom"/>
          </w:tcPr>
          <w:p>
            <w:pPr>
              <w:ind w:left="280"/>
              <w:spacing w:after="0"/>
              <w:rPr>
                <w:sz w:val="20"/>
                <w:szCs w:val="20"/>
                <w:color w:val="auto"/>
              </w:rPr>
            </w:pPr>
            <w:r>
              <w:rPr>
                <w:rFonts w:ascii="Times New Roman" w:cs="Times New Roman" w:eastAsia="Times New Roman" w:hAnsi="Times New Roman"/>
                <w:sz w:val="14"/>
                <w:szCs w:val="14"/>
                <w:color w:val="auto"/>
              </w:rPr>
              <w:t>Historical net tangible book value per share as of September 30, 2026</w:t>
            </w:r>
          </w:p>
        </w:tc>
        <w:tc>
          <w:tcPr>
            <w:tcW w:w="60" w:type="dxa"/>
            <w:vAlign w:val="bottom"/>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w w:val="95"/>
              </w:rPr>
              <w:t>15.65</w:t>
            </w:r>
          </w:p>
        </w:tc>
        <w:tc>
          <w:tcPr>
            <w:tcW w:w="3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155"/>
        </w:trPr>
        <w:tc>
          <w:tcPr>
            <w:tcW w:w="5380" w:type="dxa"/>
            <w:vAlign w:val="bottom"/>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Increase in net tangible book value per share attributable to the October 2026</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84"/>
        </w:trPr>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Offering</w:t>
            </w:r>
          </w:p>
        </w:tc>
        <w:tc>
          <w:tcPr>
            <w:tcW w:w="60" w:type="dxa"/>
            <w:vAlign w:val="bottom"/>
            <w:shd w:val="clear" w:color="auto" w:fill="CCEEFF"/>
          </w:tcPr>
          <w:p>
            <w:pPr>
              <w:spacing w:after="0"/>
              <w:rPr>
                <w:sz w:val="16"/>
                <w:szCs w:val="16"/>
                <w:color w:val="auto"/>
              </w:rPr>
            </w:pP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8.30</w:t>
            </w: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56"/>
        </w:trPr>
        <w:tc>
          <w:tcPr>
            <w:tcW w:w="5380" w:type="dxa"/>
            <w:vAlign w:val="bottom"/>
          </w:tcPr>
          <w:p>
            <w:pPr>
              <w:ind w:left="280"/>
              <w:spacing w:after="0" w:line="156" w:lineRule="exact"/>
              <w:rPr>
                <w:sz w:val="20"/>
                <w:szCs w:val="20"/>
                <w:color w:val="auto"/>
              </w:rPr>
            </w:pPr>
            <w:r>
              <w:rPr>
                <w:rFonts w:ascii="Times New Roman" w:cs="Times New Roman" w:eastAsia="Times New Roman" w:hAnsi="Times New Roman"/>
                <w:sz w:val="14"/>
                <w:szCs w:val="14"/>
                <w:color w:val="auto"/>
              </w:rPr>
              <w:t>As adjusted net tangible book value per share as of September 30, 2026, after</w:t>
            </w: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4"/>
        </w:trPr>
        <w:tc>
          <w:tcPr>
            <w:tcW w:w="5380" w:type="dxa"/>
            <w:vAlign w:val="bottom"/>
          </w:tcPr>
          <w:p>
            <w:pPr>
              <w:ind w:left="420"/>
              <w:spacing w:after="0"/>
              <w:rPr>
                <w:sz w:val="20"/>
                <w:szCs w:val="20"/>
                <w:color w:val="auto"/>
              </w:rPr>
            </w:pPr>
            <w:r>
              <w:rPr>
                <w:rFonts w:ascii="Times New Roman" w:cs="Times New Roman" w:eastAsia="Times New Roman" w:hAnsi="Times New Roman"/>
                <w:sz w:val="14"/>
                <w:szCs w:val="14"/>
                <w:color w:val="auto"/>
              </w:rPr>
              <w:t>giving effect to the October 2026 Offering</w:t>
            </w:r>
          </w:p>
        </w:tc>
        <w:tc>
          <w:tcPr>
            <w:tcW w:w="60" w:type="dxa"/>
            <w:vAlign w:val="bottom"/>
          </w:tcPr>
          <w:p>
            <w:pPr>
              <w:spacing w:after="0"/>
              <w:rPr>
                <w:sz w:val="16"/>
                <w:szCs w:val="16"/>
                <w:color w:val="auto"/>
              </w:rPr>
            </w:pPr>
          </w:p>
        </w:tc>
        <w:tc>
          <w:tcPr>
            <w:tcW w:w="700" w:type="dxa"/>
            <w:vAlign w:val="bottom"/>
            <w:gridSpan w:val="2"/>
          </w:tcPr>
          <w:p>
            <w:pPr>
              <w:jc w:val="right"/>
              <w:ind w:right="380"/>
              <w:spacing w:after="0"/>
              <w:rPr>
                <w:sz w:val="20"/>
                <w:szCs w:val="20"/>
                <w:color w:val="auto"/>
              </w:rPr>
            </w:pPr>
            <w:r>
              <w:rPr>
                <w:rFonts w:ascii="Times New Roman" w:cs="Times New Roman" w:eastAsia="Times New Roman" w:hAnsi="Times New Roman"/>
                <w:sz w:val="14"/>
                <w:szCs w:val="14"/>
                <w:color w:val="auto"/>
                <w:w w:val="95"/>
              </w:rPr>
              <w:t>23.95</w:t>
            </w:r>
          </w:p>
        </w:tc>
        <w:tc>
          <w:tcPr>
            <w:tcW w:w="38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155"/>
        </w:trPr>
        <w:tc>
          <w:tcPr>
            <w:tcW w:w="5380" w:type="dxa"/>
            <w:vAlign w:val="bottom"/>
            <w:shd w:val="clear" w:color="auto" w:fill="CCEEFF"/>
          </w:tcPr>
          <w:p>
            <w:pPr>
              <w:ind w:left="280"/>
              <w:spacing w:after="0" w:line="155" w:lineRule="exact"/>
              <w:rPr>
                <w:sz w:val="20"/>
                <w:szCs w:val="20"/>
                <w:color w:val="auto"/>
              </w:rPr>
            </w:pPr>
            <w:r>
              <w:rPr>
                <w:rFonts w:ascii="Times New Roman" w:cs="Times New Roman" w:eastAsia="Times New Roman" w:hAnsi="Times New Roman"/>
                <w:sz w:val="14"/>
                <w:szCs w:val="14"/>
                <w:color w:val="auto"/>
              </w:rPr>
              <w:t>Increase in net tangible book value per share attributable to sale of shares of</w:t>
            </w:r>
          </w:p>
        </w:tc>
        <w:tc>
          <w:tcPr>
            <w:tcW w:w="60" w:type="dxa"/>
            <w:vAlign w:val="bottom"/>
            <w:shd w:val="clear" w:color="auto" w:fill="CCEEFF"/>
          </w:tcPr>
          <w:p>
            <w:pPr>
              <w:spacing w:after="0"/>
              <w:rPr>
                <w:sz w:val="13"/>
                <w:szCs w:val="13"/>
                <w:color w:val="auto"/>
              </w:rPr>
            </w:pPr>
          </w:p>
        </w:tc>
        <w:tc>
          <w:tcPr>
            <w:tcW w:w="32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380" w:type="dxa"/>
            <w:vAlign w:val="bottom"/>
            <w:shd w:val="clear" w:color="auto" w:fill="CCEEFF"/>
          </w:tcPr>
          <w:p>
            <w:pPr>
              <w:spacing w:after="0"/>
              <w:rPr>
                <w:sz w:val="13"/>
                <w:szCs w:val="13"/>
                <w:color w:val="auto"/>
              </w:rPr>
            </w:pPr>
          </w:p>
        </w:tc>
        <w:tc>
          <w:tcPr>
            <w:tcW w:w="40" w:type="dxa"/>
            <w:vAlign w:val="bottom"/>
            <w:shd w:val="clear" w:color="auto" w:fill="CCEEFF"/>
          </w:tcPr>
          <w:p>
            <w:pPr>
              <w:spacing w:after="0"/>
              <w:rPr>
                <w:sz w:val="13"/>
                <w:szCs w:val="13"/>
                <w:color w:val="auto"/>
              </w:rPr>
            </w:pPr>
          </w:p>
        </w:tc>
      </w:tr>
      <w:tr>
        <w:trPr>
          <w:trHeight w:val="184"/>
        </w:trPr>
        <w:tc>
          <w:tcPr>
            <w:tcW w:w="5380" w:type="dxa"/>
            <w:vAlign w:val="bottom"/>
            <w:shd w:val="clear" w:color="auto" w:fill="CCEEFF"/>
          </w:tcPr>
          <w:p>
            <w:pPr>
              <w:ind w:left="420"/>
              <w:spacing w:after="0"/>
              <w:rPr>
                <w:sz w:val="20"/>
                <w:szCs w:val="20"/>
                <w:color w:val="auto"/>
              </w:rPr>
            </w:pPr>
            <w:r>
              <w:rPr>
                <w:rFonts w:ascii="Times New Roman" w:cs="Times New Roman" w:eastAsia="Times New Roman" w:hAnsi="Times New Roman"/>
                <w:sz w:val="14"/>
                <w:szCs w:val="14"/>
                <w:color w:val="auto"/>
              </w:rPr>
              <w:t>common stock in this offering</w:t>
            </w:r>
          </w:p>
        </w:tc>
        <w:tc>
          <w:tcPr>
            <w:tcW w:w="60" w:type="dxa"/>
            <w:vAlign w:val="bottom"/>
            <w:shd w:val="clear" w:color="auto" w:fill="CCEEFF"/>
          </w:tcPr>
          <w:p>
            <w:pPr>
              <w:jc w:val="right"/>
              <w:spacing w:after="0"/>
              <w:rPr>
                <w:sz w:val="20"/>
                <w:szCs w:val="20"/>
                <w:color w:val="auto"/>
              </w:rPr>
            </w:pPr>
            <w:r>
              <w:rPr>
                <w:rFonts w:ascii="Times New Roman" w:cs="Times New Roman" w:eastAsia="Times New Roman" w:hAnsi="Times New Roman"/>
                <w:sz w:val="11"/>
                <w:szCs w:val="11"/>
                <w:color w:val="auto"/>
                <w:w w:val="71"/>
              </w:rPr>
              <w:t>$</w:t>
            </w:r>
          </w:p>
        </w:tc>
        <w:tc>
          <w:tcPr>
            <w:tcW w:w="700" w:type="dxa"/>
            <w:vAlign w:val="bottom"/>
            <w:gridSpan w:val="2"/>
            <w:shd w:val="clear" w:color="auto" w:fill="CCEEFF"/>
          </w:tcPr>
          <w:p>
            <w:pPr>
              <w:jc w:val="right"/>
              <w:ind w:right="380"/>
              <w:spacing w:after="0"/>
              <w:rPr>
                <w:sz w:val="20"/>
                <w:szCs w:val="20"/>
                <w:color w:val="auto"/>
              </w:rPr>
            </w:pPr>
            <w:r>
              <w:rPr>
                <w:rFonts w:ascii="Times New Roman" w:cs="Times New Roman" w:eastAsia="Times New Roman" w:hAnsi="Times New Roman"/>
                <w:sz w:val="14"/>
                <w:szCs w:val="14"/>
                <w:color w:val="auto"/>
              </w:rPr>
              <w:t>2.74</w:t>
            </w:r>
          </w:p>
        </w:tc>
        <w:tc>
          <w:tcPr>
            <w:tcW w:w="380" w:type="dxa"/>
            <w:vAlign w:val="bottom"/>
            <w:shd w:val="clear" w:color="auto" w:fill="CCEEFF"/>
          </w:tcPr>
          <w:p>
            <w:pPr>
              <w:spacing w:after="0"/>
              <w:rPr>
                <w:sz w:val="16"/>
                <w:szCs w:val="16"/>
                <w:color w:val="auto"/>
              </w:rPr>
            </w:pPr>
          </w:p>
        </w:tc>
        <w:tc>
          <w:tcPr>
            <w:tcW w:w="40" w:type="dxa"/>
            <w:vAlign w:val="bottom"/>
            <w:shd w:val="clear" w:color="auto" w:fill="CCEEFF"/>
          </w:tcPr>
          <w:p>
            <w:pPr>
              <w:spacing w:after="0"/>
              <w:rPr>
                <w:sz w:val="16"/>
                <w:szCs w:val="16"/>
                <w:color w:val="auto"/>
              </w:rPr>
            </w:pPr>
          </w:p>
        </w:tc>
      </w:tr>
      <w:tr>
        <w:trPr>
          <w:trHeight w:val="156"/>
        </w:trPr>
        <w:tc>
          <w:tcPr>
            <w:tcW w:w="5380" w:type="dxa"/>
            <w:vAlign w:val="bottom"/>
          </w:tcPr>
          <w:p>
            <w:pPr>
              <w:spacing w:after="0" w:line="156" w:lineRule="exact"/>
              <w:rPr>
                <w:sz w:val="20"/>
                <w:szCs w:val="20"/>
                <w:color w:val="auto"/>
              </w:rPr>
            </w:pPr>
            <w:r>
              <w:rPr>
                <w:rFonts w:ascii="Times New Roman" w:cs="Times New Roman" w:eastAsia="Times New Roman" w:hAnsi="Times New Roman"/>
                <w:sz w:val="14"/>
                <w:szCs w:val="14"/>
                <w:color w:val="auto"/>
              </w:rPr>
              <w:t>As adjusted net tangible book value per share as of September 30, 2026, after giving</w:t>
            </w:r>
          </w:p>
        </w:tc>
        <w:tc>
          <w:tcPr>
            <w:tcW w:w="60" w:type="dxa"/>
            <w:vAlign w:val="bottom"/>
            <w:tcBorders>
              <w:top w:val="single" w:sz="8" w:color="auto"/>
            </w:tcBorders>
          </w:tcPr>
          <w:p>
            <w:pPr>
              <w:spacing w:after="0"/>
              <w:rPr>
                <w:sz w:val="13"/>
                <w:szCs w:val="13"/>
                <w:color w:val="auto"/>
              </w:rPr>
            </w:pPr>
          </w:p>
        </w:tc>
        <w:tc>
          <w:tcPr>
            <w:tcW w:w="320" w:type="dxa"/>
            <w:vAlign w:val="bottom"/>
            <w:tcBorders>
              <w:top w:val="single" w:sz="8" w:color="auto"/>
            </w:tcBorders>
          </w:tcPr>
          <w:p>
            <w:pPr>
              <w:spacing w:after="0"/>
              <w:rPr>
                <w:sz w:val="13"/>
                <w:szCs w:val="13"/>
                <w:color w:val="auto"/>
              </w:rPr>
            </w:pPr>
          </w:p>
        </w:tc>
        <w:tc>
          <w:tcPr>
            <w:tcW w:w="380" w:type="dxa"/>
            <w:vAlign w:val="bottom"/>
          </w:tcPr>
          <w:p>
            <w:pPr>
              <w:spacing w:after="0"/>
              <w:rPr>
                <w:sz w:val="13"/>
                <w:szCs w:val="13"/>
                <w:color w:val="auto"/>
              </w:rPr>
            </w:pPr>
          </w:p>
        </w:tc>
        <w:tc>
          <w:tcPr>
            <w:tcW w:w="380" w:type="dxa"/>
            <w:vAlign w:val="bottom"/>
          </w:tcPr>
          <w:p>
            <w:pPr>
              <w:spacing w:after="0"/>
              <w:rPr>
                <w:sz w:val="13"/>
                <w:szCs w:val="13"/>
                <w:color w:val="auto"/>
              </w:rPr>
            </w:pPr>
          </w:p>
        </w:tc>
        <w:tc>
          <w:tcPr>
            <w:tcW w:w="40" w:type="dxa"/>
            <w:vAlign w:val="bottom"/>
          </w:tcPr>
          <w:p>
            <w:pPr>
              <w:spacing w:after="0"/>
              <w:rPr>
                <w:sz w:val="13"/>
                <w:szCs w:val="13"/>
                <w:color w:val="auto"/>
              </w:rPr>
            </w:pPr>
          </w:p>
        </w:tc>
      </w:tr>
      <w:tr>
        <w:trPr>
          <w:trHeight w:val="184"/>
        </w:trPr>
        <w:tc>
          <w:tcPr>
            <w:tcW w:w="5380" w:type="dxa"/>
            <w:vAlign w:val="bottom"/>
          </w:tcPr>
          <w:p>
            <w:pPr>
              <w:ind w:left="140"/>
              <w:spacing w:after="0"/>
              <w:rPr>
                <w:sz w:val="20"/>
                <w:szCs w:val="20"/>
                <w:color w:val="auto"/>
              </w:rPr>
            </w:pPr>
            <w:r>
              <w:rPr>
                <w:rFonts w:ascii="Times New Roman" w:cs="Times New Roman" w:eastAsia="Times New Roman" w:hAnsi="Times New Roman"/>
                <w:sz w:val="14"/>
                <w:szCs w:val="14"/>
                <w:color w:val="auto"/>
              </w:rPr>
              <w:t>effect to the October 2026 Offering and this offering</w:t>
            </w:r>
          </w:p>
        </w:tc>
        <w:tc>
          <w:tcPr>
            <w:tcW w:w="60" w:type="dxa"/>
            <w:vAlign w:val="bottom"/>
          </w:tcPr>
          <w:p>
            <w:pPr>
              <w:spacing w:after="0"/>
              <w:rPr>
                <w:sz w:val="16"/>
                <w:szCs w:val="16"/>
                <w:color w:val="auto"/>
              </w:rPr>
            </w:pPr>
          </w:p>
        </w:tc>
        <w:tc>
          <w:tcPr>
            <w:tcW w:w="700" w:type="dxa"/>
            <w:vAlign w:val="bottom"/>
            <w:gridSpan w:val="2"/>
          </w:tcPr>
          <w:p>
            <w:pPr>
              <w:spacing w:after="0"/>
              <w:rPr>
                <w:sz w:val="16"/>
                <w:szCs w:val="16"/>
                <w:color w:val="auto"/>
              </w:rPr>
            </w:pPr>
          </w:p>
        </w:tc>
        <w:tc>
          <w:tcPr>
            <w:tcW w:w="420" w:type="dxa"/>
            <w:vAlign w:val="bottom"/>
            <w:gridSpan w:val="2"/>
          </w:tcPr>
          <w:p>
            <w:pPr>
              <w:jc w:val="right"/>
              <w:ind w:right="40"/>
              <w:spacing w:after="0"/>
              <w:rPr>
                <w:sz w:val="20"/>
                <w:szCs w:val="20"/>
                <w:color w:val="auto"/>
              </w:rPr>
            </w:pPr>
            <w:r>
              <w:rPr>
                <w:rFonts w:ascii="Times New Roman" w:cs="Times New Roman" w:eastAsia="Times New Roman" w:hAnsi="Times New Roman"/>
                <w:sz w:val="14"/>
                <w:szCs w:val="14"/>
                <w:color w:val="auto"/>
              </w:rPr>
              <w:t>26.69</w:t>
            </w:r>
          </w:p>
        </w:tc>
      </w:tr>
      <w:tr>
        <w:trPr>
          <w:trHeight w:val="21"/>
        </w:trPr>
        <w:tc>
          <w:tcPr>
            <w:tcW w:w="5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170"/>
        </w:trPr>
        <w:tc>
          <w:tcPr>
            <w:tcW w:w="5380" w:type="dxa"/>
            <w:vAlign w:val="bottom"/>
            <w:shd w:val="clear" w:color="auto" w:fill="CCEEFF"/>
          </w:tcPr>
          <w:p>
            <w:pPr>
              <w:spacing w:after="0"/>
              <w:rPr>
                <w:sz w:val="20"/>
                <w:szCs w:val="20"/>
                <w:color w:val="auto"/>
              </w:rPr>
            </w:pPr>
            <w:r>
              <w:rPr>
                <w:rFonts w:ascii="Times New Roman" w:cs="Times New Roman" w:eastAsia="Times New Roman" w:hAnsi="Times New Roman"/>
                <w:sz w:val="14"/>
                <w:szCs w:val="14"/>
                <w:color w:val="auto"/>
              </w:rPr>
              <w:t>Dilution per share to investors purchasing shares in this offering</w:t>
            </w:r>
          </w:p>
        </w:tc>
        <w:tc>
          <w:tcPr>
            <w:tcW w:w="60" w:type="dxa"/>
            <w:vAlign w:val="bottom"/>
            <w:shd w:val="clear" w:color="auto" w:fill="CCEEFF"/>
          </w:tcPr>
          <w:p>
            <w:pPr>
              <w:spacing w:after="0"/>
              <w:rPr>
                <w:sz w:val="14"/>
                <w:szCs w:val="14"/>
                <w:color w:val="auto"/>
              </w:rPr>
            </w:pPr>
          </w:p>
        </w:tc>
        <w:tc>
          <w:tcPr>
            <w:tcW w:w="1120" w:type="dxa"/>
            <w:vAlign w:val="bottom"/>
            <w:gridSpan w:val="4"/>
            <w:shd w:val="clear" w:color="auto" w:fill="CCEEFF"/>
          </w:tcPr>
          <w:p>
            <w:pPr>
              <w:jc w:val="right"/>
              <w:ind w:right="40"/>
              <w:spacing w:after="0"/>
              <w:rPr>
                <w:sz w:val="20"/>
                <w:szCs w:val="20"/>
                <w:color w:val="auto"/>
              </w:rPr>
            </w:pPr>
            <w:r>
              <w:rPr>
                <w:rFonts w:ascii="Times New Roman" w:cs="Times New Roman" w:eastAsia="Times New Roman" w:hAnsi="Times New Roman"/>
                <w:sz w:val="14"/>
                <w:szCs w:val="14"/>
                <w:u w:val="single" w:color="auto"/>
                <w:color w:val="auto"/>
              </w:rPr>
              <w:t>$</w:t>
            </w:r>
            <w:r>
              <w:rPr>
                <w:rFonts w:ascii="Times New Roman" w:cs="Times New Roman" w:eastAsia="Times New Roman" w:hAnsi="Times New Roman"/>
                <w:sz w:val="14"/>
                <w:szCs w:val="14"/>
                <w:color w:val="auto"/>
              </w:rPr>
              <w:t>56.59</w:t>
            </w:r>
          </w:p>
        </w:tc>
      </w:tr>
      <w:tr>
        <w:trPr>
          <w:trHeight w:val="20"/>
        </w:trPr>
        <w:tc>
          <w:tcPr>
            <w:tcW w:w="5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bl>
    <w:p>
      <w:pPr>
        <w:spacing w:after="0" w:line="166" w:lineRule="exact"/>
        <w:rPr>
          <w:sz w:val="20"/>
          <w:szCs w:val="20"/>
          <w:color w:val="auto"/>
        </w:rPr>
      </w:pPr>
    </w:p>
    <w:p>
      <w:pPr>
        <w:ind w:left="180" w:right="199" w:firstLine="346"/>
        <w:spacing w:after="0" w:line="257" w:lineRule="auto"/>
        <w:rPr>
          <w:sz w:val="20"/>
          <w:szCs w:val="20"/>
          <w:color w:val="auto"/>
        </w:rPr>
      </w:pPr>
      <w:r>
        <w:rPr>
          <w:rFonts w:ascii="Times New Roman" w:cs="Times New Roman" w:eastAsia="Times New Roman" w:hAnsi="Times New Roman"/>
          <w:sz w:val="14"/>
          <w:szCs w:val="14"/>
          <w:color w:val="auto"/>
        </w:rPr>
        <w:t>The table above assumes for illustrative purposes that an aggregate of 2,280,568 shares of our common stock are sold pursuant to this prospectus supplement at a price of $83.28 per share, the last reported sale price of our common stock on The Nasdaq Global Market on November 4, 2026, for aggregate gross proceeds of $189,925,765. The shares sold in this offering, if any, will be sold from time to time at various prices. An increase of $1.00 per share in the price at which the shares are sold from the assumed offering price to $84.28 per share, after giving effect to the October 2026 Offering and assuming all of our common stock in the aggregate amount of $189,925,765 is sold at that price, would result in an as adjusted net tangible book value per share after this offering of $26.70 per share and would increase the dilution in net tangible book value per share to investors in this offering to $57.58 per share, after deducting sales agent commissions and estimated aggregate offering expenses payable by us. A decrease of $1.00 per share in the price at which the shares are sold from the assumed offering price to $82.28 per share, after giving effect to the October 2026 Offering and assuming all of</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S-11</w:t>
      </w:r>
    </w:p>
    <w:p>
      <w:pPr>
        <w:sectPr>
          <w:pgSz w:w="11900" w:h="16838" w:orient="portrait"/>
          <w:cols w:equalWidth="0" w:num="1">
            <w:col w:w="9019"/>
          </w:cols>
          <w:pgMar w:left="1440" w:top="239" w:right="1440" w:bottom="1440" w:gutter="0" w:footer="0" w:header="0"/>
        </w:sectPr>
      </w:pPr>
    </w:p>
    <w:bookmarkStart w:id="17" w:name="page18"/>
    <w:bookmarkEnd w:id="17"/>
    <w:p>
      <w:pPr>
        <w:ind w:left="180" w:right="27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our common stock in the aggregate amount of $189,925,765 is sold at that price, would result in an as adjusted net tangible book value per share after the offering of $26.67 per share and would decrease the dilution in net tangible book value per share to investors in this offering to $55.61 per share, after deducting sales agent commissions and estimated aggregate offering expenses payable by us. This information is supplied for illustrative purposes only.</w:t>
      </w:r>
    </w:p>
    <w:p>
      <w:pPr>
        <w:spacing w:after="0" w:line="140" w:lineRule="exact"/>
        <w:rPr>
          <w:sz w:val="20"/>
          <w:szCs w:val="20"/>
          <w:color w:val="auto"/>
        </w:rPr>
      </w:pPr>
    </w:p>
    <w:p>
      <w:pPr>
        <w:ind w:left="180" w:right="239" w:firstLine="346"/>
        <w:spacing w:after="0" w:line="286" w:lineRule="auto"/>
        <w:rPr>
          <w:sz w:val="20"/>
          <w:szCs w:val="20"/>
          <w:color w:val="auto"/>
        </w:rPr>
      </w:pPr>
      <w:r>
        <w:rPr>
          <w:rFonts w:ascii="Times New Roman" w:cs="Times New Roman" w:eastAsia="Times New Roman" w:hAnsi="Times New Roman"/>
          <w:sz w:val="14"/>
          <w:szCs w:val="14"/>
          <w:color w:val="auto"/>
        </w:rPr>
        <w:t>The above discussion and table are based on 38,619,312 shares of our common stock outstanding as of September 30, 2026 and after giving effect to the October 2026 Offering, and excludes:</w:t>
      </w:r>
    </w:p>
    <w:p>
      <w:pPr>
        <w:spacing w:after="0" w:line="51" w:lineRule="exact"/>
        <w:rPr>
          <w:sz w:val="20"/>
          <w:szCs w:val="20"/>
          <w:color w:val="auto"/>
        </w:rPr>
      </w:pPr>
    </w:p>
    <w:p>
      <w:pPr>
        <w:ind w:left="940" w:right="659" w:hanging="337"/>
        <w:spacing w:after="0" w:line="286" w:lineRule="auto"/>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3,487,422 shares of common stock issuable upon the exercise of stock options outstanding as of September 30, 2026, at a weighted average exercise price of $46.48 per share;</w:t>
      </w:r>
    </w:p>
    <w:p>
      <w:pPr>
        <w:spacing w:after="0" w:line="50" w:lineRule="exact"/>
        <w:rPr>
          <w:rFonts w:ascii="Times New Roman" w:cs="Times New Roman" w:eastAsia="Times New Roman" w:hAnsi="Times New Roman"/>
          <w:sz w:val="14"/>
          <w:szCs w:val="14"/>
          <w:color w:val="auto"/>
        </w:rPr>
      </w:pPr>
    </w:p>
    <w:p>
      <w:pPr>
        <w:ind w:left="940" w:right="579" w:hanging="337"/>
        <w:spacing w:after="0" w:line="286" w:lineRule="auto"/>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18,165 shares of common stock issuable upon the exercise of stock options granted subsequent to September 30, 2026, at a weighted average exercise price of $60.48 per share;</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1,351,975 shares of common stock issuable upon the vesting of restricted stock awards outstanding as of September 30, 2026;</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17,395 shares of common stock issuable upon the vesting of restricted stock awards granted subsequent to September 30, 2026;</w:t>
      </w:r>
    </w:p>
    <w:p>
      <w:pPr>
        <w:spacing w:after="0" w:line="104" w:lineRule="exact"/>
        <w:rPr>
          <w:rFonts w:ascii="Times New Roman" w:cs="Times New Roman" w:eastAsia="Times New Roman" w:hAnsi="Times New Roman"/>
          <w:sz w:val="14"/>
          <w:szCs w:val="14"/>
          <w:color w:val="auto"/>
        </w:rPr>
      </w:pPr>
    </w:p>
    <w:p>
      <w:pPr>
        <w:ind w:left="940" w:right="359" w:hanging="337"/>
        <w:spacing w:after="0" w:line="286" w:lineRule="auto"/>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445,422 shares of common stock issuable upon the exercise of pre-funded warrants outstanding as of September 30, 2026, at an exercise price of $0.0001 per share;</w:t>
      </w:r>
    </w:p>
    <w:p>
      <w:pPr>
        <w:spacing w:after="0" w:line="50" w:lineRule="exact"/>
        <w:rPr>
          <w:rFonts w:ascii="Times New Roman" w:cs="Times New Roman" w:eastAsia="Times New Roman" w:hAnsi="Times New Roman"/>
          <w:sz w:val="14"/>
          <w:szCs w:val="14"/>
          <w:color w:val="auto"/>
        </w:rPr>
      </w:pPr>
    </w:p>
    <w:p>
      <w:pPr>
        <w:ind w:left="940" w:right="199" w:hanging="337"/>
        <w:spacing w:after="0" w:line="286" w:lineRule="auto"/>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1,605,065 shares of common stock available for future issuance under our Amended and Restated 2021 Stock Option and Incentive Plan as of September 30, 2026; and</w:t>
      </w:r>
    </w:p>
    <w:p>
      <w:pPr>
        <w:spacing w:after="0" w:line="50" w:lineRule="exact"/>
        <w:rPr>
          <w:rFonts w:ascii="Times New Roman" w:cs="Times New Roman" w:eastAsia="Times New Roman" w:hAnsi="Times New Roman"/>
          <w:sz w:val="14"/>
          <w:szCs w:val="14"/>
          <w:color w:val="auto"/>
        </w:rPr>
      </w:pPr>
    </w:p>
    <w:p>
      <w:pPr>
        <w:ind w:left="940" w:right="239" w:hanging="337"/>
        <w:spacing w:after="0" w:line="286" w:lineRule="auto"/>
        <w:tabs>
          <w:tab w:leader="none" w:pos="940" w:val="left"/>
        </w:tabs>
        <w:numPr>
          <w:ilvl w:val="0"/>
          <w:numId w:val="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305,793 shares of common stock available for future issuance under our Amended and Restated 2021 Employee Stock Purchase Plan as of September 30, 2026.</w:t>
      </w:r>
    </w:p>
    <w:p>
      <w:pPr>
        <w:spacing w:after="0" w:line="125" w:lineRule="exact"/>
        <w:rPr>
          <w:sz w:val="20"/>
          <w:szCs w:val="20"/>
          <w:color w:val="auto"/>
        </w:rPr>
      </w:pPr>
    </w:p>
    <w:p>
      <w:pPr>
        <w:ind w:left="180" w:right="219" w:firstLine="346"/>
        <w:spacing w:after="0" w:line="261" w:lineRule="auto"/>
        <w:rPr>
          <w:sz w:val="20"/>
          <w:szCs w:val="20"/>
          <w:color w:val="auto"/>
        </w:rPr>
      </w:pPr>
      <w:r>
        <w:rPr>
          <w:rFonts w:ascii="Times New Roman" w:cs="Times New Roman" w:eastAsia="Times New Roman" w:hAnsi="Times New Roman"/>
          <w:sz w:val="14"/>
          <w:szCs w:val="14"/>
          <w:color w:val="auto"/>
        </w:rPr>
        <w:t>To the extent that outstanding options or pre-funded warrants are exercised, new options or other securities are issued under our equity incentive plans or we issue additional shares of common stock in the future, investors purchasing our common stock in this offering may experience further dilution. In addition, we may choose to raise additional capital due to market conditions or strategic considerations even if we believe we have sufficient funds for our current or future operating plans. To the extent that additional capital is raised through the sale of equity or convertible debt securities, the issuance of these securities could result in further dilution to our stockholders.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S-12</w:t>
      </w:r>
    </w:p>
    <w:p>
      <w:pPr>
        <w:sectPr>
          <w:pgSz w:w="11900" w:h="16838" w:orient="portrait"/>
          <w:cols w:equalWidth="0" w:num="1">
            <w:col w:w="9019"/>
          </w:cols>
          <w:pgMar w:left="1440" w:top="241" w:right="1440" w:bottom="1440" w:gutter="0" w:footer="0" w:header="0"/>
        </w:sectPr>
      </w:pPr>
    </w:p>
    <w:bookmarkStart w:id="18" w:name="page19"/>
    <w:bookmarkEnd w:id="1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DIVIDEND POLICY</w:t>
      </w:r>
    </w:p>
    <w:p>
      <w:pPr>
        <w:spacing w:after="0" w:line="180" w:lineRule="exact"/>
        <w:rPr>
          <w:sz w:val="20"/>
          <w:szCs w:val="20"/>
          <w:color w:val="auto"/>
        </w:rPr>
      </w:pPr>
    </w:p>
    <w:p>
      <w:pPr>
        <w:ind w:left="180" w:right="199" w:firstLine="346"/>
        <w:spacing w:after="0" w:line="259" w:lineRule="auto"/>
        <w:rPr>
          <w:sz w:val="20"/>
          <w:szCs w:val="20"/>
          <w:color w:val="auto"/>
        </w:rPr>
      </w:pPr>
      <w:r>
        <w:rPr>
          <w:rFonts w:ascii="Times New Roman" w:cs="Times New Roman" w:eastAsia="Times New Roman" w:hAnsi="Times New Roman"/>
          <w:sz w:val="14"/>
          <w:szCs w:val="14"/>
          <w:color w:val="auto"/>
        </w:rPr>
        <w:t>We have never declared or paid cash dividends on our capital stock. We currently plan to retain all of our future earnings, if any, to finance the operation, development and growth of our business. We do not expect to pay any cash dividends on our common stock in the foreseeable future. Payment of future dividends, if any, will be at the discretion of our board of directors and will depend on our financial condition, results of operations, capital requirements, restrictions contained in current or future financing instruments, provisions of applicable law and other factors the board deems relevant. In addition, the terms of our loan and security agreement with Hercules Capital, Inc. restrict, and any future debt arrangements may restrict, our ability to pay dividends on our common stock.</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S-13</w:t>
      </w:r>
    </w:p>
    <w:p>
      <w:pPr>
        <w:sectPr>
          <w:pgSz w:w="11900" w:h="16838" w:orient="portrait"/>
          <w:cols w:equalWidth="0" w:num="1">
            <w:col w:w="9019"/>
          </w:cols>
          <w:pgMar w:left="1440" w:top="239" w:right="1440" w:bottom="1440" w:gutter="0" w:footer="0" w:header="0"/>
        </w:sectPr>
      </w:pPr>
    </w:p>
    <w:bookmarkStart w:id="19" w:name="page20"/>
    <w:bookmarkEnd w:id="1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PLAN OF DISTRIBUTION</w:t>
      </w:r>
    </w:p>
    <w:p>
      <w:pPr>
        <w:spacing w:after="0" w:line="180" w:lineRule="exact"/>
        <w:rPr>
          <w:sz w:val="20"/>
          <w:szCs w:val="20"/>
          <w:color w:val="auto"/>
        </w:rPr>
      </w:pPr>
    </w:p>
    <w:p>
      <w:pPr>
        <w:ind w:left="180" w:right="219" w:firstLine="346"/>
        <w:spacing w:after="0" w:line="259" w:lineRule="auto"/>
        <w:rPr>
          <w:sz w:val="20"/>
          <w:szCs w:val="20"/>
          <w:color w:val="auto"/>
        </w:rPr>
      </w:pPr>
      <w:r>
        <w:rPr>
          <w:rFonts w:ascii="Times New Roman" w:cs="Times New Roman" w:eastAsia="Times New Roman" w:hAnsi="Times New Roman"/>
          <w:sz w:val="14"/>
          <w:szCs w:val="14"/>
          <w:color w:val="auto"/>
        </w:rPr>
        <w:t>We have entered into a sales agreement with TD Cowen, under which we may issue and sell from time to time up to $189,925,765 of our common stock through or to TD Cowen as our sales agent or principal. Sales of our common stock, if any, will be made by any method permitted by law, including, without limitation, an “at the market offering” as defined in Rule 415 under the Securities Act, including without limitation sales made through Nasdaq or on any other existing trading market for our common stock, or by any other method permitted in negotiated transactions, including block trades or block sales, and in each case in compliance with the sales agreement. Sales pursuant to the sales agreement may be made through an affiliate of TD Cowen.</w:t>
      </w:r>
    </w:p>
    <w:p>
      <w:pPr>
        <w:spacing w:after="0" w:line="145" w:lineRule="exact"/>
        <w:rPr>
          <w:sz w:val="20"/>
          <w:szCs w:val="20"/>
          <w:color w:val="auto"/>
        </w:rPr>
      </w:pPr>
    </w:p>
    <w:p>
      <w:pPr>
        <w:ind w:left="180" w:right="219" w:firstLine="346"/>
        <w:spacing w:after="0" w:line="258" w:lineRule="auto"/>
        <w:rPr>
          <w:sz w:val="20"/>
          <w:szCs w:val="20"/>
          <w:color w:val="auto"/>
        </w:rPr>
      </w:pPr>
      <w:r>
        <w:rPr>
          <w:rFonts w:ascii="Times New Roman" w:cs="Times New Roman" w:eastAsia="Times New Roman" w:hAnsi="Times New Roman"/>
          <w:sz w:val="14"/>
          <w:szCs w:val="14"/>
          <w:color w:val="auto"/>
        </w:rPr>
        <w:t>TD Cowen will offer our common stock subject to the terms and conditions of the sales agreement on a daily basis or as otherwise agreed upon by us and TD Cowen. We will designate the maximum amount of common stock to be sold through TD Cowen on a daily basis or otherwise determine such maximum amount together with TD Cowen. Subject to the terms and conditions of the sales agreement, TD Cowen will use its commercially reasonable efforts to sell on our behalf all of the shares of common stock requested to be sold by us. We may instruct TD Cowen not to sell common stock if the sales cannot be effected at or above the price designated by us in any such instruction. TD Cowen or we may suspend the offering of our common stock being made through TD Cowen under the sales agreement upon proper notice to the other party. TD Cowen and we each have the right, by giving written notice as specified in the sales agreement, to terminate the sales agreement in each party’s sole discretion at any time.</w:t>
      </w:r>
    </w:p>
    <w:p>
      <w:pPr>
        <w:spacing w:after="0" w:line="145" w:lineRule="exact"/>
        <w:rPr>
          <w:sz w:val="20"/>
          <w:szCs w:val="20"/>
          <w:color w:val="auto"/>
        </w:rPr>
      </w:pPr>
    </w:p>
    <w:p>
      <w:pPr>
        <w:ind w:left="180" w:right="279" w:firstLine="346"/>
        <w:spacing w:after="0" w:line="264" w:lineRule="auto"/>
        <w:rPr>
          <w:sz w:val="20"/>
          <w:szCs w:val="20"/>
          <w:color w:val="auto"/>
        </w:rPr>
      </w:pPr>
      <w:r>
        <w:rPr>
          <w:rFonts w:ascii="Times New Roman" w:cs="Times New Roman" w:eastAsia="Times New Roman" w:hAnsi="Times New Roman"/>
          <w:sz w:val="14"/>
          <w:szCs w:val="14"/>
          <w:color w:val="auto"/>
        </w:rPr>
        <w:t>The aggregate compensation payable to TD Cowen as sales agent equals up to 3.0% of the gross sales price of the shares sold through it pursuant to the sales agreement. We have also agreed to reimburse TD Cowen up to $100,000 of TD Cowen’s actual outside legal expenses incurred by TD Cowen in connection with the execution of the sales agreement, in addition to certain ongoing disbursements of its legal counsel. We estimate that the total expenses of the offering payable by us, excluding commissions payable to TD Cowen under the sales agreement, will be approximately $290,000.</w:t>
      </w:r>
    </w:p>
    <w:p>
      <w:pPr>
        <w:spacing w:after="0" w:line="140" w:lineRule="exact"/>
        <w:rPr>
          <w:sz w:val="20"/>
          <w:szCs w:val="20"/>
          <w:color w:val="auto"/>
        </w:rPr>
      </w:pPr>
    </w:p>
    <w:p>
      <w:pPr>
        <w:ind w:left="180" w:right="339" w:firstLine="346"/>
        <w:spacing w:after="0" w:line="286" w:lineRule="auto"/>
        <w:rPr>
          <w:sz w:val="20"/>
          <w:szCs w:val="20"/>
          <w:color w:val="auto"/>
        </w:rPr>
      </w:pPr>
      <w:r>
        <w:rPr>
          <w:rFonts w:ascii="Times New Roman" w:cs="Times New Roman" w:eastAsia="Times New Roman" w:hAnsi="Times New Roman"/>
          <w:sz w:val="14"/>
          <w:szCs w:val="14"/>
          <w:color w:val="auto"/>
        </w:rPr>
        <w:t>The remaining sales proceeds, after deducting any expenses payable by us and any transaction fees imposed by any governmental, regulatory, or self-regulatory organization in connection with the sales, will equal our net proceeds for the sale of such common stock.</w:t>
      </w:r>
    </w:p>
    <w:p>
      <w:pPr>
        <w:spacing w:after="0" w:line="125" w:lineRule="exact"/>
        <w:rPr>
          <w:sz w:val="20"/>
          <w:szCs w:val="20"/>
          <w:color w:val="auto"/>
        </w:rPr>
      </w:pPr>
    </w:p>
    <w:p>
      <w:pPr>
        <w:ind w:left="180" w:right="339" w:firstLine="346"/>
        <w:spacing w:after="0" w:line="269" w:lineRule="auto"/>
        <w:rPr>
          <w:sz w:val="20"/>
          <w:szCs w:val="20"/>
          <w:color w:val="auto"/>
        </w:rPr>
      </w:pPr>
      <w:r>
        <w:rPr>
          <w:rFonts w:ascii="Times New Roman" w:cs="Times New Roman" w:eastAsia="Times New Roman" w:hAnsi="Times New Roman"/>
          <w:sz w:val="14"/>
          <w:szCs w:val="14"/>
          <w:color w:val="auto"/>
        </w:rPr>
        <w:t>TD Cowen will provide written confirmation to us following the close of trading on The Nasdaq Global Market on each day in which common stock is sold through it as sales agent under the sales agreement. Each confirmation will include the number of shares of common stock sold through it as sales agent on that day, the volume weighted average price of the shares sold, the percentage of the daily trading volume and the net proceeds to us.</w:t>
      </w:r>
    </w:p>
    <w:p>
      <w:pPr>
        <w:spacing w:after="0" w:line="137" w:lineRule="exact"/>
        <w:rPr>
          <w:sz w:val="20"/>
          <w:szCs w:val="20"/>
          <w:color w:val="auto"/>
        </w:rPr>
      </w:pPr>
    </w:p>
    <w:p>
      <w:pPr>
        <w:ind w:left="180" w:right="239" w:firstLine="346"/>
        <w:spacing w:after="0" w:line="286" w:lineRule="auto"/>
        <w:rPr>
          <w:sz w:val="20"/>
          <w:szCs w:val="20"/>
          <w:color w:val="auto"/>
        </w:rPr>
      </w:pPr>
      <w:r>
        <w:rPr>
          <w:rFonts w:ascii="Times New Roman" w:cs="Times New Roman" w:eastAsia="Times New Roman" w:hAnsi="Times New Roman"/>
          <w:sz w:val="14"/>
          <w:szCs w:val="14"/>
          <w:color w:val="auto"/>
        </w:rPr>
        <w:t>We will report at least quarterly the number of shares of common stock sold through TD Cowen under the sales agreement and the net proceeds to us in connection with the sales of common stock.</w:t>
      </w:r>
    </w:p>
    <w:p>
      <w:pPr>
        <w:spacing w:after="0" w:line="125" w:lineRule="exact"/>
        <w:rPr>
          <w:sz w:val="20"/>
          <w:szCs w:val="20"/>
          <w:color w:val="auto"/>
        </w:rPr>
      </w:pPr>
    </w:p>
    <w:p>
      <w:pPr>
        <w:jc w:val="both"/>
        <w:ind w:left="180" w:right="359" w:firstLine="346"/>
        <w:spacing w:after="0" w:line="269" w:lineRule="auto"/>
        <w:rPr>
          <w:sz w:val="20"/>
          <w:szCs w:val="20"/>
          <w:color w:val="auto"/>
        </w:rPr>
      </w:pPr>
      <w:r>
        <w:rPr>
          <w:rFonts w:ascii="Times New Roman" w:cs="Times New Roman" w:eastAsia="Times New Roman" w:hAnsi="Times New Roman"/>
          <w:sz w:val="14"/>
          <w:szCs w:val="14"/>
          <w:color w:val="auto"/>
        </w:rPr>
        <w:t>Settlement for sales of common stock will occur, unless the parties agree otherwise, on the first business day that is also a trading day following the date on which any sales were made in return for payment of the net proceeds to us. There is no arrangement for funds to be received in an escrow, trust or similar arrangement.</w:t>
      </w:r>
    </w:p>
    <w:p>
      <w:pPr>
        <w:spacing w:after="0" w:line="137" w:lineRule="exact"/>
        <w:rPr>
          <w:sz w:val="20"/>
          <w:szCs w:val="20"/>
          <w:color w:val="auto"/>
        </w:rPr>
      </w:pPr>
    </w:p>
    <w:p>
      <w:pPr>
        <w:ind w:left="180" w:right="419" w:firstLine="346"/>
        <w:spacing w:after="0" w:line="264" w:lineRule="auto"/>
        <w:rPr>
          <w:sz w:val="20"/>
          <w:szCs w:val="20"/>
          <w:color w:val="auto"/>
        </w:rPr>
      </w:pPr>
      <w:r>
        <w:rPr>
          <w:rFonts w:ascii="Times New Roman" w:cs="Times New Roman" w:eastAsia="Times New Roman" w:hAnsi="Times New Roman"/>
          <w:sz w:val="14"/>
          <w:szCs w:val="14"/>
          <w:color w:val="auto"/>
        </w:rPr>
        <w:t>In connection with the sales of our common stock on our behalf, TD Cowen may be deemed to be an “underwriter” within the meaning of the Securities Act, and the compensation paid to TD Cowen may be deemed to be underwriting commissions or discounts. We have agreed in the sales agreement to provide indemnification and contribution to TD Cowen against certain liabilities, including liabilities under the Securities Act. As sales agent, TD Cowen will not engage in any transactions that stabilizes our common stock.</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S-14</w:t>
      </w:r>
    </w:p>
    <w:p>
      <w:pPr>
        <w:sectPr>
          <w:pgSz w:w="11900" w:h="16838" w:orient="portrait"/>
          <w:cols w:equalWidth="0" w:num="1">
            <w:col w:w="9019"/>
          </w:cols>
          <w:pgMar w:left="1440" w:top="239" w:right="1440" w:bottom="1440" w:gutter="0" w:footer="0" w:header="0"/>
        </w:sectPr>
      </w:pPr>
    </w:p>
    <w:bookmarkStart w:id="20" w:name="page21"/>
    <w:bookmarkEnd w:id="20"/>
    <w:p>
      <w:pPr>
        <w:ind w:left="180" w:right="579" w:firstLine="346"/>
        <w:spacing w:after="0" w:line="28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Our common stock is listed on The Nasdaq Global Market and trades under the symbol “IRON.” The transfer agent of our common stock is Broadridge Financial Solutions, Inc.</w:t>
      </w:r>
    </w:p>
    <w:p>
      <w:pPr>
        <w:spacing w:after="0" w:line="125" w:lineRule="exact"/>
        <w:rPr>
          <w:sz w:val="20"/>
          <w:szCs w:val="20"/>
          <w:color w:val="auto"/>
        </w:rPr>
      </w:pPr>
    </w:p>
    <w:p>
      <w:pPr>
        <w:ind w:left="180" w:right="219" w:firstLine="346"/>
        <w:spacing w:after="0" w:line="256" w:lineRule="auto"/>
        <w:rPr>
          <w:sz w:val="20"/>
          <w:szCs w:val="20"/>
          <w:color w:val="auto"/>
        </w:rPr>
      </w:pPr>
      <w:r>
        <w:rPr>
          <w:rFonts w:ascii="Times New Roman" w:cs="Times New Roman" w:eastAsia="Times New Roman" w:hAnsi="Times New Roman"/>
          <w:sz w:val="14"/>
          <w:szCs w:val="14"/>
          <w:color w:val="auto"/>
        </w:rPr>
        <w:t>TD Cowen and/or its affiliates have provided, and may in the future provide, various investment banking, commercial banking and other financial services for us and our affiliates for which they have received, and may in the future receive, customary fees. TD Cowen and certain of its affiliates are full service financial institutions engaged in various activities, which may include securities trading, commercial and investment banking, financial advisory, investment management, investment research, principal investment, hedging, financing and brokerage activities. In the ordinary course of their various business activities, TD Cowen and certain its affiliates may make or hold a broad array of investments and actively trade debt and equity securities (or related derivative securities) and financial instruments (including bank loans) for their own account and for the accounts of their customers, and such investment and securities activities may involve securities and/or instruments of the issuer or its affiliates. TD Cowen and certain of its affiliates may also communicate independent investment recommendations, market color or trading ideas and/or publish or express independent research views in respect of such securities or instruments and may at any time hold, or recommend to clients that they acquire, long and/or short positions in such securities and instruments.</w:t>
      </w:r>
    </w:p>
    <w:p>
      <w:pPr>
        <w:spacing w:after="0" w:line="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S-15</w:t>
      </w:r>
    </w:p>
    <w:p>
      <w:pPr>
        <w:sectPr>
          <w:pgSz w:w="11900" w:h="16838" w:orient="portrait"/>
          <w:cols w:equalWidth="0" w:num="1">
            <w:col w:w="9019"/>
          </w:cols>
          <w:pgMar w:left="1440" w:top="326" w:right="1440" w:bottom="1440" w:gutter="0" w:footer="0" w:header="0"/>
        </w:sectPr>
      </w:pPr>
    </w:p>
    <w:bookmarkStart w:id="21" w:name="page22"/>
    <w:bookmarkEnd w:id="2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LEGAL MATTERS</w:t>
      </w:r>
    </w:p>
    <w:p>
      <w:pPr>
        <w:spacing w:after="0" w:line="180" w:lineRule="exact"/>
        <w:rPr>
          <w:sz w:val="20"/>
          <w:szCs w:val="20"/>
          <w:color w:val="auto"/>
        </w:rPr>
      </w:pPr>
    </w:p>
    <w:p>
      <w:pPr>
        <w:ind w:left="180" w:right="539" w:firstLine="346"/>
        <w:spacing w:after="0" w:line="286" w:lineRule="auto"/>
        <w:rPr>
          <w:sz w:val="20"/>
          <w:szCs w:val="20"/>
          <w:color w:val="auto"/>
        </w:rPr>
      </w:pPr>
      <w:r>
        <w:rPr>
          <w:rFonts w:ascii="Times New Roman" w:cs="Times New Roman" w:eastAsia="Times New Roman" w:hAnsi="Times New Roman"/>
          <w:sz w:val="14"/>
          <w:szCs w:val="14"/>
          <w:color w:val="auto"/>
        </w:rPr>
        <w:t>The validity of the shares of common stock offered hereby will be passed upon for us by Goodwin Procter LLP, Boston, Massachusetts. TD Securities (USA) LLC is being represented in connection with this offering by Wilmer Cutler Pickering Hale and Dorr LLP, New York, New York.</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S-16</w:t>
      </w:r>
    </w:p>
    <w:p>
      <w:pPr>
        <w:sectPr>
          <w:pgSz w:w="11900" w:h="16838" w:orient="portrait"/>
          <w:cols w:equalWidth="0" w:num="1">
            <w:col w:w="9019"/>
          </w:cols>
          <w:pgMar w:left="1440" w:top="239" w:right="1440" w:bottom="1440" w:gutter="0" w:footer="0" w:header="0"/>
        </w:sectPr>
      </w:pPr>
    </w:p>
    <w:bookmarkStart w:id="22" w:name="page23"/>
    <w:bookmarkEnd w:id="22"/>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EXPERTS</w:t>
      </w:r>
    </w:p>
    <w:p>
      <w:pPr>
        <w:spacing w:after="0" w:line="180" w:lineRule="exact"/>
        <w:rPr>
          <w:sz w:val="20"/>
          <w:szCs w:val="20"/>
          <w:color w:val="auto"/>
        </w:rPr>
      </w:pPr>
    </w:p>
    <w:p>
      <w:pPr>
        <w:ind w:left="180" w:right="279" w:firstLine="346"/>
        <w:spacing w:after="0" w:line="261" w:lineRule="auto"/>
        <w:rPr>
          <w:sz w:val="20"/>
          <w:szCs w:val="20"/>
          <w:color w:val="auto"/>
        </w:rPr>
      </w:pPr>
      <w:r>
        <w:rPr>
          <w:rFonts w:ascii="Times New Roman" w:cs="Times New Roman" w:eastAsia="Times New Roman" w:hAnsi="Times New Roman"/>
          <w:sz w:val="14"/>
          <w:szCs w:val="14"/>
          <w:color w:val="auto"/>
        </w:rPr>
        <w:t>The consolidated financial statements of Disc Medicine, Inc. appearing in Disc Medicine, Inc.’s Annual Report (Form 10-K) for the year ended December 31, 2025, and the effectiveness of Disc Medicine, Inc.’s internal control over financial reporting as of December 31, 2025 have been audited by Ernst &amp; Young LLP, independent registered public accounting firm, as set forth in their reports thereon, included therein, and incorporated herein by reference. Such consolidated financial statements are incorporated herein by reference in reliance upon such reports given on the authority of such firm as experts in accounting and auditing.</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S-17</w:t>
      </w:r>
    </w:p>
    <w:p>
      <w:pPr>
        <w:sectPr>
          <w:pgSz w:w="11900" w:h="16838" w:orient="portrait"/>
          <w:cols w:equalWidth="0" w:num="1">
            <w:col w:w="9019"/>
          </w:cols>
          <w:pgMar w:left="1440" w:top="239" w:right="1440" w:bottom="1440" w:gutter="0" w:footer="0" w:header="0"/>
        </w:sectPr>
      </w:pPr>
    </w:p>
    <w:bookmarkStart w:id="23" w:name="page24"/>
    <w:bookmarkEnd w:id="23"/>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WHERE YOU CAN FIND MORE INFORMATION</w:t>
      </w:r>
    </w:p>
    <w:p>
      <w:pPr>
        <w:spacing w:after="0" w:line="180" w:lineRule="exact"/>
        <w:rPr>
          <w:sz w:val="20"/>
          <w:szCs w:val="20"/>
          <w:color w:val="auto"/>
        </w:rPr>
      </w:pPr>
    </w:p>
    <w:p>
      <w:pPr>
        <w:ind w:left="180" w:right="419" w:firstLine="346"/>
        <w:spacing w:after="0" w:line="269" w:lineRule="auto"/>
        <w:rPr>
          <w:sz w:val="20"/>
          <w:szCs w:val="20"/>
          <w:color w:val="auto"/>
        </w:rPr>
      </w:pPr>
      <w:r>
        <w:rPr>
          <w:rFonts w:ascii="Times New Roman" w:cs="Times New Roman" w:eastAsia="Times New Roman" w:hAnsi="Times New Roman"/>
          <w:sz w:val="14"/>
          <w:szCs w:val="14"/>
          <w:color w:val="auto"/>
        </w:rPr>
        <w:t>We file annual, quarterly and current reports, proxy statements and other information with the SEC. Our SEC filings are available to the public over the Internet at the SEC’s website at www.sec.gov and on our investor website at www.discmedicine.com. Our website is not a part of this prospectus supplement and is not incorporated by reference in this prospectus supplement or the accompanying base prospectus.</w:t>
      </w:r>
    </w:p>
    <w:p>
      <w:pPr>
        <w:spacing w:after="0" w:line="137" w:lineRule="exact"/>
        <w:rPr>
          <w:sz w:val="20"/>
          <w:szCs w:val="20"/>
          <w:color w:val="auto"/>
        </w:rPr>
      </w:pPr>
    </w:p>
    <w:p>
      <w:pPr>
        <w:ind w:left="180" w:right="299" w:firstLine="346"/>
        <w:spacing w:after="0" w:line="259" w:lineRule="auto"/>
        <w:rPr>
          <w:sz w:val="20"/>
          <w:szCs w:val="20"/>
          <w:color w:val="auto"/>
        </w:rPr>
      </w:pPr>
      <w:r>
        <w:rPr>
          <w:rFonts w:ascii="Times New Roman" w:cs="Times New Roman" w:eastAsia="Times New Roman" w:hAnsi="Times New Roman"/>
          <w:sz w:val="14"/>
          <w:szCs w:val="14"/>
          <w:color w:val="auto"/>
        </w:rPr>
        <w:t>This prospectus supplement is part of a registration statement that we have filed with the SEC. Certain information in the registration statement has been omitted from this prospectus supplement in accordance with the rules of the SEC. For more detail about us and any securities that may be offered by this prospectus supplement, you may examine the registration statement of which this prospectus supplement forms a part, including its exhibits and schedules. Statements contained in this prospectus supplement and the accompanying base prospectus as to the contents of any contract or other document are not necessarily complete, and in each instance we refer you to the copy of the contract or document filed as an exhibit to the registration statement, each such statement being qualified in all respects by such reference.</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S-18</w:t>
      </w:r>
    </w:p>
    <w:p>
      <w:pPr>
        <w:sectPr>
          <w:pgSz w:w="11900" w:h="16838" w:orient="portrait"/>
          <w:cols w:equalWidth="0" w:num="1">
            <w:col w:w="9019"/>
          </w:cols>
          <w:pgMar w:left="1440" w:top="239" w:right="1440" w:bottom="1440" w:gutter="0" w:footer="0" w:header="0"/>
        </w:sectPr>
      </w:pPr>
    </w:p>
    <w:bookmarkStart w:id="24" w:name="page25"/>
    <w:bookmarkEnd w:id="2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INCORPORATION OF CERTAIN INFORMATION BY REFERENCE</w:t>
      </w:r>
    </w:p>
    <w:p>
      <w:pPr>
        <w:spacing w:after="0" w:line="180" w:lineRule="exact"/>
        <w:rPr>
          <w:sz w:val="20"/>
          <w:szCs w:val="20"/>
          <w:color w:val="auto"/>
        </w:rPr>
      </w:pPr>
    </w:p>
    <w:p>
      <w:pPr>
        <w:ind w:left="180" w:right="199" w:firstLine="346"/>
        <w:spacing w:after="0" w:line="257" w:lineRule="auto"/>
        <w:rPr>
          <w:sz w:val="20"/>
          <w:szCs w:val="20"/>
          <w:color w:val="auto"/>
        </w:rPr>
      </w:pPr>
      <w:r>
        <w:rPr>
          <w:rFonts w:ascii="Times New Roman" w:cs="Times New Roman" w:eastAsia="Times New Roman" w:hAnsi="Times New Roman"/>
          <w:sz w:val="14"/>
          <w:szCs w:val="14"/>
          <w:color w:val="auto"/>
        </w:rPr>
        <w:t>The SEC allows us to incorporate by reference in this prospectus supplement much of the information we file with the SEC, which means that we can disclose important information to you by referring you to those publicly available documents. The information that we incorporate by reference in this prospectus supplement and the accompanying base prospectus is considered to be part of this prospectus supplement. Because we are incorporating by reference future filings with the SEC, this prospectus supplement is continually updated and those future filings may modify or supersede some of the information included or incorporated in this prospectus supplement. This means that you must look at all of the SEC filings that we incorporate by reference to determine if any of the statements in this prospectus supplement or in any document previously incorporated by reference have been modified or superseded. This prospectus supplement incorporates by reference the documents listed below and any future filings we make with the SEC under Sections 13(a), 13(c), 14 or 15(d) of the Exchange Act, except as to any portion of any future report or document that is not deemed filed under such provisions, until we terminate or sell all of the securities offered hereby:</w:t>
      </w:r>
    </w:p>
    <w:p>
      <w:pPr>
        <w:spacing w:after="0" w:line="70" w:lineRule="exact"/>
        <w:rPr>
          <w:sz w:val="20"/>
          <w:szCs w:val="20"/>
          <w:color w:val="auto"/>
        </w:rPr>
      </w:pPr>
    </w:p>
    <w:p>
      <w:pPr>
        <w:ind w:left="940" w:hanging="337"/>
        <w:spacing w:after="0"/>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w:t>
      </w:r>
      <w:hyperlink r:id="rId3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for the fiscal year ended December 31, 2025, filed with the SEC on February 26, 2026;</w:t>
      </w:r>
    </w:p>
    <w:p>
      <w:pPr>
        <w:spacing w:after="0" w:line="104" w:lineRule="exact"/>
        <w:rPr>
          <w:rFonts w:ascii="Times New Roman" w:cs="Times New Roman" w:eastAsia="Times New Roman" w:hAnsi="Times New Roman"/>
          <w:sz w:val="14"/>
          <w:szCs w:val="14"/>
          <w:color w:val="auto"/>
        </w:rPr>
      </w:pPr>
    </w:p>
    <w:p>
      <w:pPr>
        <w:ind w:left="940" w:right="239" w:hanging="337"/>
        <w:spacing w:after="0" w:line="286" w:lineRule="auto"/>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information specifically incorporated by reference into our Annual Report on </w:t>
      </w:r>
      <w:hyperlink r:id="rId37">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2025 from our Definitive Proxy Statement on </w:t>
      </w:r>
      <w:hyperlink r:id="rId38">
        <w:r>
          <w:rPr>
            <w:rFonts w:ascii="Times New Roman" w:cs="Times New Roman" w:eastAsia="Times New Roman" w:hAnsi="Times New Roman"/>
            <w:sz w:val="14"/>
            <w:szCs w:val="14"/>
            <w:u w:val="single" w:color="auto"/>
            <w:color w:val="0000EE"/>
          </w:rPr>
          <w:t>Schedule 14A</w:t>
        </w:r>
      </w:hyperlink>
      <w:r>
        <w:rPr>
          <w:rFonts w:ascii="Times New Roman" w:cs="Times New Roman" w:eastAsia="Times New Roman" w:hAnsi="Times New Roman"/>
          <w:sz w:val="14"/>
          <w:szCs w:val="14"/>
          <w:color w:val="auto"/>
        </w:rPr>
        <w:t>, filed with the SEC on April 28, 2026;</w:t>
      </w:r>
    </w:p>
    <w:p>
      <w:pPr>
        <w:spacing w:after="0" w:line="50" w:lineRule="exact"/>
        <w:rPr>
          <w:rFonts w:ascii="Times New Roman" w:cs="Times New Roman" w:eastAsia="Times New Roman" w:hAnsi="Times New Roman"/>
          <w:sz w:val="14"/>
          <w:szCs w:val="14"/>
          <w:color w:val="auto"/>
        </w:rPr>
      </w:pPr>
    </w:p>
    <w:p>
      <w:pPr>
        <w:ind w:left="940" w:right="439" w:hanging="337"/>
        <w:spacing w:after="0" w:line="286" w:lineRule="auto"/>
        <w:tabs>
          <w:tab w:leader="none" w:pos="940" w:val="left"/>
        </w:tabs>
        <w:numPr>
          <w:ilvl w:val="0"/>
          <w:numId w:val="8"/>
        </w:numPr>
        <w:rPr>
          <w:rFonts w:ascii="Times New Roman" w:cs="Times New Roman" w:eastAsia="Times New Roman" w:hAnsi="Times New Roman"/>
          <w:sz w:val="14"/>
          <w:szCs w:val="14"/>
          <w:color w:val="0000EE"/>
        </w:rPr>
      </w:pPr>
      <w:r>
        <w:rPr>
          <w:rFonts w:ascii="Times New Roman" w:cs="Times New Roman" w:eastAsia="Times New Roman" w:hAnsi="Times New Roman"/>
          <w:sz w:val="14"/>
          <w:szCs w:val="14"/>
          <w:color w:val="auto"/>
        </w:rPr>
        <w:t xml:space="preserve">Quarterly Reports on Form 10-Q for the quarters ended March 31, 2026, June 30, 2026 and September 30, 2026, filed with the SEC on </w:t>
      </w:r>
      <w:hyperlink r:id="rId39">
        <w:r>
          <w:rPr>
            <w:rFonts w:ascii="Times New Roman" w:cs="Times New Roman" w:eastAsia="Times New Roman" w:hAnsi="Times New Roman"/>
            <w:sz w:val="14"/>
            <w:szCs w:val="14"/>
            <w:u w:val="single" w:color="auto"/>
            <w:color w:val="0000EE"/>
          </w:rPr>
          <w:t>May 5,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r:id="rId40">
        <w:r>
          <w:rPr>
            <w:rFonts w:ascii="Times New Roman" w:cs="Times New Roman" w:eastAsia="Times New Roman" w:hAnsi="Times New Roman"/>
            <w:sz w:val="14"/>
            <w:szCs w:val="14"/>
            <w:u w:val="single" w:color="auto"/>
            <w:color w:val="0000EE"/>
          </w:rPr>
          <w:t xml:space="preserve">July 30, 2026 </w:t>
        </w:r>
      </w:hyperlink>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r:id="rId41">
        <w:r>
          <w:rPr>
            <w:rFonts w:ascii="Times New Roman" w:cs="Times New Roman" w:eastAsia="Times New Roman" w:hAnsi="Times New Roman"/>
            <w:sz w:val="14"/>
            <w:szCs w:val="14"/>
            <w:u w:val="single" w:color="auto"/>
            <w:color w:val="0000EE"/>
          </w:rPr>
          <w:t>November 5, 2026</w:t>
        </w:r>
      </w:hyperlink>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r>
        <w:rPr>
          <w:rFonts w:ascii="Times New Roman" w:cs="Times New Roman" w:eastAsia="Times New Roman" w:hAnsi="Times New Roman"/>
          <w:sz w:val="14"/>
          <w:szCs w:val="14"/>
          <w:color w:val="000000"/>
        </w:rPr>
        <w:t>respectively;</w:t>
      </w:r>
    </w:p>
    <w:p>
      <w:pPr>
        <w:spacing w:after="0" w:line="50" w:lineRule="exact"/>
        <w:rPr>
          <w:rFonts w:ascii="Times New Roman" w:cs="Times New Roman" w:eastAsia="Times New Roman" w:hAnsi="Times New Roman"/>
          <w:sz w:val="14"/>
          <w:szCs w:val="14"/>
          <w:color w:val="0000EE"/>
        </w:rPr>
      </w:pPr>
    </w:p>
    <w:p>
      <w:pPr>
        <w:ind w:left="940" w:right="199" w:hanging="337"/>
        <w:spacing w:after="0" w:line="286" w:lineRule="auto"/>
        <w:tabs>
          <w:tab w:leader="none" w:pos="940" w:val="left"/>
        </w:tabs>
        <w:numPr>
          <w:ilvl w:val="0"/>
          <w:numId w:val="8"/>
        </w:numPr>
        <w:rPr>
          <w:rFonts w:ascii="Times New Roman" w:cs="Times New Roman" w:eastAsia="Times New Roman" w:hAnsi="Times New Roman"/>
          <w:sz w:val="14"/>
          <w:szCs w:val="14"/>
          <w:color w:val="0000EE"/>
        </w:rPr>
      </w:pPr>
      <w:hyperlink r:id="rId42">
        <w:r>
          <w:rPr>
            <w:rFonts w:ascii="Times New Roman" w:cs="Times New Roman" w:eastAsia="Times New Roman" w:hAnsi="Times New Roman"/>
            <w:sz w:val="14"/>
            <w:szCs w:val="14"/>
            <w:color w:val="auto"/>
          </w:rPr>
          <w:t xml:space="preserve">Current Reports on Form 8-K filed with the SEC on </w:t>
        </w:r>
        <w:r>
          <w:rPr>
            <w:rFonts w:ascii="Times New Roman" w:cs="Times New Roman" w:eastAsia="Times New Roman" w:hAnsi="Times New Roman"/>
            <w:sz w:val="14"/>
            <w:szCs w:val="14"/>
            <w:u w:val="single" w:color="auto"/>
            <w:color w:val="0000EE"/>
          </w:rPr>
          <w:t>February 13,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February 27,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June 24,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June 30, 2026</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u w:val="single" w:color="auto"/>
            <w:color w:val="0000EE"/>
          </w:rPr>
          <w:t>September 10,</w:t>
        </w:r>
      </w:hyperlink>
      <w:r>
        <w:rPr>
          <w:rFonts w:ascii="Times New Roman" w:cs="Times New Roman" w:eastAsia="Times New Roman" w:hAnsi="Times New Roman"/>
          <w:sz w:val="14"/>
          <w:szCs w:val="14"/>
          <w:color w:val="auto"/>
        </w:rPr>
        <w:t xml:space="preserve"> </w:t>
      </w:r>
      <w:hyperlink r:id="rId42">
        <w:r>
          <w:rPr>
            <w:rFonts w:ascii="Times New Roman" w:cs="Times New Roman" w:eastAsia="Times New Roman" w:hAnsi="Times New Roman"/>
            <w:sz w:val="14"/>
            <w:szCs w:val="14"/>
            <w:u w:val="single" w:color="auto"/>
            <w:color w:val="0000EE"/>
          </w:rPr>
          <w:t>2026</w:t>
        </w:r>
        <w:r>
          <w:rPr>
            <w:rFonts w:ascii="Times New Roman" w:cs="Times New Roman" w:eastAsia="Times New Roman" w:hAnsi="Times New Roman"/>
            <w:sz w:val="14"/>
            <w:szCs w:val="14"/>
            <w:color w:val="000000"/>
          </w:rPr>
          <w:t>,</w:t>
        </w:r>
        <w:r>
          <w:rPr>
            <w:rFonts w:ascii="Times New Roman" w:cs="Times New Roman" w:eastAsia="Times New Roman" w:hAnsi="Times New Roman"/>
            <w:sz w:val="14"/>
            <w:szCs w:val="14"/>
            <w:color w:val="0000EE"/>
          </w:rPr>
          <w:t xml:space="preserve"> </w:t>
        </w:r>
      </w:hyperlink>
      <w:hyperlink r:id="rId43">
        <w:r>
          <w:rPr>
            <w:rFonts w:ascii="Times New Roman" w:cs="Times New Roman" w:eastAsia="Times New Roman" w:hAnsi="Times New Roman"/>
            <w:sz w:val="14"/>
            <w:szCs w:val="14"/>
            <w:u w:val="single" w:color="auto"/>
            <w:color w:val="0000EE"/>
          </w:rPr>
          <w:t xml:space="preserve">October 19, 2026 </w:t>
        </w:r>
      </w:hyperlink>
      <w:hyperlink r:id="rId42">
        <w:r>
          <w:rPr>
            <w:rFonts w:ascii="Times New Roman" w:cs="Times New Roman" w:eastAsia="Times New Roman" w:hAnsi="Times New Roman"/>
            <w:sz w:val="14"/>
            <w:szCs w:val="14"/>
            <w:color w:val="000000"/>
          </w:rPr>
          <w:t>and</w:t>
        </w:r>
        <w:r>
          <w:rPr>
            <w:rFonts w:ascii="Times New Roman" w:cs="Times New Roman" w:eastAsia="Times New Roman" w:hAnsi="Times New Roman"/>
            <w:sz w:val="14"/>
            <w:szCs w:val="14"/>
            <w:color w:val="0000EE"/>
          </w:rPr>
          <w:t xml:space="preserve"> </w:t>
        </w:r>
      </w:hyperlink>
      <w:hyperlink r:id="rId44">
        <w:r>
          <w:rPr>
            <w:rFonts w:ascii="Times New Roman" w:cs="Times New Roman" w:eastAsia="Times New Roman" w:hAnsi="Times New Roman"/>
            <w:sz w:val="14"/>
            <w:szCs w:val="14"/>
            <w:u w:val="single" w:color="auto"/>
            <w:color w:val="0000EE"/>
          </w:rPr>
          <w:t xml:space="preserve">October 22, 2026 </w:t>
        </w:r>
      </w:hyperlink>
      <w:hyperlink r:id="rId42">
        <w:r>
          <w:rPr>
            <w:rFonts w:ascii="Times New Roman" w:cs="Times New Roman" w:eastAsia="Times New Roman" w:hAnsi="Times New Roman"/>
            <w:sz w:val="14"/>
            <w:szCs w:val="14"/>
            <w:color w:val="000000"/>
          </w:rPr>
          <w:t>(in each case, excluding information furnished pursuant to Items 2.02 and 7.01); and</w:t>
        </w:r>
      </w:hyperlink>
    </w:p>
    <w:p>
      <w:pPr>
        <w:spacing w:after="0" w:line="50" w:lineRule="exact"/>
        <w:rPr>
          <w:rFonts w:ascii="Times New Roman" w:cs="Times New Roman" w:eastAsia="Times New Roman" w:hAnsi="Times New Roman"/>
          <w:sz w:val="14"/>
          <w:szCs w:val="14"/>
          <w:color w:val="0000EE"/>
        </w:rPr>
      </w:pPr>
    </w:p>
    <w:p>
      <w:pPr>
        <w:ind w:left="940" w:right="199" w:hanging="337"/>
        <w:spacing w:after="0" w:line="261" w:lineRule="auto"/>
        <w:tabs>
          <w:tab w:leader="none" w:pos="940" w:val="left"/>
        </w:tabs>
        <w:numPr>
          <w:ilvl w:val="0"/>
          <w:numId w:val="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w:t>
      </w:r>
      <w:hyperlink r:id="rId45">
        <w:r>
          <w:rPr>
            <w:rFonts w:ascii="Times New Roman" w:cs="Times New Roman" w:eastAsia="Times New Roman" w:hAnsi="Times New Roman"/>
            <w:sz w:val="14"/>
            <w:szCs w:val="14"/>
            <w:u w:val="single" w:color="auto"/>
            <w:color w:val="0000EE"/>
          </w:rPr>
          <w:t>Form 8-A</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filed with the SEC on August 10, 2020, and as set forth by the description of the Registrant’s common stock set forth in Exhibit 4.4 to the Registrant’s Annual Report on </w:t>
      </w:r>
      <w:hyperlink r:id="rId46">
        <w:r>
          <w:rPr>
            <w:rFonts w:ascii="Times New Roman" w:cs="Times New Roman" w:eastAsia="Times New Roman" w:hAnsi="Times New Roman"/>
            <w:sz w:val="14"/>
            <w:szCs w:val="14"/>
            <w:u w:val="single" w:color="auto"/>
            <w:color w:val="0000EE"/>
          </w:rPr>
          <w:t>Form 10-K</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for the year ended December 31, 2021, filed with the SEC on March 10, 2022, and as further supplemented by the description of the Registrant’s common stock set forth in the Registrant’s Registration Statement on </w:t>
      </w:r>
      <w:hyperlink r:id="rId47">
        <w:r>
          <w:rPr>
            <w:rFonts w:ascii="Times New Roman" w:cs="Times New Roman" w:eastAsia="Times New Roman" w:hAnsi="Times New Roman"/>
            <w:sz w:val="14"/>
            <w:szCs w:val="14"/>
            <w:u w:val="single" w:color="auto"/>
            <w:color w:val="0000EE"/>
          </w:rPr>
          <w:t>Form S-4/A</w:t>
        </w:r>
      </w:hyperlink>
      <w:r>
        <w:rPr>
          <w:rFonts w:ascii="Times New Roman" w:cs="Times New Roman" w:eastAsia="Times New Roman" w:hAnsi="Times New Roman"/>
          <w:sz w:val="14"/>
          <w:szCs w:val="14"/>
          <w:color w:val="auto"/>
        </w:rPr>
        <w:t>, filed with the SEC on December 1, 2022, including any amendments or reports filed for the purpose of updating such description.</w:t>
      </w:r>
    </w:p>
    <w:p>
      <w:pPr>
        <w:spacing w:after="0" w:line="142" w:lineRule="exact"/>
        <w:rPr>
          <w:rFonts w:ascii="Times New Roman" w:cs="Times New Roman" w:eastAsia="Times New Roman" w:hAnsi="Times New Roman"/>
          <w:sz w:val="14"/>
          <w:szCs w:val="14"/>
          <w:color w:val="auto"/>
        </w:rPr>
      </w:pPr>
    </w:p>
    <w:p>
      <w:pPr>
        <w:ind w:left="520"/>
        <w:spacing w:after="0"/>
        <w:rPr>
          <w:sz w:val="20"/>
          <w:szCs w:val="20"/>
          <w:color w:val="auto"/>
        </w:rPr>
      </w:pPr>
      <w:r>
        <w:rPr>
          <w:rFonts w:ascii="Times New Roman" w:cs="Times New Roman" w:eastAsia="Times New Roman" w:hAnsi="Times New Roman"/>
          <w:sz w:val="14"/>
          <w:szCs w:val="14"/>
          <w:color w:val="auto"/>
        </w:rPr>
        <w:t>You may request a copy of these filings, at no cost, by writing or telephoning us at the following address or telephone number:</w:t>
      </w:r>
    </w:p>
    <w:p>
      <w:pPr>
        <w:spacing w:after="0" w:line="9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Disc Medicine, Inc.</w:t>
      </w:r>
    </w:p>
    <w:p>
      <w:pPr>
        <w:spacing w:after="0" w:line="23"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321 Arsenal Street, Suite 101</w:t>
      </w:r>
    </w:p>
    <w:p>
      <w:pPr>
        <w:spacing w:after="0" w:line="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Watertown, MA 02472</w:t>
      </w:r>
    </w:p>
    <w:p>
      <w:pPr>
        <w:spacing w:after="0" w:line="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Attn: Investor Relations</w:t>
      </w:r>
    </w:p>
    <w:p>
      <w:pPr>
        <w:spacing w:after="0" w:line="9"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(617) 674-9274</w:t>
      </w:r>
    </w:p>
    <w:p>
      <w:pPr>
        <w:spacing w:after="0" w:line="162" w:lineRule="exact"/>
        <w:rPr>
          <w:rFonts w:ascii="Times New Roman" w:cs="Times New Roman" w:eastAsia="Times New Roman" w:hAnsi="Times New Roman"/>
          <w:sz w:val="14"/>
          <w:szCs w:val="14"/>
          <w:color w:val="auto"/>
        </w:rPr>
      </w:pPr>
    </w:p>
    <w:p>
      <w:pPr>
        <w:ind w:left="180" w:right="459" w:firstLine="346"/>
        <w:spacing w:after="0" w:line="265" w:lineRule="auto"/>
        <w:rPr>
          <w:sz w:val="20"/>
          <w:szCs w:val="20"/>
          <w:color w:val="auto"/>
        </w:rPr>
      </w:pPr>
      <w:r>
        <w:rPr>
          <w:rFonts w:ascii="Times New Roman" w:cs="Times New Roman" w:eastAsia="Times New Roman" w:hAnsi="Times New Roman"/>
          <w:sz w:val="14"/>
          <w:szCs w:val="14"/>
          <w:color w:val="auto"/>
        </w:rPr>
        <w:t xml:space="preserve">You may also access these documents, free of charge on the SEC’s website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 xml:space="preserve"> or on our website at </w:t>
      </w:r>
      <w:r>
        <w:rPr>
          <w:rFonts w:ascii="Times New Roman" w:cs="Times New Roman" w:eastAsia="Times New Roman" w:hAnsi="Times New Roman"/>
          <w:sz w:val="14"/>
          <w:szCs w:val="14"/>
          <w:i w:val="1"/>
          <w:iCs w:val="1"/>
          <w:color w:val="auto"/>
        </w:rPr>
        <w:t>www.discmedicine.com</w:t>
      </w:r>
      <w:r>
        <w:rPr>
          <w:rFonts w:ascii="Times New Roman" w:cs="Times New Roman" w:eastAsia="Times New Roman" w:hAnsi="Times New Roman"/>
          <w:sz w:val="14"/>
          <w:szCs w:val="14"/>
          <w:color w:val="auto"/>
        </w:rPr>
        <w:t>. Information contained on, or accessible through, our website is not a part of or incorporated by reference into this prospectus supplement or the accompanying base prospectus, and you should not consider any information on, or that can be accessed from, our website as part of this prospectus supplement or the accompanying base prospectus.</w:t>
      </w:r>
    </w:p>
    <w:p>
      <w:pPr>
        <w:spacing w:after="0" w:line="86"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S-19</w:t>
      </w:r>
    </w:p>
    <w:p>
      <w:pPr>
        <w:sectPr>
          <w:pgSz w:w="11900" w:h="16838" w:orient="portrait"/>
          <w:cols w:equalWidth="0" w:num="1">
            <w:col w:w="9019"/>
          </w:cols>
          <w:pgMar w:left="1440" w:top="239" w:right="1440" w:bottom="1440" w:gutter="0" w:footer="0" w:header="0"/>
        </w:sectPr>
      </w:pPr>
    </w:p>
    <w:bookmarkStart w:id="25" w:name="page26"/>
    <w:bookmarkEnd w:id="25"/>
    <w:p>
      <w:pPr>
        <w:ind w:left="180" w:right="199" w:firstLine="346"/>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Notwithstanding the foregoing, unless specifically stated to the contrary, information that we furnish (and that is not deemed “filed” with the SEC) under Items 2.02 and 7.01 of any Current Report on Form 8-K, including the related exhibits under Item 9.01, is not incorporated by reference into this prospectus supplement or the accompanying base prospectus.</w:t>
      </w:r>
    </w:p>
    <w:p>
      <w:pPr>
        <w:spacing w:after="0" w:line="137" w:lineRule="exact"/>
        <w:rPr>
          <w:sz w:val="20"/>
          <w:szCs w:val="20"/>
          <w:color w:val="auto"/>
        </w:rPr>
      </w:pPr>
    </w:p>
    <w:p>
      <w:pPr>
        <w:jc w:val="both"/>
        <w:ind w:left="180" w:right="519" w:firstLine="346"/>
        <w:spacing w:after="0" w:line="269" w:lineRule="auto"/>
        <w:rPr>
          <w:sz w:val="20"/>
          <w:szCs w:val="20"/>
          <w:color w:val="auto"/>
        </w:rPr>
      </w:pPr>
      <w:r>
        <w:rPr>
          <w:rFonts w:ascii="Times New Roman" w:cs="Times New Roman" w:eastAsia="Times New Roman" w:hAnsi="Times New Roman"/>
          <w:sz w:val="14"/>
          <w:szCs w:val="14"/>
          <w:color w:val="auto"/>
        </w:rPr>
        <w:t>In accordance with Rule 412 of the Securities Act, any statement contained in a document incorporated by reference herein shall be deemed modified or superseded to the extent that a statement contained herein or in any other subsequently filed document which also is or is deemed to be incorporated by reference herein modifies or supersedes such statement.</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S-20</w:t>
      </w:r>
    </w:p>
    <w:p>
      <w:pPr>
        <w:sectPr>
          <w:pgSz w:w="11900" w:h="16838" w:orient="portrait"/>
          <w:cols w:equalWidth="0" w:num="1">
            <w:col w:w="9019"/>
          </w:cols>
          <w:pgMar w:left="1440" w:top="326" w:right="1440" w:bottom="1440" w:gutter="0" w:footer="0" w:header="0"/>
        </w:sectPr>
      </w:pPr>
    </w:p>
    <w:bookmarkStart w:id="26" w:name="page27"/>
    <w:bookmarkEnd w:id="26"/>
    <w:p>
      <w:pPr>
        <w:ind w:left="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PROSPECTUS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1392555</wp:posOffset>
            </wp:positionH>
            <wp:positionV relativeFrom="paragraph">
              <wp:posOffset>137160</wp:posOffset>
            </wp:positionV>
            <wp:extent cx="2934970" cy="46418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50">
                      <a:extLst>
                        <a:ext uri="{28A0092B-C50C-407E-A947-70E740481C1C}"/>
                      </a:extLst>
                    </a:blip>
                    <a:srcRect/>
                    <a:stretch>
                      <a:fillRect/>
                    </a:stretch>
                  </pic:blipFill>
                  <pic:spPr bwMode="auto">
                    <a:xfrm>
                      <a:off x="0" y="0"/>
                      <a:ext cx="2934970" cy="4641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Preferred Stock</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Debt Securities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Warrants</w:t>
      </w:r>
    </w:p>
    <w:p>
      <w:pPr>
        <w:spacing w:after="0" w:line="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0"/>
          <w:szCs w:val="20"/>
          <w:b w:val="1"/>
          <w:bCs w:val="1"/>
          <w:color w:val="auto"/>
        </w:rPr>
        <w:t>Units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174625</wp:posOffset>
            </wp:positionV>
            <wp:extent cx="1157605" cy="698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51">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20" w:lineRule="exact"/>
        <w:rPr>
          <w:sz w:val="20"/>
          <w:szCs w:val="20"/>
          <w:color w:val="auto"/>
        </w:rPr>
      </w:pPr>
    </w:p>
    <w:p>
      <w:pPr>
        <w:ind w:left="180" w:right="359"/>
        <w:spacing w:after="0" w:line="286" w:lineRule="auto"/>
        <w:rPr>
          <w:sz w:val="20"/>
          <w:szCs w:val="20"/>
          <w:color w:val="auto"/>
        </w:rPr>
      </w:pPr>
      <w:r>
        <w:rPr>
          <w:rFonts w:ascii="Times New Roman" w:cs="Times New Roman" w:eastAsia="Times New Roman" w:hAnsi="Times New Roman"/>
          <w:sz w:val="14"/>
          <w:szCs w:val="14"/>
          <w:color w:val="auto"/>
        </w:rPr>
        <w:t>From time to time, we may offer and sell, in one or more series or classes, our Common Stock, Preferred Stock, Debt Securities, Warrants or Units, in each case in one or more issuances and at prices and on terms that we will determine at the time of the offering.</w:t>
      </w:r>
    </w:p>
    <w:p>
      <w:pPr>
        <w:spacing w:after="0" w:line="125" w:lineRule="exact"/>
        <w:rPr>
          <w:sz w:val="20"/>
          <w:szCs w:val="20"/>
          <w:color w:val="auto"/>
        </w:rPr>
      </w:pPr>
    </w:p>
    <w:p>
      <w:pPr>
        <w:ind w:left="180" w:right="219"/>
        <w:spacing w:after="0" w:line="269" w:lineRule="auto"/>
        <w:rPr>
          <w:sz w:val="20"/>
          <w:szCs w:val="20"/>
          <w:color w:val="auto"/>
        </w:rPr>
      </w:pPr>
      <w:r>
        <w:rPr>
          <w:rFonts w:ascii="Times New Roman" w:cs="Times New Roman" w:eastAsia="Times New Roman" w:hAnsi="Times New Roman"/>
          <w:sz w:val="14"/>
          <w:szCs w:val="14"/>
          <w:color w:val="auto"/>
        </w:rPr>
        <w:t>This prospectus describes the general manner in which any of these securities may be offered using this prospectus. We will specify in an accompanying prospectus supplement the terms of the securities offered and other details regarding the offering thereof. The supplement may also add, update or change information contained in this prospectus with respect to that offering.</w:t>
      </w:r>
    </w:p>
    <w:p>
      <w:pPr>
        <w:spacing w:after="0" w:line="137" w:lineRule="exact"/>
        <w:rPr>
          <w:sz w:val="20"/>
          <w:szCs w:val="20"/>
          <w:color w:val="auto"/>
        </w:rPr>
      </w:pPr>
    </w:p>
    <w:p>
      <w:pPr>
        <w:ind w:left="180" w:right="439"/>
        <w:spacing w:after="0" w:line="286"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“IRON.” On August 7, 2024, the closing price of our common stock, as reported on The Nasdaq Global Market, was $41.27 per share.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162560</wp:posOffset>
            </wp:positionV>
            <wp:extent cx="1157605" cy="698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52">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392" w:lineRule="exact"/>
        <w:rPr>
          <w:sz w:val="20"/>
          <w:szCs w:val="20"/>
          <w:color w:val="auto"/>
        </w:rPr>
      </w:pPr>
    </w:p>
    <w:p>
      <w:pPr>
        <w:ind w:left="180" w:right="339" w:firstLine="346"/>
        <w:spacing w:after="0" w:line="242" w:lineRule="auto"/>
        <w:rPr>
          <w:sz w:val="20"/>
          <w:szCs w:val="20"/>
          <w:color w:val="auto"/>
        </w:rPr>
      </w:pPr>
      <w:r>
        <w:rPr>
          <w:rFonts w:ascii="Times New Roman" w:cs="Times New Roman" w:eastAsia="Times New Roman" w:hAnsi="Times New Roman"/>
          <w:sz w:val="17"/>
          <w:szCs w:val="17"/>
          <w:b w:val="1"/>
          <w:bCs w:val="1"/>
          <w:color w:val="auto"/>
        </w:rPr>
        <w:t>Investing in our securities involves risks. You should review carefully the risks and uncertainties described under the heading “</w:t>
      </w:r>
      <w:r>
        <w:rPr>
          <w:rFonts w:ascii="Times New Roman" w:cs="Times New Roman" w:eastAsia="Times New Roman" w:hAnsi="Times New Roman"/>
          <w:sz w:val="17"/>
          <w:szCs w:val="17"/>
          <w:b w:val="1"/>
          <w:bCs w:val="1"/>
          <w:i w:val="1"/>
          <w:iCs w:val="1"/>
          <w:u w:val="single" w:color="auto"/>
          <w:color w:val="0000EE"/>
        </w:rPr>
        <w:t>Risk Factors</w:t>
      </w:r>
      <w:r>
        <w:rPr>
          <w:rFonts w:ascii="Times New Roman" w:cs="Times New Roman" w:eastAsia="Times New Roman" w:hAnsi="Times New Roman"/>
          <w:sz w:val="17"/>
          <w:szCs w:val="17"/>
          <w:b w:val="1"/>
          <w:bCs w:val="1"/>
          <w:color w:val="auto"/>
        </w:rPr>
        <w:t>” on page 10 of this prospectus and under any similar heading in the documents that are incorporated by reference into this prospectus, as well as “</w:t>
      </w:r>
      <w:r>
        <w:rPr>
          <w:rFonts w:ascii="Times New Roman" w:cs="Times New Roman" w:eastAsia="Times New Roman" w:hAnsi="Times New Roman"/>
          <w:sz w:val="17"/>
          <w:szCs w:val="17"/>
          <w:b w:val="1"/>
          <w:bCs w:val="1"/>
          <w:i w:val="1"/>
          <w:iCs w:val="1"/>
          <w:color w:val="auto"/>
        </w:rPr>
        <w:t>Special Note Regarding Forward-Looking Statements</w:t>
      </w:r>
      <w:r>
        <w:rPr>
          <w:rFonts w:ascii="Times New Roman" w:cs="Times New Roman" w:eastAsia="Times New Roman" w:hAnsi="Times New Roman"/>
          <w:sz w:val="17"/>
          <w:szCs w:val="17"/>
          <w:b w:val="1"/>
          <w:bCs w:val="1"/>
          <w:color w:val="auto"/>
        </w:rPr>
        <w:t>” on page 4 of this prospectus. You should read the entire prospectus and any applicable prospectus supplement carefully before you make your investment decision.</w:t>
      </w:r>
    </w:p>
    <w:p>
      <w:pPr>
        <w:spacing w:after="0" w:line="148" w:lineRule="exact"/>
        <w:rPr>
          <w:sz w:val="20"/>
          <w:szCs w:val="20"/>
          <w:color w:val="auto"/>
        </w:rPr>
      </w:pPr>
    </w:p>
    <w:p>
      <w:pPr>
        <w:ind w:left="180" w:right="299"/>
        <w:spacing w:after="0" w:line="261" w:lineRule="auto"/>
        <w:rPr>
          <w:sz w:val="20"/>
          <w:szCs w:val="20"/>
          <w:color w:val="auto"/>
        </w:rPr>
      </w:pPr>
      <w:r>
        <w:rPr>
          <w:rFonts w:ascii="Times New Roman" w:cs="Times New Roman" w:eastAsia="Times New Roman" w:hAnsi="Times New Roman"/>
          <w:sz w:val="14"/>
          <w:szCs w:val="14"/>
          <w:color w:val="auto"/>
        </w:rPr>
        <w:t>The securities covered by this prospectus may be sold directly by us to investors, through agents designated by us from time to time or through underwriters or dealers at prices and on terms to be determined at the time of offering. We will include in an applicable prospectus supplement the names of any underwriters or agents and any applicable commissions or discounts. Additional information on the methods of sale appears under “</w:t>
      </w:r>
      <w:r>
        <w:rPr>
          <w:rFonts w:ascii="Times New Roman" w:cs="Times New Roman" w:eastAsia="Times New Roman" w:hAnsi="Times New Roman"/>
          <w:sz w:val="14"/>
          <w:szCs w:val="14"/>
          <w:i w:val="1"/>
          <w:iCs w:val="1"/>
          <w:color w:val="auto"/>
        </w:rPr>
        <w:t>Plan</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of Distribution</w:t>
      </w:r>
      <w:r>
        <w:rPr>
          <w:rFonts w:ascii="Times New Roman" w:cs="Times New Roman" w:eastAsia="Times New Roman" w:hAnsi="Times New Roman"/>
          <w:sz w:val="14"/>
          <w:szCs w:val="14"/>
          <w:color w:val="auto"/>
        </w:rPr>
        <w:t>” in this prospectus. We will also describe in an applicable prospectus supplement the way(s) in which we expect to use the net proceeds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we receive from any sale.</w:t>
      </w:r>
    </w:p>
    <w:p>
      <w:pPr>
        <w:spacing w:after="0" w:line="140" w:lineRule="exact"/>
        <w:rPr>
          <w:sz w:val="20"/>
          <w:szCs w:val="20"/>
          <w:color w:val="auto"/>
        </w:rPr>
      </w:pPr>
    </w:p>
    <w:p>
      <w:pPr>
        <w:ind w:left="180" w:right="659"/>
        <w:spacing w:after="0" w:line="289" w:lineRule="auto"/>
        <w:rPr>
          <w:sz w:val="20"/>
          <w:szCs w:val="20"/>
          <w:color w:val="auto"/>
        </w:rPr>
      </w:pPr>
      <w:r>
        <w:rPr>
          <w:rFonts w:ascii="Times New Roman" w:cs="Times New Roman" w:eastAsia="Times New Roman" w:hAnsi="Times New Roman"/>
          <w:sz w:val="14"/>
          <w:szCs w:val="14"/>
          <w:b w:val="1"/>
          <w:bCs w:val="1"/>
          <w:color w:val="auto"/>
        </w:rPr>
        <w:t>Neither the Securities and Exchange Commission nor any state securities commission has approved or disapproved of these securities or determined if this prospectus is truthful or complete. Any representation to the contrary is a criminal offense.</w:t>
      </w:r>
    </w:p>
    <w:p>
      <w:pPr>
        <w:spacing w:after="0" w:line="12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This prospectus may not be used to offer or sell any securities unless accompanied by a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191135</wp:posOffset>
            </wp:positionV>
            <wp:extent cx="1157605" cy="698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53">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b w:val="1"/>
          <w:bCs w:val="1"/>
          <w:color w:val="auto"/>
        </w:rPr>
        <w:t>The date of this prospectus is August 8, 2024.</w:t>
      </w:r>
    </w:p>
    <w:p>
      <w:pPr>
        <w:sectPr>
          <w:pgSz w:w="11900" w:h="16838" w:orient="portrait"/>
          <w:cols w:equalWidth="0" w:num="1">
            <w:col w:w="9019"/>
          </w:cols>
          <w:pgMar w:left="1440" w:top="239" w:right="1440" w:bottom="1440" w:gutter="0" w:footer="0" w:header="0"/>
        </w:sectPr>
      </w:pPr>
    </w:p>
    <w:bookmarkStart w:id="27" w:name="page28"/>
    <w:bookmarkEnd w:id="27"/>
    <w:p>
      <w:pPr>
        <w:jc w:val="center"/>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Table of Contents</w:t>
      </w:r>
    </w:p>
    <w:p>
      <w:pPr>
        <w:spacing w:after="0" w:line="190" w:lineRule="exact"/>
        <w:rPr>
          <w:sz w:val="20"/>
          <w:szCs w:val="20"/>
          <w:color w:val="auto"/>
        </w:rPr>
      </w:pPr>
    </w:p>
    <w:tbl>
      <w:tblPr>
        <w:tblLayout w:type="fixed"/>
        <w:tblInd w:w="180" w:type="dxa"/>
        <w:tblCellMar>
          <w:top w:w="0" w:type="dxa"/>
          <w:left w:w="0" w:type="dxa"/>
          <w:bottom w:w="0" w:type="dxa"/>
          <w:right w:w="0" w:type="dxa"/>
        </w:tblCellMar>
      </w:tblPr>
      <w:tr>
        <w:trPr>
          <w:trHeight w:val="126"/>
        </w:trPr>
        <w:tc>
          <w:tcPr>
            <w:tcW w:w="600" w:type="dxa"/>
            <w:vAlign w:val="bottom"/>
          </w:tcPr>
          <w:p>
            <w:pPr>
              <w:spacing w:after="0"/>
              <w:rPr>
                <w:sz w:val="11"/>
                <w:szCs w:val="11"/>
                <w:color w:val="auto"/>
              </w:rPr>
            </w:pPr>
          </w:p>
        </w:tc>
        <w:tc>
          <w:tcPr>
            <w:tcW w:w="38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32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060" w:type="dxa"/>
            <w:vAlign w:val="bottom"/>
          </w:tcPr>
          <w:p>
            <w:pPr>
              <w:spacing w:after="0"/>
              <w:rPr>
                <w:sz w:val="11"/>
                <w:szCs w:val="11"/>
                <w:color w:val="auto"/>
              </w:rPr>
            </w:pPr>
          </w:p>
        </w:tc>
        <w:tc>
          <w:tcPr>
            <w:tcW w:w="120" w:type="dxa"/>
            <w:vAlign w:val="bottom"/>
          </w:tcPr>
          <w:p>
            <w:pPr>
              <w:spacing w:after="0"/>
              <w:rPr>
                <w:sz w:val="11"/>
                <w:szCs w:val="11"/>
                <w:color w:val="auto"/>
              </w:rPr>
            </w:pPr>
          </w:p>
        </w:tc>
        <w:tc>
          <w:tcPr>
            <w:tcW w:w="2100" w:type="dxa"/>
            <w:vAlign w:val="bottom"/>
          </w:tcPr>
          <w:p>
            <w:pPr>
              <w:spacing w:after="0"/>
              <w:rPr>
                <w:sz w:val="11"/>
                <w:szCs w:val="11"/>
                <w:color w:val="auto"/>
              </w:rPr>
            </w:pPr>
          </w:p>
        </w:tc>
        <w:tc>
          <w:tcPr>
            <w:tcW w:w="2320" w:type="dxa"/>
            <w:vAlign w:val="bottom"/>
          </w:tcPr>
          <w:p>
            <w:pPr>
              <w:jc w:val="right"/>
              <w:spacing w:after="0"/>
              <w:rPr>
                <w:sz w:val="20"/>
                <w:szCs w:val="20"/>
                <w:color w:val="auto"/>
              </w:rPr>
            </w:pPr>
            <w:r>
              <w:rPr>
                <w:rFonts w:ascii="Times New Roman" w:cs="Times New Roman" w:eastAsia="Times New Roman" w:hAnsi="Times New Roman"/>
                <w:sz w:val="11"/>
                <w:szCs w:val="11"/>
                <w:color w:val="auto"/>
              </w:rPr>
              <w:t>Page</w:t>
            </w:r>
          </w:p>
        </w:tc>
      </w:tr>
      <w:tr>
        <w:trPr>
          <w:trHeight w:val="152"/>
        </w:trPr>
        <w:tc>
          <w:tcPr>
            <w:tcW w:w="6280" w:type="dxa"/>
            <w:vAlign w:val="bottom"/>
            <w:gridSpan w:val="17"/>
          </w:tcPr>
          <w:p>
            <w:pPr>
              <w:spacing w:after="0" w:line="153" w:lineRule="exact"/>
              <w:rPr>
                <w:sz w:val="20"/>
                <w:szCs w:val="20"/>
                <w:color w:val="auto"/>
              </w:rPr>
            </w:pPr>
            <w:r>
              <w:rPr>
                <w:rFonts w:ascii="Times New Roman" w:cs="Times New Roman" w:eastAsia="Times New Roman" w:hAnsi="Times New Roman"/>
                <w:sz w:val="14"/>
                <w:szCs w:val="14"/>
                <w:color w:val="0000EE"/>
              </w:rPr>
              <w:t>ABOUT THIS PROSPECTUS</w:t>
            </w:r>
          </w:p>
        </w:tc>
        <w:tc>
          <w:tcPr>
            <w:tcW w:w="2320" w:type="dxa"/>
            <w:vAlign w:val="bottom"/>
          </w:tcPr>
          <w:p>
            <w:pPr>
              <w:jc w:val="right"/>
              <w:spacing w:after="0" w:line="153" w:lineRule="exact"/>
              <w:rPr>
                <w:sz w:val="20"/>
                <w:szCs w:val="20"/>
                <w:color w:val="auto"/>
              </w:rPr>
            </w:pPr>
            <w:r>
              <w:rPr>
                <w:rFonts w:ascii="Times New Roman" w:cs="Times New Roman" w:eastAsia="Times New Roman" w:hAnsi="Times New Roman"/>
                <w:sz w:val="14"/>
                <w:szCs w:val="14"/>
                <w:color w:val="auto"/>
              </w:rPr>
              <w:t>1</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140" w:type="dxa"/>
            <w:vAlign w:val="bottom"/>
            <w:shd w:val="clear" w:color="auto" w:fill="0000EE"/>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50"/>
        </w:trPr>
        <w:tc>
          <w:tcPr>
            <w:tcW w:w="3000" w:type="dxa"/>
            <w:vAlign w:val="bottom"/>
            <w:tcBorders>
              <w:bottom w:val="single" w:sz="8" w:color="0000EE"/>
            </w:tcBorders>
            <w:gridSpan w:val="14"/>
          </w:tcPr>
          <w:p>
            <w:pPr>
              <w:spacing w:after="0" w:line="150" w:lineRule="exact"/>
              <w:rPr>
                <w:sz w:val="20"/>
                <w:szCs w:val="20"/>
                <w:color w:val="auto"/>
              </w:rPr>
            </w:pPr>
            <w:r>
              <w:rPr>
                <w:rFonts w:ascii="Times New Roman" w:cs="Times New Roman" w:eastAsia="Times New Roman" w:hAnsi="Times New Roman"/>
                <w:sz w:val="14"/>
                <w:szCs w:val="14"/>
                <w:color w:val="0000EE"/>
                <w:w w:val="99"/>
              </w:rPr>
              <w:t>WHERE YOU CAN FIND MORE INFORMATION</w:t>
            </w:r>
          </w:p>
        </w:tc>
        <w:tc>
          <w:tcPr>
            <w:tcW w:w="3280" w:type="dxa"/>
            <w:vAlign w:val="bottom"/>
            <w:gridSpan w:val="3"/>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w:t>
            </w:r>
          </w:p>
        </w:tc>
      </w:tr>
      <w:tr>
        <w:trPr>
          <w:trHeight w:val="150"/>
        </w:trPr>
        <w:tc>
          <w:tcPr>
            <w:tcW w:w="6280" w:type="dxa"/>
            <w:vAlign w:val="bottom"/>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INCORPORATION OF CERTAIN INFORMATION BY REFERENCE</w:t>
            </w: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shd w:val="clear" w:color="auto" w:fill="0000EE"/>
          </w:tcPr>
          <w:p>
            <w:pPr>
              <w:spacing w:after="0" w:line="20" w:lineRule="exact"/>
              <w:rPr>
                <w:sz w:val="1"/>
                <w:szCs w:val="1"/>
                <w:color w:val="auto"/>
              </w:rPr>
            </w:pPr>
          </w:p>
        </w:tc>
        <w:tc>
          <w:tcPr>
            <w:tcW w:w="160" w:type="dxa"/>
            <w:vAlign w:val="bottom"/>
            <w:shd w:val="clear" w:color="auto" w:fill="0000EE"/>
          </w:tcPr>
          <w:p>
            <w:pPr>
              <w:spacing w:after="0" w:line="20" w:lineRule="exact"/>
              <w:rPr>
                <w:sz w:val="1"/>
                <w:szCs w:val="1"/>
                <w:color w:val="auto"/>
              </w:rPr>
            </w:pPr>
          </w:p>
        </w:tc>
        <w:tc>
          <w:tcPr>
            <w:tcW w:w="10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260" w:type="dxa"/>
            <w:vAlign w:val="bottom"/>
            <w:shd w:val="clear" w:color="auto" w:fill="0000EE"/>
          </w:tcPr>
          <w:p>
            <w:pPr>
              <w:spacing w:after="0" w:line="20" w:lineRule="exact"/>
              <w:rPr>
                <w:sz w:val="1"/>
                <w:szCs w:val="1"/>
                <w:color w:val="auto"/>
              </w:rPr>
            </w:pPr>
          </w:p>
        </w:tc>
        <w:tc>
          <w:tcPr>
            <w:tcW w:w="60" w:type="dxa"/>
            <w:vAlign w:val="bottom"/>
            <w:shd w:val="clear" w:color="auto" w:fill="0000EE"/>
          </w:tcPr>
          <w:p>
            <w:pPr>
              <w:spacing w:after="0" w:line="20" w:lineRule="exact"/>
              <w:rPr>
                <w:sz w:val="1"/>
                <w:szCs w:val="1"/>
                <w:color w:val="auto"/>
              </w:rPr>
            </w:pPr>
          </w:p>
        </w:tc>
        <w:tc>
          <w:tcPr>
            <w:tcW w:w="20" w:type="dxa"/>
            <w:vAlign w:val="bottom"/>
            <w:shd w:val="clear" w:color="auto" w:fill="0000EE"/>
          </w:tcPr>
          <w:p>
            <w:pPr>
              <w:spacing w:after="0" w:line="20" w:lineRule="exact"/>
              <w:rPr>
                <w:sz w:val="1"/>
                <w:szCs w:val="1"/>
                <w:color w:val="auto"/>
              </w:rPr>
            </w:pPr>
          </w:p>
        </w:tc>
        <w:tc>
          <w:tcPr>
            <w:tcW w:w="340" w:type="dxa"/>
            <w:vAlign w:val="bottom"/>
            <w:gridSpan w:val="2"/>
            <w:shd w:val="clear" w:color="auto" w:fill="0000EE"/>
          </w:tcPr>
          <w:p>
            <w:pPr>
              <w:spacing w:after="0" w:line="20" w:lineRule="exact"/>
              <w:rPr>
                <w:sz w:val="1"/>
                <w:szCs w:val="1"/>
                <w:color w:val="auto"/>
              </w:rPr>
            </w:pPr>
          </w:p>
        </w:tc>
        <w:tc>
          <w:tcPr>
            <w:tcW w:w="320" w:type="dxa"/>
            <w:vAlign w:val="bottom"/>
            <w:shd w:val="clear" w:color="auto" w:fill="0000EE"/>
          </w:tcPr>
          <w:p>
            <w:pPr>
              <w:spacing w:after="0" w:line="20" w:lineRule="exact"/>
              <w:rPr>
                <w:sz w:val="1"/>
                <w:szCs w:val="1"/>
                <w:color w:val="auto"/>
              </w:rPr>
            </w:pPr>
          </w:p>
        </w:tc>
        <w:tc>
          <w:tcPr>
            <w:tcW w:w="120" w:type="dxa"/>
            <w:vAlign w:val="bottom"/>
            <w:shd w:val="clear" w:color="auto" w:fill="0000EE"/>
          </w:tcPr>
          <w:p>
            <w:pPr>
              <w:spacing w:after="0" w:line="20" w:lineRule="exact"/>
              <w:rPr>
                <w:sz w:val="1"/>
                <w:szCs w:val="1"/>
                <w:color w:val="auto"/>
              </w:rPr>
            </w:pPr>
          </w:p>
        </w:tc>
        <w:tc>
          <w:tcPr>
            <w:tcW w:w="280" w:type="dxa"/>
            <w:vAlign w:val="bottom"/>
            <w:shd w:val="clear" w:color="auto" w:fill="0000EE"/>
          </w:tcPr>
          <w:p>
            <w:pPr>
              <w:spacing w:after="0" w:line="20" w:lineRule="exact"/>
              <w:rPr>
                <w:sz w:val="1"/>
                <w:szCs w:val="1"/>
                <w:color w:val="auto"/>
              </w:rPr>
            </w:pPr>
          </w:p>
        </w:tc>
        <w:tc>
          <w:tcPr>
            <w:tcW w:w="1400" w:type="dxa"/>
            <w:vAlign w:val="bottom"/>
            <w:gridSpan w:val="2"/>
            <w:shd w:val="clear" w:color="auto" w:fill="0000EE"/>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50"/>
        </w:trPr>
        <w:tc>
          <w:tcPr>
            <w:tcW w:w="6280" w:type="dxa"/>
            <w:vAlign w:val="bottom"/>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SPECIAL NOTE REGARDING FORWARD-LOOKING STATEMENTS</w:t>
            </w: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4</w:t>
            </w:r>
          </w:p>
        </w:tc>
      </w:tr>
      <w:tr>
        <w:trPr>
          <w:trHeight w:val="150"/>
        </w:trPr>
        <w:tc>
          <w:tcPr>
            <w:tcW w:w="4180" w:type="dxa"/>
            <w:vAlign w:val="bottom"/>
            <w:tcBorders>
              <w:top w:val="single" w:sz="8" w:color="0000EE"/>
            </w:tcBorders>
            <w:gridSpan w:val="16"/>
          </w:tcPr>
          <w:p>
            <w:pPr>
              <w:spacing w:after="0" w:line="150" w:lineRule="exact"/>
              <w:rPr>
                <w:sz w:val="20"/>
                <w:szCs w:val="20"/>
                <w:color w:val="auto"/>
              </w:rPr>
            </w:pPr>
            <w:r>
              <w:rPr>
                <w:rFonts w:ascii="Times New Roman" w:cs="Times New Roman" w:eastAsia="Times New Roman" w:hAnsi="Times New Roman"/>
                <w:sz w:val="14"/>
                <w:szCs w:val="14"/>
                <w:color w:val="0000EE"/>
              </w:rPr>
              <w:t>ABOUT THE COMPANY</w:t>
            </w:r>
          </w:p>
        </w:tc>
        <w:tc>
          <w:tcPr>
            <w:tcW w:w="2100" w:type="dxa"/>
            <w:vAlign w:val="bottom"/>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7</w:t>
            </w:r>
          </w:p>
        </w:tc>
      </w:tr>
      <w:tr>
        <w:trPr>
          <w:trHeight w:val="150"/>
        </w:trPr>
        <w:tc>
          <w:tcPr>
            <w:tcW w:w="980" w:type="dxa"/>
            <w:vAlign w:val="bottom"/>
            <w:tcBorders>
              <w:top w:val="single" w:sz="8" w:color="0000EE"/>
              <w:bottom w:val="single" w:sz="8" w:color="0000EE"/>
            </w:tcBorders>
            <w:gridSpan w:val="2"/>
          </w:tcPr>
          <w:p>
            <w:pPr>
              <w:spacing w:after="0" w:line="150" w:lineRule="exact"/>
              <w:rPr>
                <w:sz w:val="20"/>
                <w:szCs w:val="20"/>
                <w:color w:val="auto"/>
              </w:rPr>
            </w:pPr>
            <w:r>
              <w:rPr>
                <w:rFonts w:ascii="Times New Roman" w:cs="Times New Roman" w:eastAsia="Times New Roman" w:hAnsi="Times New Roman"/>
                <w:sz w:val="14"/>
                <w:szCs w:val="14"/>
                <w:color w:val="0000EE"/>
                <w:w w:val="97"/>
              </w:rPr>
              <w:t>RISK FACTORS</w:t>
            </w:r>
          </w:p>
        </w:tc>
        <w:tc>
          <w:tcPr>
            <w:tcW w:w="540" w:type="dxa"/>
            <w:vAlign w:val="bottom"/>
            <w:tcBorders>
              <w:top w:val="single" w:sz="8" w:color="0000EE"/>
            </w:tcBorders>
            <w:gridSpan w:val="4"/>
          </w:tcPr>
          <w:p>
            <w:pPr>
              <w:spacing w:after="0"/>
              <w:rPr>
                <w:sz w:val="13"/>
                <w:szCs w:val="13"/>
                <w:color w:val="auto"/>
              </w:rPr>
            </w:pPr>
          </w:p>
        </w:tc>
        <w:tc>
          <w:tcPr>
            <w:tcW w:w="4760" w:type="dxa"/>
            <w:vAlign w:val="bottom"/>
            <w:gridSpan w:val="11"/>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10</w:t>
            </w:r>
          </w:p>
        </w:tc>
      </w:tr>
      <w:tr>
        <w:trPr>
          <w:trHeight w:val="150"/>
        </w:trPr>
        <w:tc>
          <w:tcPr>
            <w:tcW w:w="1260" w:type="dxa"/>
            <w:vAlign w:val="bottom"/>
            <w:tcBorders>
              <w:bottom w:val="single" w:sz="8" w:color="0000EE"/>
            </w:tcBorders>
            <w:gridSpan w:val="5"/>
          </w:tcPr>
          <w:p>
            <w:pPr>
              <w:spacing w:after="0" w:line="150" w:lineRule="exact"/>
              <w:rPr>
                <w:sz w:val="20"/>
                <w:szCs w:val="20"/>
                <w:color w:val="auto"/>
              </w:rPr>
            </w:pPr>
            <w:r>
              <w:rPr>
                <w:rFonts w:ascii="Times New Roman" w:cs="Times New Roman" w:eastAsia="Times New Roman" w:hAnsi="Times New Roman"/>
                <w:sz w:val="14"/>
                <w:szCs w:val="14"/>
                <w:color w:val="0000EE"/>
              </w:rPr>
              <w:t>USE OF PROCEEDS</w:t>
            </w:r>
          </w:p>
        </w:tc>
        <w:tc>
          <w:tcPr>
            <w:tcW w:w="5020" w:type="dxa"/>
            <w:vAlign w:val="bottom"/>
            <w:gridSpan w:val="12"/>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11</w:t>
            </w:r>
          </w:p>
        </w:tc>
      </w:tr>
      <w:tr>
        <w:trPr>
          <w:trHeight w:val="150"/>
        </w:trPr>
        <w:tc>
          <w:tcPr>
            <w:tcW w:w="1240" w:type="dxa"/>
            <w:vAlign w:val="bottom"/>
            <w:tcBorders>
              <w:bottom w:val="single" w:sz="8" w:color="0000EE"/>
            </w:tcBorders>
            <w:gridSpan w:val="4"/>
          </w:tcPr>
          <w:p>
            <w:pPr>
              <w:spacing w:after="0" w:line="150" w:lineRule="exact"/>
              <w:rPr>
                <w:sz w:val="20"/>
                <w:szCs w:val="20"/>
                <w:color w:val="auto"/>
              </w:rPr>
            </w:pPr>
            <w:r>
              <w:rPr>
                <w:rFonts w:ascii="Times New Roman" w:cs="Times New Roman" w:eastAsia="Times New Roman" w:hAnsi="Times New Roman"/>
                <w:sz w:val="14"/>
                <w:szCs w:val="14"/>
                <w:color w:val="0000EE"/>
                <w:w w:val="99"/>
              </w:rPr>
              <w:t>DIVIDEND POLICY</w:t>
            </w:r>
          </w:p>
        </w:tc>
        <w:tc>
          <w:tcPr>
            <w:tcW w:w="5040" w:type="dxa"/>
            <w:vAlign w:val="bottom"/>
            <w:gridSpan w:val="13"/>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12</w:t>
            </w:r>
          </w:p>
        </w:tc>
      </w:tr>
      <w:tr>
        <w:trPr>
          <w:trHeight w:val="150"/>
        </w:trPr>
        <w:tc>
          <w:tcPr>
            <w:tcW w:w="6280" w:type="dxa"/>
            <w:vAlign w:val="bottom"/>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GENERAL DESCRIPTION OF SECURITIES</w:t>
            </w: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13</w:t>
            </w:r>
          </w:p>
        </w:tc>
      </w:tr>
      <w:tr>
        <w:trPr>
          <w:trHeight w:val="150"/>
        </w:trPr>
        <w:tc>
          <w:tcPr>
            <w:tcW w:w="2260" w:type="dxa"/>
            <w:vAlign w:val="bottom"/>
            <w:tcBorders>
              <w:top w:val="single" w:sz="8" w:color="0000EE"/>
              <w:bottom w:val="single" w:sz="8" w:color="0000EE"/>
            </w:tcBorders>
            <w:gridSpan w:val="11"/>
          </w:tcPr>
          <w:p>
            <w:pPr>
              <w:spacing w:after="0" w:line="150" w:lineRule="exact"/>
              <w:rPr>
                <w:sz w:val="20"/>
                <w:szCs w:val="20"/>
                <w:color w:val="auto"/>
              </w:rPr>
            </w:pPr>
            <w:r>
              <w:rPr>
                <w:rFonts w:ascii="Times New Roman" w:cs="Times New Roman" w:eastAsia="Times New Roman" w:hAnsi="Times New Roman"/>
                <w:sz w:val="14"/>
                <w:szCs w:val="14"/>
                <w:color w:val="0000EE"/>
                <w:w w:val="99"/>
              </w:rPr>
              <w:t>DESCRIPTION OF CAPITAL STOCK</w:t>
            </w:r>
          </w:p>
        </w:tc>
        <w:tc>
          <w:tcPr>
            <w:tcW w:w="400" w:type="dxa"/>
            <w:vAlign w:val="bottom"/>
            <w:tcBorders>
              <w:top w:val="single" w:sz="8" w:color="0000EE"/>
            </w:tcBorders>
            <w:gridSpan w:val="2"/>
          </w:tcPr>
          <w:p>
            <w:pPr>
              <w:spacing w:after="0"/>
              <w:rPr>
                <w:sz w:val="13"/>
                <w:szCs w:val="13"/>
                <w:color w:val="auto"/>
              </w:rPr>
            </w:pPr>
          </w:p>
        </w:tc>
        <w:tc>
          <w:tcPr>
            <w:tcW w:w="3620" w:type="dxa"/>
            <w:vAlign w:val="bottom"/>
            <w:gridSpan w:val="4"/>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14</w:t>
            </w:r>
          </w:p>
        </w:tc>
      </w:tr>
      <w:tr>
        <w:trPr>
          <w:trHeight w:val="150"/>
        </w:trPr>
        <w:tc>
          <w:tcPr>
            <w:tcW w:w="2380" w:type="dxa"/>
            <w:vAlign w:val="bottom"/>
            <w:tcBorders>
              <w:bottom w:val="single" w:sz="8" w:color="0000EE"/>
            </w:tcBorders>
            <w:gridSpan w:val="12"/>
          </w:tcPr>
          <w:p>
            <w:pPr>
              <w:spacing w:after="0" w:line="150" w:lineRule="exact"/>
              <w:rPr>
                <w:sz w:val="20"/>
                <w:szCs w:val="20"/>
                <w:color w:val="auto"/>
              </w:rPr>
            </w:pPr>
            <w:r>
              <w:rPr>
                <w:rFonts w:ascii="Times New Roman" w:cs="Times New Roman" w:eastAsia="Times New Roman" w:hAnsi="Times New Roman"/>
                <w:sz w:val="14"/>
                <w:szCs w:val="14"/>
                <w:color w:val="0000EE"/>
              </w:rPr>
              <w:t>DESCRIPTION OF DEBT SECURITIES</w:t>
            </w:r>
          </w:p>
        </w:tc>
        <w:tc>
          <w:tcPr>
            <w:tcW w:w="3900" w:type="dxa"/>
            <w:vAlign w:val="bottom"/>
            <w:gridSpan w:val="5"/>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21</w:t>
            </w:r>
          </w:p>
        </w:tc>
      </w:tr>
      <w:tr>
        <w:trPr>
          <w:trHeight w:val="150"/>
        </w:trPr>
        <w:tc>
          <w:tcPr>
            <w:tcW w:w="6280" w:type="dxa"/>
            <w:vAlign w:val="bottom"/>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DESCRIPTION OF WARRANTS</w:t>
            </w: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28</w:t>
            </w:r>
          </w:p>
        </w:tc>
      </w:tr>
      <w:tr>
        <w:trPr>
          <w:trHeight w:val="150"/>
        </w:trPr>
        <w:tc>
          <w:tcPr>
            <w:tcW w:w="1940" w:type="dxa"/>
            <w:vAlign w:val="bottom"/>
            <w:tcBorders>
              <w:top w:val="single" w:sz="8" w:color="0000EE"/>
            </w:tcBorders>
            <w:gridSpan w:val="10"/>
          </w:tcPr>
          <w:p>
            <w:pPr>
              <w:spacing w:after="0" w:line="150" w:lineRule="exact"/>
              <w:rPr>
                <w:sz w:val="20"/>
                <w:szCs w:val="20"/>
                <w:color w:val="auto"/>
              </w:rPr>
            </w:pPr>
            <w:r>
              <w:rPr>
                <w:rFonts w:ascii="Times New Roman" w:cs="Times New Roman" w:eastAsia="Times New Roman" w:hAnsi="Times New Roman"/>
                <w:sz w:val="14"/>
                <w:szCs w:val="14"/>
                <w:color w:val="0000EE"/>
              </w:rPr>
              <w:t>DESCRIPTION OF UNITS</w:t>
            </w:r>
          </w:p>
        </w:tc>
        <w:tc>
          <w:tcPr>
            <w:tcW w:w="4340" w:type="dxa"/>
            <w:vAlign w:val="bottom"/>
            <w:gridSpan w:val="7"/>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29</w:t>
            </w:r>
          </w:p>
        </w:tc>
      </w:tr>
      <w:tr>
        <w:trPr>
          <w:trHeight w:val="20"/>
        </w:trPr>
        <w:tc>
          <w:tcPr>
            <w:tcW w:w="600" w:type="dxa"/>
            <w:vAlign w:val="bottom"/>
            <w:shd w:val="clear" w:color="auto" w:fill="0000EE"/>
          </w:tcPr>
          <w:p>
            <w:pPr>
              <w:spacing w:after="0" w:line="20" w:lineRule="exact"/>
              <w:rPr>
                <w:sz w:val="1"/>
                <w:szCs w:val="1"/>
                <w:color w:val="auto"/>
              </w:rPr>
            </w:pPr>
          </w:p>
        </w:tc>
        <w:tc>
          <w:tcPr>
            <w:tcW w:w="540" w:type="dxa"/>
            <w:vAlign w:val="bottom"/>
            <w:gridSpan w:val="2"/>
            <w:shd w:val="clear" w:color="auto" w:fill="0000EE"/>
          </w:tcPr>
          <w:p>
            <w:pPr>
              <w:spacing w:after="0" w:line="20" w:lineRule="exact"/>
              <w:rPr>
                <w:sz w:val="1"/>
                <w:szCs w:val="1"/>
                <w:color w:val="auto"/>
              </w:rPr>
            </w:pPr>
          </w:p>
        </w:tc>
        <w:tc>
          <w:tcPr>
            <w:tcW w:w="440" w:type="dxa"/>
            <w:vAlign w:val="bottom"/>
            <w:gridSpan w:val="4"/>
            <w:shd w:val="clear" w:color="auto" w:fill="0000E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680" w:type="dxa"/>
            <w:vAlign w:val="bottom"/>
            <w:gridSpan w:val="9"/>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r>
        <w:trPr>
          <w:trHeight w:val="150"/>
        </w:trPr>
        <w:tc>
          <w:tcPr>
            <w:tcW w:w="6280" w:type="dxa"/>
            <w:vAlign w:val="bottom"/>
            <w:gridSpan w:val="17"/>
          </w:tcPr>
          <w:p>
            <w:pPr>
              <w:spacing w:after="0" w:line="150" w:lineRule="exact"/>
              <w:rPr>
                <w:sz w:val="20"/>
                <w:szCs w:val="20"/>
                <w:color w:val="auto"/>
              </w:rPr>
            </w:pPr>
            <w:r>
              <w:rPr>
                <w:rFonts w:ascii="Times New Roman" w:cs="Times New Roman" w:eastAsia="Times New Roman" w:hAnsi="Times New Roman"/>
                <w:sz w:val="14"/>
                <w:szCs w:val="14"/>
                <w:color w:val="0000EE"/>
              </w:rPr>
              <w:t>PLAN OF DISTRIBUTION</w:t>
            </w: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32</w:t>
            </w:r>
          </w:p>
        </w:tc>
      </w:tr>
      <w:tr>
        <w:trPr>
          <w:trHeight w:val="150"/>
        </w:trPr>
        <w:tc>
          <w:tcPr>
            <w:tcW w:w="1600" w:type="dxa"/>
            <w:vAlign w:val="bottom"/>
            <w:tcBorders>
              <w:top w:val="single" w:sz="8" w:color="0000EE"/>
            </w:tcBorders>
            <w:gridSpan w:val="8"/>
          </w:tcPr>
          <w:p>
            <w:pPr>
              <w:spacing w:after="0" w:line="150" w:lineRule="exact"/>
              <w:rPr>
                <w:sz w:val="20"/>
                <w:szCs w:val="20"/>
                <w:color w:val="auto"/>
              </w:rPr>
            </w:pPr>
            <w:r>
              <w:rPr>
                <w:rFonts w:ascii="Times New Roman" w:cs="Times New Roman" w:eastAsia="Times New Roman" w:hAnsi="Times New Roman"/>
                <w:sz w:val="14"/>
                <w:szCs w:val="14"/>
                <w:color w:val="0000EE"/>
              </w:rPr>
              <w:t>LEGAL MATTERS</w:t>
            </w:r>
          </w:p>
        </w:tc>
        <w:tc>
          <w:tcPr>
            <w:tcW w:w="4680" w:type="dxa"/>
            <w:vAlign w:val="bottom"/>
            <w:gridSpan w:val="9"/>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35</w:t>
            </w:r>
          </w:p>
        </w:tc>
      </w:tr>
      <w:tr>
        <w:trPr>
          <w:trHeight w:val="150"/>
        </w:trPr>
        <w:tc>
          <w:tcPr>
            <w:tcW w:w="1140" w:type="dxa"/>
            <w:vAlign w:val="bottom"/>
            <w:tcBorders>
              <w:top w:val="single" w:sz="8" w:color="0000EE"/>
            </w:tcBorders>
            <w:gridSpan w:val="3"/>
          </w:tcPr>
          <w:p>
            <w:pPr>
              <w:spacing w:after="0" w:line="150" w:lineRule="exact"/>
              <w:rPr>
                <w:sz w:val="20"/>
                <w:szCs w:val="20"/>
                <w:color w:val="auto"/>
              </w:rPr>
            </w:pPr>
            <w:r>
              <w:rPr>
                <w:rFonts w:ascii="Times New Roman" w:cs="Times New Roman" w:eastAsia="Times New Roman" w:hAnsi="Times New Roman"/>
                <w:sz w:val="14"/>
                <w:szCs w:val="14"/>
                <w:color w:val="0000EE"/>
              </w:rPr>
              <w:t>EXPERTS</w:t>
            </w:r>
          </w:p>
        </w:tc>
        <w:tc>
          <w:tcPr>
            <w:tcW w:w="5140" w:type="dxa"/>
            <w:vAlign w:val="bottom"/>
            <w:gridSpan w:val="14"/>
          </w:tcPr>
          <w:p>
            <w:pPr>
              <w:spacing w:after="0"/>
              <w:rPr>
                <w:sz w:val="13"/>
                <w:szCs w:val="13"/>
                <w:color w:val="auto"/>
              </w:rPr>
            </w:pPr>
          </w:p>
        </w:tc>
        <w:tc>
          <w:tcPr>
            <w:tcW w:w="2320" w:type="dxa"/>
            <w:vAlign w:val="bottom"/>
          </w:tcPr>
          <w:p>
            <w:pPr>
              <w:jc w:val="right"/>
              <w:spacing w:after="0" w:line="150" w:lineRule="exact"/>
              <w:rPr>
                <w:sz w:val="20"/>
                <w:szCs w:val="20"/>
                <w:color w:val="auto"/>
              </w:rPr>
            </w:pPr>
            <w:r>
              <w:rPr>
                <w:rFonts w:ascii="Times New Roman" w:cs="Times New Roman" w:eastAsia="Times New Roman" w:hAnsi="Times New Roman"/>
                <w:sz w:val="14"/>
                <w:szCs w:val="14"/>
                <w:color w:val="auto"/>
              </w:rPr>
              <w:t>35</w:t>
            </w:r>
          </w:p>
        </w:tc>
      </w:tr>
      <w:tr>
        <w:trPr>
          <w:trHeight w:val="20"/>
        </w:trPr>
        <w:tc>
          <w:tcPr>
            <w:tcW w:w="600" w:type="dxa"/>
            <w:vAlign w:val="bottom"/>
            <w:shd w:val="clear" w:color="auto" w:fill="0000EE"/>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10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r>
    </w:tbl>
    <w:p>
      <w:pPr>
        <w:spacing w:after="0" w:line="174" w:lineRule="exact"/>
        <w:rPr>
          <w:sz w:val="20"/>
          <w:szCs w:val="20"/>
          <w:color w:val="auto"/>
        </w:rPr>
      </w:pPr>
    </w:p>
    <w:p>
      <w:pPr>
        <w:ind w:left="180" w:right="239"/>
        <w:spacing w:after="0" w:line="256" w:lineRule="auto"/>
        <w:rPr>
          <w:sz w:val="20"/>
          <w:szCs w:val="20"/>
          <w:color w:val="auto"/>
        </w:rPr>
      </w:pPr>
      <w:r>
        <w:rPr>
          <w:rFonts w:ascii="Times New Roman" w:cs="Times New Roman" w:eastAsia="Times New Roman" w:hAnsi="Times New Roman"/>
          <w:sz w:val="14"/>
          <w:szCs w:val="14"/>
          <w:b w:val="1"/>
          <w:bCs w:val="1"/>
          <w:color w:val="auto"/>
        </w:rPr>
        <w:t>You should rely only on the information contained or incorporated by reference in this prospectus and in an applicable prospectus supplement to this prospectus. We have not authorized any other person to provide you with different or additional information. If anyone provides you with different, additional or inconsistent information, you should not rely on it. We do not take responsibility for, and can provide no assurance as to the reliability of, any other information that others may give you. We are not making an offer to sell these securities or soliciting any offer to buy these securities in any jurisdiction where the offer or sale is not permitted. You should assume that the information appearing in this prospectus, any applicable prospectus supplement or any free writing prospectus we authorize to be delivered to you is accurate only as of the date of that document or any other date set forth in that document. Additionally, any information we have incorporated by reference in this prospectus or in any applicable prospectus supplement is accurate only as of the date of the document incorporated by reference or other date set forth in that document, regardless of the time of delivery of this prospectus, any applicable prospectus supplement or any sale of securities. Our business, financial condition, results of operations, cash flow and prospects may have changed since that date.</w:t>
      </w:r>
    </w:p>
    <w:p>
      <w:pPr>
        <w:spacing w:after="0" w:line="148" w:lineRule="exact"/>
        <w:rPr>
          <w:sz w:val="20"/>
          <w:szCs w:val="20"/>
          <w:color w:val="auto"/>
        </w:rPr>
      </w:pPr>
    </w:p>
    <w:p>
      <w:pPr>
        <w:ind w:left="180" w:right="219"/>
        <w:spacing w:after="0" w:line="262" w:lineRule="auto"/>
        <w:rPr>
          <w:sz w:val="20"/>
          <w:szCs w:val="20"/>
          <w:color w:val="auto"/>
        </w:rPr>
      </w:pPr>
      <w:r>
        <w:rPr>
          <w:rFonts w:ascii="Times New Roman" w:cs="Times New Roman" w:eastAsia="Times New Roman" w:hAnsi="Times New Roman"/>
          <w:sz w:val="14"/>
          <w:szCs w:val="14"/>
          <w:b w:val="1"/>
          <w:bCs w:val="1"/>
          <w:color w:val="auto"/>
        </w:rPr>
        <w:t>On December 29, 2022, we acquired Disc Medicine Opco, Inc. (formerly Disc Medicine, Inc.), or Private Disc, pursuant to an agreement and plan of merger, or the Merger, and we changed our name to Disc Medicine, Inc. on December 29, 2022. As used in this prospectus, unless the context otherwise requires, references to “Disc,” the “Company,” “we,” “us” and “our” refer to (i) prior to the date of the Merger, Private Disc, and its wholly owned, consolidated subsidiaries, or either or all of them as the context may require, and (ii) following the date of the Merger, Disc Medicine, Inc., and its wholly owned, consolidated subsidiaries, or either or all of them as the context may require.</w:t>
      </w:r>
    </w:p>
    <w:p>
      <w:pPr>
        <w:sectPr>
          <w:pgSz w:w="11900" w:h="16838" w:orient="portrait"/>
          <w:cols w:equalWidth="0" w:num="1">
            <w:col w:w="9019"/>
          </w:cols>
          <w:pgMar w:left="1440" w:top="241" w:right="1440" w:bottom="1440" w:gutter="0" w:footer="0" w:header="0"/>
        </w:sectPr>
      </w:pPr>
    </w:p>
    <w:bookmarkStart w:id="28" w:name="page29"/>
    <w:bookmarkEnd w:id="2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ABOUT THIS PROSPECTUS</w:t>
      </w:r>
    </w:p>
    <w:p>
      <w:pPr>
        <w:spacing w:after="0" w:line="180" w:lineRule="exact"/>
        <w:rPr>
          <w:sz w:val="20"/>
          <w:szCs w:val="20"/>
          <w:color w:val="auto"/>
        </w:rPr>
      </w:pPr>
    </w:p>
    <w:p>
      <w:pPr>
        <w:ind w:left="180" w:right="219"/>
        <w:spacing w:after="0" w:line="286" w:lineRule="auto"/>
        <w:rPr>
          <w:sz w:val="20"/>
          <w:szCs w:val="20"/>
          <w:color w:val="auto"/>
        </w:rPr>
      </w:pPr>
      <w:r>
        <w:rPr>
          <w:rFonts w:ascii="Times New Roman" w:cs="Times New Roman" w:eastAsia="Times New Roman" w:hAnsi="Times New Roman"/>
          <w:sz w:val="14"/>
          <w:szCs w:val="14"/>
          <w:color w:val="auto"/>
        </w:rPr>
        <w:t>This prospectus is part of an automatic shelf registration statement on Form S-3 that we have filed with the Securities and Exchange Commission, or the SEC, as a “well-known seasoned issuer” as defined in Rule 405 of the Securities Act of 1933, as amended, or the Securities Act.</w:t>
      </w:r>
    </w:p>
    <w:p>
      <w:pPr>
        <w:spacing w:after="0" w:line="125" w:lineRule="exact"/>
        <w:rPr>
          <w:sz w:val="20"/>
          <w:szCs w:val="20"/>
          <w:color w:val="auto"/>
        </w:rPr>
      </w:pPr>
    </w:p>
    <w:p>
      <w:pPr>
        <w:ind w:left="180" w:right="319"/>
        <w:spacing w:after="0" w:line="257" w:lineRule="auto"/>
        <w:rPr>
          <w:sz w:val="20"/>
          <w:szCs w:val="20"/>
          <w:color w:val="auto"/>
        </w:rPr>
      </w:pPr>
      <w:r>
        <w:rPr>
          <w:rFonts w:ascii="Times New Roman" w:cs="Times New Roman" w:eastAsia="Times New Roman" w:hAnsi="Times New Roman"/>
          <w:sz w:val="14"/>
          <w:szCs w:val="14"/>
          <w:color w:val="auto"/>
        </w:rPr>
        <w:t>Under this process, we may sell the securities described in this prospectus in one or more offerings. This prospectus describes the general manner in which we may offer the securities described in this prospectus. Each time we sell securities pursuant to this registration statement, we will provide a prospectus supplement that will contain specific information about the offering and the securities offered, and may also add, update or change information contained in this prospectus. We may also authorize one or more free writing prospectuses to be provided to you that may contain material information relating to these offerings. If there is any inconsistency between information in this prospectus and any accompanying prospectus supplement or free writing prospectus, you should rely on the information in the most recent applicable prospectus supplement or free writing prospectus and documents incorporated by reference herein and therein. This prospectus may not be used to offer to sell, solicit an offer to buy or consummate a sale of our securities unless it is accompanied by a prospectus supplement.</w:t>
      </w:r>
    </w:p>
    <w:p>
      <w:pPr>
        <w:spacing w:after="0" w:line="147" w:lineRule="exact"/>
        <w:rPr>
          <w:sz w:val="20"/>
          <w:szCs w:val="20"/>
          <w:color w:val="auto"/>
        </w:rPr>
      </w:pPr>
    </w:p>
    <w:p>
      <w:pPr>
        <w:ind w:left="180" w:right="239"/>
        <w:spacing w:after="0" w:line="259" w:lineRule="auto"/>
        <w:rPr>
          <w:sz w:val="20"/>
          <w:szCs w:val="20"/>
          <w:color w:val="auto"/>
        </w:rPr>
      </w:pPr>
      <w:r>
        <w:rPr>
          <w:rFonts w:ascii="Times New Roman" w:cs="Times New Roman" w:eastAsia="Times New Roman" w:hAnsi="Times New Roman"/>
          <w:sz w:val="14"/>
          <w:szCs w:val="14"/>
          <w:color w:val="auto"/>
        </w:rPr>
        <w:t>This prospectus, together with any accompanying prospectus supplement together with any additional information incorporated by reference, contains important information you should know before investing in our securities, including important information about us and the securities being offered. You should carefully read both documents, as well as the additional information contained in the documents described under “</w:t>
      </w:r>
      <w:r>
        <w:rPr>
          <w:rFonts w:ascii="Times New Roman" w:cs="Times New Roman" w:eastAsia="Times New Roman" w:hAnsi="Times New Roman"/>
          <w:sz w:val="14"/>
          <w:szCs w:val="14"/>
          <w:i w:val="1"/>
          <w:iCs w:val="1"/>
          <w:color w:val="auto"/>
        </w:rPr>
        <w:t>Where You Can Find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 xml:space="preserve">More Information” </w:t>
      </w:r>
      <w:r>
        <w:rPr>
          <w:rFonts w:ascii="Times New Roman" w:cs="Times New Roman" w:eastAsia="Times New Roman" w:hAnsi="Times New Roman"/>
          <w:sz w:val="14"/>
          <w:szCs w:val="14"/>
          <w:color w:val="auto"/>
        </w:rPr>
        <w:t>and “</w:t>
      </w:r>
      <w:r>
        <w:rPr>
          <w:rFonts w:ascii="Times New Roman" w:cs="Times New Roman" w:eastAsia="Times New Roman" w:hAnsi="Times New Roman"/>
          <w:sz w:val="14"/>
          <w:szCs w:val="14"/>
          <w:i w:val="1"/>
          <w:iCs w:val="1"/>
          <w:color w:val="auto"/>
        </w:rPr>
        <w:t>Incorporation of Certain Information by Reference</w:t>
      </w:r>
      <w:r>
        <w:rPr>
          <w:rFonts w:ascii="Times New Roman" w:cs="Times New Roman" w:eastAsia="Times New Roman" w:hAnsi="Times New Roman"/>
          <w:sz w:val="14"/>
          <w:szCs w:val="14"/>
          <w:color w:val="auto"/>
        </w:rPr>
        <w:t>” in both this prospectus and the applicable prospectus supplement, and in</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particular the annual, quarterly and current reports and other documents we file with the SEC. Neither this prospectus nor any accompanying prospectus supplement is an offer to sell these securities or is soliciting an offer to buy these securities in any jurisdiction where the offer or sale is not permitted.</w:t>
      </w:r>
    </w:p>
    <w:p>
      <w:pPr>
        <w:spacing w:after="0" w:line="31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WHERE YOU CAN FIND MORE INFORMATION</w:t>
      </w:r>
    </w:p>
    <w:p>
      <w:pPr>
        <w:spacing w:after="0" w:line="180" w:lineRule="exact"/>
        <w:rPr>
          <w:sz w:val="20"/>
          <w:szCs w:val="20"/>
          <w:color w:val="auto"/>
        </w:rPr>
      </w:pPr>
    </w:p>
    <w:p>
      <w:pPr>
        <w:ind w:left="180" w:right="199"/>
        <w:spacing w:after="0" w:line="257" w:lineRule="auto"/>
        <w:rPr>
          <w:sz w:val="20"/>
          <w:szCs w:val="20"/>
          <w:color w:val="auto"/>
        </w:rPr>
      </w:pPr>
      <w:r>
        <w:rPr>
          <w:rFonts w:ascii="Times New Roman" w:cs="Times New Roman" w:eastAsia="Times New Roman" w:hAnsi="Times New Roman"/>
          <w:sz w:val="14"/>
          <w:szCs w:val="14"/>
          <w:color w:val="auto"/>
        </w:rPr>
        <w:t>We have filed with the SEC a registration statement on Form S-3 under the Securities Act of 1933, as amended, or the Securities Act, with respect to the securities offered by this prospectus and any applicable prospectus supplement. This prospectus and the applicable prospectus supplement do not contain all of the information set forth in the registration statement and its exhibits and schedules in accordance with SEC rules and regulations. For further information with respect to us and the securities being offered by this prospectus and the applicable prospectus supplement, you should read the registration statement, including its exhibits and schedules. Statements contained in this prospectus and the applicable prospectus supplement, including documents that we have incorporated by reference, as to the contents of any contract or other document referred to are not necessarily complete, and, with respect to any contract or other document filed as an exhibit to the registration statement or any other such document, each such statement is qualified in all respects by reference to the corresponding exhibit. You should review the complete contract or other document to evaluate these statements. You may obtain copies of the registration statement and its exhibits via the SEC’s EDGAR database or our website.</w:t>
      </w:r>
    </w:p>
    <w:p>
      <w:pPr>
        <w:spacing w:after="0" w:line="145" w:lineRule="exact"/>
        <w:rPr>
          <w:sz w:val="20"/>
          <w:szCs w:val="20"/>
          <w:color w:val="auto"/>
        </w:rPr>
      </w:pPr>
    </w:p>
    <w:p>
      <w:pPr>
        <w:jc w:val="both"/>
        <w:ind w:left="180" w:right="359"/>
        <w:spacing w:after="0" w:line="269" w:lineRule="auto"/>
        <w:rPr>
          <w:sz w:val="20"/>
          <w:szCs w:val="20"/>
          <w:color w:val="auto"/>
        </w:rPr>
      </w:pPr>
      <w:r>
        <w:rPr>
          <w:rFonts w:ascii="Times New Roman" w:cs="Times New Roman" w:eastAsia="Times New Roman" w:hAnsi="Times New Roman"/>
          <w:sz w:val="14"/>
          <w:szCs w:val="14"/>
          <w:color w:val="auto"/>
        </w:rPr>
        <w:t xml:space="preserve">We file annual, quarterly and current reports, proxy statements and other documents with the SEC under the U.S. Securities Exchange Act of 1934, as amended, or the Exchange Act. The SEC maintains a website that contains reports, proxy and information statements and other information regarding issuers, including us, that file electronically with the SEC. You may obtain documents that we file with the SEC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35" w:lineRule="exact"/>
        <w:rPr>
          <w:sz w:val="20"/>
          <w:szCs w:val="20"/>
          <w:color w:val="auto"/>
        </w:rPr>
      </w:pPr>
    </w:p>
    <w:p>
      <w:pPr>
        <w:ind w:left="180" w:right="379"/>
        <w:spacing w:after="0" w:line="271" w:lineRule="auto"/>
        <w:rPr>
          <w:sz w:val="20"/>
          <w:szCs w:val="20"/>
          <w:color w:val="auto"/>
        </w:rPr>
      </w:pPr>
      <w:r>
        <w:rPr>
          <w:rFonts w:ascii="Times New Roman" w:cs="Times New Roman" w:eastAsia="Times New Roman" w:hAnsi="Times New Roman"/>
          <w:sz w:val="14"/>
          <w:szCs w:val="14"/>
          <w:color w:val="auto"/>
        </w:rPr>
        <w:t xml:space="preserve">We also make these documents available on our website at </w:t>
      </w:r>
      <w:r>
        <w:rPr>
          <w:rFonts w:ascii="Times New Roman" w:cs="Times New Roman" w:eastAsia="Times New Roman" w:hAnsi="Times New Roman"/>
          <w:sz w:val="14"/>
          <w:szCs w:val="14"/>
          <w:i w:val="1"/>
          <w:iCs w:val="1"/>
          <w:color w:val="auto"/>
        </w:rPr>
        <w:t>www.discmedicine.com</w:t>
      </w:r>
      <w:r>
        <w:rPr>
          <w:rFonts w:ascii="Times New Roman" w:cs="Times New Roman" w:eastAsia="Times New Roman" w:hAnsi="Times New Roman"/>
          <w:sz w:val="14"/>
          <w:szCs w:val="14"/>
          <w:color w:val="auto"/>
        </w:rPr>
        <w:t>. Our website and the information contained or connected to our website is not incorporated by reference in this prospectus or any prospectus supplement, and you should not consider it part of this prospectus or any prospectus supplement.</w:t>
      </w:r>
    </w:p>
    <w:p>
      <w:pPr>
        <w:spacing w:after="0" w:line="8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w:t>
      </w:r>
    </w:p>
    <w:p>
      <w:pPr>
        <w:sectPr>
          <w:pgSz w:w="11900" w:h="16838" w:orient="portrait"/>
          <w:cols w:equalWidth="0" w:num="1">
            <w:col w:w="9019"/>
          </w:cols>
          <w:pgMar w:left="1440" w:top="239" w:right="1440" w:bottom="1440" w:gutter="0" w:footer="0" w:header="0"/>
        </w:sectPr>
      </w:pPr>
    </w:p>
    <w:bookmarkStart w:id="29" w:name="page30"/>
    <w:bookmarkEnd w:id="2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INCORPORATION OF CERTAIN INFORMATION BY REFERENCE</w:t>
      </w:r>
    </w:p>
    <w:p>
      <w:pPr>
        <w:spacing w:after="0" w:line="180" w:lineRule="exact"/>
        <w:rPr>
          <w:sz w:val="20"/>
          <w:szCs w:val="20"/>
          <w:color w:val="auto"/>
        </w:rPr>
      </w:pPr>
    </w:p>
    <w:p>
      <w:pPr>
        <w:ind w:left="180" w:right="259"/>
        <w:spacing w:after="0" w:line="258" w:lineRule="auto"/>
        <w:rPr>
          <w:sz w:val="20"/>
          <w:szCs w:val="20"/>
          <w:color w:val="auto"/>
        </w:rPr>
      </w:pPr>
      <w:r>
        <w:rPr>
          <w:rFonts w:ascii="Times New Roman" w:cs="Times New Roman" w:eastAsia="Times New Roman" w:hAnsi="Times New Roman"/>
          <w:sz w:val="14"/>
          <w:szCs w:val="14"/>
          <w:color w:val="auto"/>
        </w:rPr>
        <w:t>SEC rules permit us to incorporate information by reference in this prospectus and any applicable prospectus supplement. This means that we can disclose important information to you by referring you to another document filed separately with the SEC. The information incorporated by reference is considered to be part of this prospectus and any applicable prospectus supplement, except for information superseded by information contained in this prospectus or the applicable prospectus supplement itself or in any subsequently filed incorporated document. This prospectus and any applicable prospectus supplement incorporate by reference the documents set forth below that we have previously filed with the SEC, other than information in such documents that is deemed to be furnished and not filed. These documents contain important information about us and our business and financial condition.</w:t>
      </w:r>
    </w:p>
    <w:p>
      <w:pPr>
        <w:spacing w:after="0" w:line="71" w:lineRule="exact"/>
        <w:rPr>
          <w:sz w:val="20"/>
          <w:szCs w:val="20"/>
          <w:color w:val="auto"/>
        </w:rPr>
      </w:pPr>
    </w:p>
    <w:p>
      <w:pPr>
        <w:ind w:left="520" w:hanging="256"/>
        <w:spacing w:after="0"/>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Annual Report on Form 10-K for the fiscal year ended December 31, 2023, filed with the SEC on </w:t>
      </w:r>
      <w:hyperlink r:id="rId57">
        <w:r>
          <w:rPr>
            <w:rFonts w:ascii="Times New Roman" w:cs="Times New Roman" w:eastAsia="Times New Roman" w:hAnsi="Times New Roman"/>
            <w:sz w:val="14"/>
            <w:szCs w:val="14"/>
            <w:u w:val="single" w:color="auto"/>
            <w:color w:val="0000EE"/>
          </w:rPr>
          <w:t>March 21, 2024</w:t>
        </w:r>
      </w:hyperlink>
      <w:r>
        <w:rPr>
          <w:rFonts w:ascii="Times New Roman" w:cs="Times New Roman" w:eastAsia="Times New Roman" w:hAnsi="Times New Roman"/>
          <w:sz w:val="14"/>
          <w:szCs w:val="14"/>
          <w:color w:val="auto"/>
        </w:rPr>
        <w:t>;</w:t>
      </w:r>
    </w:p>
    <w:p>
      <w:pPr>
        <w:spacing w:after="0" w:line="104" w:lineRule="exact"/>
        <w:rPr>
          <w:rFonts w:ascii="Times New Roman" w:cs="Times New Roman" w:eastAsia="Times New Roman" w:hAnsi="Times New Roman"/>
          <w:sz w:val="14"/>
          <w:szCs w:val="14"/>
          <w:color w:val="auto"/>
        </w:rPr>
      </w:pPr>
    </w:p>
    <w:p>
      <w:pPr>
        <w:ind w:left="520" w:right="459" w:hanging="256"/>
        <w:spacing w:after="0" w:line="286" w:lineRule="auto"/>
        <w:tabs>
          <w:tab w:leader="none" w:pos="520" w:val="left"/>
        </w:tabs>
        <w:numPr>
          <w:ilvl w:val="0"/>
          <w:numId w:val="9"/>
        </w:numPr>
        <w:rPr>
          <w:rFonts w:ascii="Times New Roman" w:cs="Times New Roman" w:eastAsia="Times New Roman" w:hAnsi="Times New Roman"/>
          <w:sz w:val="14"/>
          <w:szCs w:val="14"/>
          <w:color w:val="0000EE"/>
        </w:rPr>
      </w:pPr>
      <w:hyperlink r:id="rId58">
        <w:r>
          <w:rPr>
            <w:rFonts w:ascii="Times New Roman" w:cs="Times New Roman" w:eastAsia="Times New Roman" w:hAnsi="Times New Roman"/>
            <w:sz w:val="14"/>
            <w:szCs w:val="14"/>
            <w:color w:val="auto"/>
          </w:rPr>
          <w:t xml:space="preserve">Quarterly Reports on Form 10-Q for the quarters ended March 31, 2024 and June 30, 2024, filed with the SEC on </w:t>
        </w:r>
        <w:r>
          <w:rPr>
            <w:rFonts w:ascii="Times New Roman" w:cs="Times New Roman" w:eastAsia="Times New Roman" w:hAnsi="Times New Roman"/>
            <w:sz w:val="14"/>
            <w:szCs w:val="14"/>
            <w:u w:val="single" w:color="auto"/>
            <w:color w:val="0000EE"/>
          </w:rPr>
          <w:t>May 9, 2024</w:t>
        </w:r>
        <w:r>
          <w:rPr>
            <w:rFonts w:ascii="Times New Roman" w:cs="Times New Roman" w:eastAsia="Times New Roman" w:hAnsi="Times New Roman"/>
            <w:sz w:val="14"/>
            <w:szCs w:val="14"/>
            <w:color w:val="auto"/>
          </w:rPr>
          <w:t xml:space="preserve"> and </w:t>
        </w:r>
        <w:r>
          <w:rPr>
            <w:rFonts w:ascii="Times New Roman" w:cs="Times New Roman" w:eastAsia="Times New Roman" w:hAnsi="Times New Roman"/>
            <w:sz w:val="14"/>
            <w:szCs w:val="14"/>
            <w:u w:val="single" w:color="auto"/>
            <w:color w:val="0000EE"/>
          </w:rPr>
          <w:t>August 8,</w:t>
        </w:r>
      </w:hyperlink>
      <w:r>
        <w:rPr>
          <w:rFonts w:ascii="Times New Roman" w:cs="Times New Roman" w:eastAsia="Times New Roman" w:hAnsi="Times New Roman"/>
          <w:sz w:val="14"/>
          <w:szCs w:val="14"/>
          <w:color w:val="auto"/>
        </w:rPr>
        <w:t xml:space="preserve"> </w:t>
      </w:r>
      <w:hyperlink r:id="rId58">
        <w:r>
          <w:rPr>
            <w:rFonts w:ascii="Times New Roman" w:cs="Times New Roman" w:eastAsia="Times New Roman" w:hAnsi="Times New Roman"/>
            <w:sz w:val="14"/>
            <w:szCs w:val="14"/>
            <w:u w:val="single" w:color="auto"/>
            <w:color w:val="0000EE"/>
          </w:rPr>
          <w:t>2024</w:t>
        </w:r>
        <w:r>
          <w:rPr>
            <w:rFonts w:ascii="Times New Roman" w:cs="Times New Roman" w:eastAsia="Times New Roman" w:hAnsi="Times New Roman"/>
            <w:sz w:val="14"/>
            <w:szCs w:val="14"/>
            <w:color w:val="000000"/>
          </w:rPr>
          <w:t>, respectively;</w:t>
        </w:r>
      </w:hyperlink>
    </w:p>
    <w:p>
      <w:pPr>
        <w:spacing w:after="0" w:line="50" w:lineRule="exact"/>
        <w:rPr>
          <w:rFonts w:ascii="Times New Roman" w:cs="Times New Roman" w:eastAsia="Times New Roman" w:hAnsi="Times New Roman"/>
          <w:sz w:val="14"/>
          <w:szCs w:val="14"/>
          <w:color w:val="0000EE"/>
        </w:rPr>
      </w:pPr>
    </w:p>
    <w:p>
      <w:pPr>
        <w:ind w:left="520" w:right="519" w:hanging="256"/>
        <w:spacing w:after="0" w:line="286"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Current Reports on Form 8-K filed with the SEC on </w:t>
      </w:r>
      <w:hyperlink r:id="rId59">
        <w:r>
          <w:rPr>
            <w:rFonts w:ascii="Times New Roman" w:cs="Times New Roman" w:eastAsia="Times New Roman" w:hAnsi="Times New Roman"/>
            <w:sz w:val="14"/>
            <w:szCs w:val="14"/>
            <w:u w:val="single" w:color="auto"/>
            <w:color w:val="0000EE"/>
          </w:rPr>
          <w:t>February 7, 2024</w:t>
        </w:r>
      </w:hyperlink>
      <w:r>
        <w:rPr>
          <w:rFonts w:ascii="Times New Roman" w:cs="Times New Roman" w:eastAsia="Times New Roman" w:hAnsi="Times New Roman"/>
          <w:sz w:val="14"/>
          <w:szCs w:val="14"/>
          <w:color w:val="auto"/>
        </w:rPr>
        <w:t xml:space="preserve">, </w:t>
      </w:r>
      <w:hyperlink r:id="rId60">
        <w:r>
          <w:rPr>
            <w:rFonts w:ascii="Times New Roman" w:cs="Times New Roman" w:eastAsia="Times New Roman" w:hAnsi="Times New Roman"/>
            <w:sz w:val="14"/>
            <w:szCs w:val="14"/>
            <w:u w:val="single" w:color="auto"/>
            <w:color w:val="0000EE"/>
          </w:rPr>
          <w:t>April 2, 2024</w:t>
        </w:r>
      </w:hyperlink>
      <w:r>
        <w:rPr>
          <w:rFonts w:ascii="Times New Roman" w:cs="Times New Roman" w:eastAsia="Times New Roman" w:hAnsi="Times New Roman"/>
          <w:sz w:val="14"/>
          <w:szCs w:val="14"/>
          <w:color w:val="auto"/>
        </w:rPr>
        <w:t xml:space="preserve">, </w:t>
      </w:r>
      <w:hyperlink r:id="rId61">
        <w:r>
          <w:rPr>
            <w:rFonts w:ascii="Times New Roman" w:cs="Times New Roman" w:eastAsia="Times New Roman" w:hAnsi="Times New Roman"/>
            <w:sz w:val="14"/>
            <w:szCs w:val="14"/>
            <w:u w:val="single" w:color="auto"/>
            <w:color w:val="0000EE"/>
          </w:rPr>
          <w:t>June 14, 2024</w:t>
        </w:r>
      </w:hyperlink>
      <w:r>
        <w:rPr>
          <w:rFonts w:ascii="Times New Roman" w:cs="Times New Roman" w:eastAsia="Times New Roman" w:hAnsi="Times New Roman"/>
          <w:sz w:val="14"/>
          <w:szCs w:val="14"/>
          <w:color w:val="auto"/>
        </w:rPr>
        <w:t xml:space="preserve">, </w:t>
      </w:r>
      <w:hyperlink r:id="rId62">
        <w:r>
          <w:rPr>
            <w:rFonts w:ascii="Times New Roman" w:cs="Times New Roman" w:eastAsia="Times New Roman" w:hAnsi="Times New Roman"/>
            <w:sz w:val="14"/>
            <w:szCs w:val="14"/>
            <w:u w:val="single" w:color="auto"/>
            <w:color w:val="0000EE"/>
          </w:rPr>
          <w:t>June 14, 2024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(in each case, excluding information furnished pursuant to Item 7.01) and </w:t>
      </w:r>
      <w:hyperlink r:id="rId63">
        <w:r>
          <w:rPr>
            <w:rFonts w:ascii="Times New Roman" w:cs="Times New Roman" w:eastAsia="Times New Roman" w:hAnsi="Times New Roman"/>
            <w:sz w:val="14"/>
            <w:szCs w:val="14"/>
            <w:u w:val="single" w:color="auto"/>
            <w:color w:val="0000EE"/>
          </w:rPr>
          <w:t>June 14, 2024</w:t>
        </w:r>
      </w:hyperlink>
      <w:r>
        <w:rPr>
          <w:rFonts w:ascii="Times New Roman" w:cs="Times New Roman" w:eastAsia="Times New Roman" w:hAnsi="Times New Roman"/>
          <w:sz w:val="14"/>
          <w:szCs w:val="14"/>
          <w:color w:val="auto"/>
        </w:rPr>
        <w:t>; and</w:t>
      </w:r>
    </w:p>
    <w:p>
      <w:pPr>
        <w:spacing w:after="0" w:line="50" w:lineRule="exact"/>
        <w:rPr>
          <w:rFonts w:ascii="Times New Roman" w:cs="Times New Roman" w:eastAsia="Times New Roman" w:hAnsi="Times New Roman"/>
          <w:sz w:val="14"/>
          <w:szCs w:val="14"/>
          <w:color w:val="auto"/>
        </w:rPr>
      </w:pPr>
    </w:p>
    <w:p>
      <w:pPr>
        <w:ind w:left="520" w:right="299" w:hanging="256"/>
        <w:spacing w:after="0" w:line="261" w:lineRule="auto"/>
        <w:tabs>
          <w:tab w:leader="none" w:pos="520" w:val="left"/>
        </w:tabs>
        <w:numPr>
          <w:ilvl w:val="0"/>
          <w:numId w:val="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 xml:space="preserve">The description of our common stock contained in our Registration Statement on Form 8-A filed with the SEC on </w:t>
      </w:r>
      <w:hyperlink r:id="rId45">
        <w:r>
          <w:rPr>
            <w:rFonts w:ascii="Times New Roman" w:cs="Times New Roman" w:eastAsia="Times New Roman" w:hAnsi="Times New Roman"/>
            <w:sz w:val="14"/>
            <w:szCs w:val="14"/>
            <w:u w:val="single" w:color="auto"/>
            <w:color w:val="0000EE"/>
          </w:rPr>
          <w:t>August 10, 2020</w:t>
        </w:r>
      </w:hyperlink>
      <w:r>
        <w:rPr>
          <w:rFonts w:ascii="Times New Roman" w:cs="Times New Roman" w:eastAsia="Times New Roman" w:hAnsi="Times New Roman"/>
          <w:sz w:val="14"/>
          <w:szCs w:val="14"/>
          <w:color w:val="auto"/>
        </w:rPr>
        <w:t xml:space="preserve">, and as set forth by the description of the Registrant’s common stock set forth in </w:t>
      </w:r>
      <w:hyperlink r:id="rId46">
        <w:r>
          <w:rPr>
            <w:rFonts w:ascii="Times New Roman" w:cs="Times New Roman" w:eastAsia="Times New Roman" w:hAnsi="Times New Roman"/>
            <w:sz w:val="14"/>
            <w:szCs w:val="14"/>
            <w:u w:val="single" w:color="auto"/>
            <w:color w:val="0000EE"/>
          </w:rPr>
          <w:t>Exhibit 4.4</w:t>
        </w:r>
        <w:r>
          <w:rPr>
            <w:rFonts w:ascii="Times New Roman" w:cs="Times New Roman" w:eastAsia="Times New Roman" w:hAnsi="Times New Roman"/>
            <w:sz w:val="14"/>
            <w:szCs w:val="14"/>
            <w:u w:val="single" w:color="auto"/>
            <w:color w:val="auto"/>
          </w:rPr>
          <w:t xml:space="preserve"> </w:t>
        </w:r>
      </w:hyperlink>
      <w:r>
        <w:rPr>
          <w:rFonts w:ascii="Times New Roman" w:cs="Times New Roman" w:eastAsia="Times New Roman" w:hAnsi="Times New Roman"/>
          <w:sz w:val="14"/>
          <w:szCs w:val="14"/>
          <w:color w:val="auto"/>
        </w:rPr>
        <w:t xml:space="preserve">to the Registrant’s Annual Report on Form 10-K for the year ended December 31, 2021, filed with the SEC on </w:t>
      </w:r>
      <w:hyperlink r:id="rId64">
        <w:r>
          <w:rPr>
            <w:rFonts w:ascii="Times New Roman" w:cs="Times New Roman" w:eastAsia="Times New Roman" w:hAnsi="Times New Roman"/>
            <w:sz w:val="14"/>
            <w:szCs w:val="14"/>
            <w:u w:val="single" w:color="auto"/>
            <w:color w:val="0000EE"/>
          </w:rPr>
          <w:t>March 10, 2022</w:t>
        </w:r>
      </w:hyperlink>
      <w:r>
        <w:rPr>
          <w:rFonts w:ascii="Times New Roman" w:cs="Times New Roman" w:eastAsia="Times New Roman" w:hAnsi="Times New Roman"/>
          <w:sz w:val="14"/>
          <w:szCs w:val="14"/>
          <w:color w:val="auto"/>
        </w:rPr>
        <w:t xml:space="preserve">, and as further supplemented by the description of the Registrant’s common stock set forth in the Registrant’s Registration Statement on Form S-4/A, filed with the SEC on </w:t>
      </w:r>
      <w:hyperlink r:id="rId47">
        <w:r>
          <w:rPr>
            <w:rFonts w:ascii="Times New Roman" w:cs="Times New Roman" w:eastAsia="Times New Roman" w:hAnsi="Times New Roman"/>
            <w:sz w:val="14"/>
            <w:szCs w:val="14"/>
            <w:u w:val="single" w:color="auto"/>
            <w:color w:val="0000EE"/>
          </w:rPr>
          <w:t>December 1, 2022</w:t>
        </w:r>
      </w:hyperlink>
      <w:r>
        <w:rPr>
          <w:rFonts w:ascii="Times New Roman" w:cs="Times New Roman" w:eastAsia="Times New Roman" w:hAnsi="Times New Roman"/>
          <w:sz w:val="14"/>
          <w:szCs w:val="14"/>
          <w:color w:val="auto"/>
        </w:rPr>
        <w:t>, including any amendments or reports filed for the purpose of updating such description.</w:t>
      </w:r>
    </w:p>
    <w:p>
      <w:pPr>
        <w:spacing w:after="0" w:line="142" w:lineRule="exact"/>
        <w:rPr>
          <w:rFonts w:ascii="Times New Roman" w:cs="Times New Roman" w:eastAsia="Times New Roman" w:hAnsi="Times New Roman"/>
          <w:sz w:val="14"/>
          <w:szCs w:val="14"/>
          <w:color w:val="auto"/>
        </w:rPr>
      </w:pPr>
    </w:p>
    <w:p>
      <w:pPr>
        <w:ind w:left="180" w:right="259"/>
        <w:spacing w:after="0" w:line="258" w:lineRule="auto"/>
        <w:rPr>
          <w:sz w:val="20"/>
          <w:szCs w:val="20"/>
          <w:color w:val="auto"/>
        </w:rPr>
      </w:pPr>
      <w:r>
        <w:rPr>
          <w:rFonts w:ascii="Times New Roman" w:cs="Times New Roman" w:eastAsia="Times New Roman" w:hAnsi="Times New Roman"/>
          <w:sz w:val="14"/>
          <w:szCs w:val="14"/>
          <w:color w:val="auto"/>
        </w:rPr>
        <w:t>All documents that we file (but not those that we furnish) pursuant to Section 13(a), 13(c), 14 or 15(d) of the Exchange Act, after the date of the initial registration statement of which this prospectus is a part and prior to the effectiveness of the registration statement shall be deemed to be incorporated by reference into this prospectus and will automatically update and supersede the information in this prospectus, and any previously filed documents. All documents that we file (but not those that we furnish) pursuant to Section 13(a), 13(c), 14 or 15(d) of the Exchange Act on or after the date of this prospectus and prior to the termination of the offering of any of the securities covered under this prospectus shall be deemed to be incorporated by reference into this prospectus and will automatically update and supersede the information in this prospectus, the applicable prospectus supplement and any previously filed documents.</w:t>
      </w:r>
    </w:p>
    <w:p>
      <w:pPr>
        <w:spacing w:after="0" w:line="145" w:lineRule="exact"/>
        <w:rPr>
          <w:rFonts w:ascii="Times New Roman" w:cs="Times New Roman" w:eastAsia="Times New Roman" w:hAnsi="Times New Roman"/>
          <w:sz w:val="14"/>
          <w:szCs w:val="14"/>
          <w:color w:val="auto"/>
        </w:rPr>
      </w:pPr>
    </w:p>
    <w:p>
      <w:pPr>
        <w:ind w:left="180" w:right="219"/>
        <w:spacing w:after="0" w:line="259" w:lineRule="auto"/>
        <w:rPr>
          <w:sz w:val="20"/>
          <w:szCs w:val="20"/>
          <w:color w:val="auto"/>
        </w:rPr>
      </w:pPr>
      <w:r>
        <w:rPr>
          <w:rFonts w:ascii="Times New Roman" w:cs="Times New Roman" w:eastAsia="Times New Roman" w:hAnsi="Times New Roman"/>
          <w:sz w:val="14"/>
          <w:szCs w:val="14"/>
          <w:color w:val="auto"/>
        </w:rPr>
        <w:t>Any statement contained herein or in a document incorporated or deemed to be incorporated by reference in this prospectus or the applicable prospectus supplement shall be deemed to be modified or superseded for purposes of this prospectus and such applicable prospectus supplement to the extent that a statement contained in this prospectus or such applicable prospectus supplement, or in any other subsequently filed document which also is or is deemed to be incorporated by reference in this prospectus and such applicable prospectus supplement, modifies or supersedes such earlier statement. Any statement so modified or superseded shall not be deemed, except as so modified or superseded, to constitute a part of this prospectus or such applicable prospectus supplement.</w:t>
      </w:r>
    </w:p>
    <w:p>
      <w:pPr>
        <w:spacing w:after="0" w:line="145" w:lineRule="exact"/>
        <w:rPr>
          <w:rFonts w:ascii="Times New Roman" w:cs="Times New Roman" w:eastAsia="Times New Roman" w:hAnsi="Times New Roman"/>
          <w:sz w:val="14"/>
          <w:szCs w:val="14"/>
          <w:color w:val="auto"/>
        </w:rPr>
      </w:pPr>
    </w:p>
    <w:p>
      <w:pPr>
        <w:ind w:left="180" w:right="439"/>
        <w:spacing w:after="0" w:line="286" w:lineRule="auto"/>
        <w:rPr>
          <w:sz w:val="20"/>
          <w:szCs w:val="20"/>
          <w:color w:val="auto"/>
        </w:rPr>
      </w:pPr>
      <w:r>
        <w:rPr>
          <w:rFonts w:ascii="Times New Roman" w:cs="Times New Roman" w:eastAsia="Times New Roman" w:hAnsi="Times New Roman"/>
          <w:sz w:val="14"/>
          <w:szCs w:val="14"/>
          <w:color w:val="auto"/>
        </w:rPr>
        <w:t>Documents incorporated by reference are available from us without charge, excluding all exhibits unless specifically incorporated by reference as an exhibit to this prospectus and the applicable prospectus supplement.</w:t>
      </w:r>
    </w:p>
    <w:p>
      <w:pPr>
        <w:spacing w:after="0" w:line="72" w:lineRule="exact"/>
        <w:rPr>
          <w:rFonts w:ascii="Times New Roman" w:cs="Times New Roman" w:eastAsia="Times New Roman" w:hAnsi="Times New Roman"/>
          <w:sz w:val="14"/>
          <w:szCs w:val="14"/>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w:t>
      </w:r>
    </w:p>
    <w:p>
      <w:pPr>
        <w:sectPr>
          <w:pgSz w:w="11900" w:h="16838" w:orient="portrait"/>
          <w:cols w:equalWidth="0" w:num="1">
            <w:col w:w="9019"/>
          </w:cols>
          <w:pgMar w:left="1440" w:top="239" w:right="1440" w:bottom="1440" w:gutter="0" w:footer="0" w:header="0"/>
        </w:sectPr>
      </w:pPr>
    </w:p>
    <w:bookmarkStart w:id="30" w:name="page31"/>
    <w:bookmarkEnd w:id="30"/>
    <w:p>
      <w:pPr>
        <w:ind w:left="180" w:right="659"/>
        <w:spacing w:after="0" w:line="28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6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Prospective investors may obtain documents incorporated by reference in this prospectus and the applicable prospectus supplement at no cost by requesting them in writing or by telephone from us at our executive offices at:</w:t>
      </w:r>
    </w:p>
    <w:p>
      <w:pPr>
        <w:spacing w:after="0" w:line="40"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Disc Medicine, Inc.</w:t>
      </w:r>
    </w:p>
    <w:p>
      <w:pPr>
        <w:spacing w:after="0" w:line="23"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321 Arsenal Street, Suite 101</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Watertown, MA 02472</w:t>
      </w:r>
    </w:p>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Attention: Investor Relations</w:t>
      </w:r>
    </w:p>
    <w:p>
      <w:pPr>
        <w:spacing w:after="0" w:line="9" w:lineRule="exact"/>
        <w:rPr>
          <w:sz w:val="20"/>
          <w:szCs w:val="20"/>
          <w:color w:val="auto"/>
        </w:rPr>
      </w:pPr>
    </w:p>
    <w:p>
      <w:pPr>
        <w:ind w:left="4400" w:hanging="337"/>
        <w:spacing w:after="0"/>
        <w:tabs>
          <w:tab w:leader="none" w:pos="4400" w:val="left"/>
        </w:tabs>
        <w:numPr>
          <w:ilvl w:val="0"/>
          <w:numId w:val="1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674-9274</w:t>
      </w:r>
    </w:p>
    <w:p>
      <w:pPr>
        <w:spacing w:after="0" w:line="110" w:lineRule="exact"/>
        <w:rPr>
          <w:rFonts w:ascii="Times New Roman" w:cs="Times New Roman" w:eastAsia="Times New Roman" w:hAnsi="Times New Roman"/>
          <w:sz w:val="14"/>
          <w:szCs w:val="14"/>
          <w:color w:val="auto"/>
        </w:rPr>
      </w:pPr>
    </w:p>
    <w:p>
      <w:pPr>
        <w:ind w:left="4460"/>
        <w:spacing w:after="0"/>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3</w:t>
      </w:r>
    </w:p>
    <w:p>
      <w:pPr>
        <w:sectPr>
          <w:pgSz w:w="11900" w:h="16838" w:orient="portrait"/>
          <w:cols w:equalWidth="0" w:num="1">
            <w:col w:w="9019"/>
          </w:cols>
          <w:pgMar w:left="1440" w:top="241" w:right="1440" w:bottom="1440" w:gutter="0" w:footer="0" w:header="0"/>
        </w:sectPr>
      </w:pPr>
    </w:p>
    <w:bookmarkStart w:id="31" w:name="page32"/>
    <w:bookmarkEnd w:id="3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6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SPECIAL NOTE REGARDING FORWARD-LOOKING STATEMENTS</w:t>
      </w:r>
    </w:p>
    <w:p>
      <w:pPr>
        <w:spacing w:after="0" w:line="180" w:lineRule="exact"/>
        <w:rPr>
          <w:sz w:val="20"/>
          <w:szCs w:val="20"/>
          <w:color w:val="auto"/>
        </w:rPr>
      </w:pPr>
    </w:p>
    <w:p>
      <w:pPr>
        <w:ind w:left="180" w:right="239"/>
        <w:spacing w:after="0" w:line="256" w:lineRule="auto"/>
        <w:rPr>
          <w:sz w:val="20"/>
          <w:szCs w:val="20"/>
          <w:color w:val="auto"/>
        </w:rPr>
      </w:pPr>
      <w:r>
        <w:rPr>
          <w:rFonts w:ascii="Times New Roman" w:cs="Times New Roman" w:eastAsia="Times New Roman" w:hAnsi="Times New Roman"/>
          <w:sz w:val="14"/>
          <w:szCs w:val="14"/>
          <w:color w:val="auto"/>
        </w:rPr>
        <w:t>This prospectus, together with any accompanying prospectus supplement, includes and incorporates by reference “forward-looking statements” within the meaning of the U.S. Private Securities Litigation Reform Act of 1995 and releases issued by the SEC and within the meaning of Section 27A of the Securities Act, and Section 21E of the Exchange Act. All statements other than statements of historical facts contained in this prospectus, including statements regarding our strategy, future operations, future financial position, future revenue, projected costs, prospects, plan, objectives of management and expected market growth, are forward-looking statements. You can identify these forward-looking statements by the use of words such as “aim,” “anticipate,” “assume,” “believe,” “contemplate,” “continue,” “could,” “design,” “due,” “estimate,” “expect,” “goal,” “intend,” “may,” “objective,” “plan,” “positioned,” “potential,” “predict,” “seek,” “should,” “target,” “will,” “would” and other similar expressions that are predictions of or indicate future events and future trends, or the negative of these terms or other comparable terminology. Such forward-looking statements are subject to various risks and uncertainties. Accordingly, there are or will be important factors that could cause actual outcomes or results to differ materially from those indicated in these statements. We believe these factors include, but are not limited to, those described under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and include, among other things:</w:t>
      </w:r>
    </w:p>
    <w:p>
      <w:pPr>
        <w:spacing w:after="0" w:line="72" w:lineRule="exact"/>
        <w:rPr>
          <w:sz w:val="20"/>
          <w:szCs w:val="20"/>
          <w:color w:val="auto"/>
        </w:rPr>
      </w:pPr>
    </w:p>
    <w:p>
      <w:pPr>
        <w:ind w:left="940" w:right="259" w:hanging="337"/>
        <w:spacing w:after="0" w:line="264" w:lineRule="auto"/>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initiation, timing, progress, results, and cost of our research and development programs and our current and future preclinical studies and clinical trials, including our ongoing Phase 1b/2 clinical trials of DISC-0974 and our ongoing Phase 1 clinical trial of DISC-3405, and including statements regarding the timing of initiation and completion of studies or trials and related preparatory work, the period during which the results of the trials will become available, and our research and development programs;</w:t>
      </w:r>
    </w:p>
    <w:p>
      <w:pPr>
        <w:spacing w:after="0" w:line="65"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efficiently discover and develop product candidates;</w:t>
      </w:r>
    </w:p>
    <w:p>
      <w:pPr>
        <w:spacing w:after="0" w:line="104" w:lineRule="exact"/>
        <w:rPr>
          <w:rFonts w:ascii="Times New Roman" w:cs="Times New Roman" w:eastAsia="Times New Roman" w:hAnsi="Times New Roman"/>
          <w:sz w:val="14"/>
          <w:szCs w:val="14"/>
          <w:color w:val="auto"/>
        </w:rPr>
      </w:pPr>
    </w:p>
    <w:p>
      <w:pPr>
        <w:ind w:left="940" w:right="339" w:hanging="337"/>
        <w:spacing w:after="0" w:line="286" w:lineRule="auto"/>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and the potential to successfully manufacture our drug substances and product candidates for preclinical use, for clinical trials and on a larger scale for commercial use, if approved;</w:t>
      </w:r>
    </w:p>
    <w:p>
      <w:pPr>
        <w:spacing w:after="0" w:line="50" w:lineRule="exact"/>
        <w:rPr>
          <w:rFonts w:ascii="Times New Roman" w:cs="Times New Roman" w:eastAsia="Times New Roman" w:hAnsi="Times New Roman"/>
          <w:sz w:val="14"/>
          <w:szCs w:val="14"/>
          <w:color w:val="auto"/>
        </w:rPr>
      </w:pPr>
    </w:p>
    <w:p>
      <w:pPr>
        <w:ind w:left="940" w:right="799" w:hanging="337"/>
        <w:spacing w:after="0" w:line="286" w:lineRule="auto"/>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funding for our operations necessary to complete further development and commercialization of our product candidates;</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obtain and maintain regulatory approval of our product candidates;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commercialize our products, if approved;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pricing and reimbursement of our product candidates, if approved;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implementation of our business model, and strategic plans for our business and product candidates;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scope of protection we are able to establish and maintain for intellectual property rights covering our product candidates;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estimates of our future expenses, revenues, capital requirements, and our needs for additional financing;</w:t>
      </w:r>
    </w:p>
    <w:p>
      <w:pPr>
        <w:spacing w:after="0" w:line="104" w:lineRule="exact"/>
        <w:rPr>
          <w:rFonts w:ascii="Times New Roman" w:cs="Times New Roman" w:eastAsia="Times New Roman" w:hAnsi="Times New Roman"/>
          <w:sz w:val="14"/>
          <w:szCs w:val="14"/>
          <w:color w:val="auto"/>
        </w:rPr>
      </w:pPr>
    </w:p>
    <w:p>
      <w:pPr>
        <w:ind w:left="940" w:right="199" w:hanging="337"/>
        <w:spacing w:after="0" w:line="286" w:lineRule="auto"/>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potential benefits of strategic collaboration agreements, our ability to enter into strategic collaborations or arrangements, and our ability to attract collaborators with development, regulatory and commercialization expertise;</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future agreements with third parties in connection with the commercialization of product candidates and any other approved product;</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size and growth potential of the markets for our product candidates, and our ability to serve those markets;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financial performance;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rate and degree of market acceptance of our product candidates;</w:t>
      </w:r>
    </w:p>
    <w:p>
      <w:pPr>
        <w:spacing w:after="0" w:line="12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4</w:t>
      </w:r>
    </w:p>
    <w:p>
      <w:pPr>
        <w:sectPr>
          <w:pgSz w:w="11900" w:h="16838" w:orient="portrait"/>
          <w:cols w:equalWidth="0" w:num="1">
            <w:col w:w="9019"/>
          </w:cols>
          <w:pgMar w:left="1440" w:top="239" w:right="1440" w:bottom="1440" w:gutter="0" w:footer="0" w:header="0"/>
        </w:sectPr>
      </w:pPr>
    </w:p>
    <w:bookmarkStart w:id="32" w:name="page33"/>
    <w:bookmarkEnd w:id="32"/>
    <w:p>
      <w:pPr>
        <w:ind w:left="940" w:hanging="337"/>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6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regulatory developments in the United States and foreign countries;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contract with third-party suppliers and manufacturers and their ability to perform adequately;</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produce our products or product candidates with advantages in turnaround times or manufacturing cost;</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success of competing therapies that are or may become available;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ability to attract and retain key scientific or management personnel;</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laws and regulations;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developments relating to our competitors and our industry;</w:t>
      </w:r>
    </w:p>
    <w:p>
      <w:pPr>
        <w:spacing w:after="0" w:line="104" w:lineRule="exact"/>
        <w:rPr>
          <w:rFonts w:ascii="Times New Roman" w:cs="Times New Roman" w:eastAsia="Times New Roman" w:hAnsi="Times New Roman"/>
          <w:sz w:val="14"/>
          <w:szCs w:val="14"/>
          <w:color w:val="auto"/>
        </w:rPr>
      </w:pPr>
    </w:p>
    <w:p>
      <w:pPr>
        <w:ind w:left="940" w:right="239" w:hanging="337"/>
        <w:spacing w:after="0" w:line="264" w:lineRule="auto"/>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impact of global economic and political developments on our business, including rising inflation and capital market disruptions, the current conflicts between Russia and Ukraine and between Israel and Hamas, economic sanctions and economic slowdowns or recessions that may result from such developments which could harm our research and development efforts as well as the value of our common stock and our ability to access capital markets; and</w:t>
      </w:r>
    </w:p>
    <w:p>
      <w:pPr>
        <w:spacing w:after="0" w:line="63"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other risks and uncertainties, including those listed under the caption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w:t>
      </w:r>
    </w:p>
    <w:p>
      <w:pPr>
        <w:spacing w:after="0" w:line="180" w:lineRule="exact"/>
        <w:rPr>
          <w:sz w:val="20"/>
          <w:szCs w:val="20"/>
          <w:color w:val="auto"/>
        </w:rPr>
      </w:pPr>
    </w:p>
    <w:p>
      <w:pPr>
        <w:ind w:left="180" w:right="199"/>
        <w:spacing w:after="0" w:line="256" w:lineRule="auto"/>
        <w:rPr>
          <w:sz w:val="20"/>
          <w:szCs w:val="20"/>
          <w:color w:val="auto"/>
        </w:rPr>
      </w:pPr>
      <w:r>
        <w:rPr>
          <w:rFonts w:ascii="Times New Roman" w:cs="Times New Roman" w:eastAsia="Times New Roman" w:hAnsi="Times New Roman"/>
          <w:sz w:val="14"/>
          <w:szCs w:val="14"/>
          <w:color w:val="auto"/>
        </w:rPr>
        <w:t>These statements relate to future events or to our future financial performance and involve known and unknown risks, uncertainties and other factors that may cause our actual results, performance or achievements to be materially different from any future results, performance or achievements expressed or implied by these forward-looking statements. In evaluating such forward-looking statements, you should specifically consider various factors that may cause actual results to differ materially from current expectations, including the risks outlined under the heading “</w:t>
      </w:r>
      <w:r>
        <w:rPr>
          <w:rFonts w:ascii="Times New Roman" w:cs="Times New Roman" w:eastAsia="Times New Roman" w:hAnsi="Times New Roman"/>
          <w:sz w:val="14"/>
          <w:szCs w:val="14"/>
          <w:i w:val="1"/>
          <w:iCs w:val="1"/>
          <w:color w:val="auto"/>
        </w:rPr>
        <w:t>Risk Factors</w:t>
      </w:r>
      <w:r>
        <w:rPr>
          <w:rFonts w:ascii="Times New Roman" w:cs="Times New Roman" w:eastAsia="Times New Roman" w:hAnsi="Times New Roman"/>
          <w:sz w:val="14"/>
          <w:szCs w:val="14"/>
          <w:color w:val="auto"/>
        </w:rPr>
        <w:t>” contained in this prospectus and any related prospectus supplement or free writing prospectus, and in any other documents incorporated herein or therein (including in our most recent annual report on Form 10-K, subsequent quarterly reports on Form 10-Q and other filings we make with the SEC pursuant to Section 13(a), 13(c), 14 or 15(d) of the Exchange Act). Any forward-looking statement in this prospectus or any related prospectus supplement or free writing prospectus reflects our current view with respect to future events and is subject to these and other risks, uncertainties and assumptions relating to our operations, results of operations, industry and future growth. Given these uncertainties, you should not place undue reliance on these forward-looking statements. Except as required by law, we assume no obligation to update or revise these forward-looking statements for any reason, even if new information becomes available in the future.</w:t>
      </w:r>
    </w:p>
    <w:p>
      <w:pPr>
        <w:spacing w:after="0" w:line="229"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Market and Industry Data and Estimates</w:t>
      </w:r>
    </w:p>
    <w:p>
      <w:pPr>
        <w:spacing w:after="0" w:line="95" w:lineRule="exact"/>
        <w:rPr>
          <w:sz w:val="20"/>
          <w:szCs w:val="20"/>
          <w:color w:val="auto"/>
        </w:rPr>
      </w:pPr>
    </w:p>
    <w:p>
      <w:pPr>
        <w:ind w:left="180" w:right="279"/>
        <w:spacing w:after="0" w:line="257" w:lineRule="auto"/>
        <w:rPr>
          <w:sz w:val="20"/>
          <w:szCs w:val="20"/>
          <w:color w:val="auto"/>
        </w:rPr>
      </w:pPr>
      <w:r>
        <w:rPr>
          <w:rFonts w:ascii="Times New Roman" w:cs="Times New Roman" w:eastAsia="Times New Roman" w:hAnsi="Times New Roman"/>
          <w:sz w:val="14"/>
          <w:szCs w:val="14"/>
          <w:color w:val="auto"/>
        </w:rPr>
        <w:t>This prospectus, together with any accompanying prospectus supplement and the information incorporated herein or therein by reference, also contains estimates, projections and other information concerning our industry, our business and the markets for our product candidates, including data regarding the estimated size of those markets, their projected growth rates and the incidence of certain medical conditions. Information that is based on estimates, forecasts, projections or similar methodologies is inherently subject to uncertainties and actual events or circumstances may differ materially from events and circumstances reflected in this information. Unless otherwise expressly stated, we obtained these industry, business, market and other data from reports, research surveys, studies and similar data prepared by third parties, industry, medical and general publications, government data and similar sources. We have not independently verified the accuracy and completeness of such data, and in some cases, we do not expressly refer to the sources from which these data are derived.</w:t>
      </w:r>
    </w:p>
    <w:p>
      <w:pPr>
        <w:spacing w:after="0" w:line="23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Trademarks</w:t>
      </w:r>
    </w:p>
    <w:p>
      <w:pPr>
        <w:spacing w:after="0" w:line="95" w:lineRule="exact"/>
        <w:rPr>
          <w:sz w:val="20"/>
          <w:szCs w:val="20"/>
          <w:color w:val="auto"/>
        </w:rPr>
      </w:pPr>
    </w:p>
    <w:p>
      <w:pPr>
        <w:ind w:left="180" w:right="399"/>
        <w:spacing w:after="0" w:line="286" w:lineRule="auto"/>
        <w:rPr>
          <w:sz w:val="20"/>
          <w:szCs w:val="20"/>
          <w:color w:val="auto"/>
        </w:rPr>
      </w:pPr>
      <w:r>
        <w:rPr>
          <w:rFonts w:ascii="Times New Roman" w:cs="Times New Roman" w:eastAsia="Times New Roman" w:hAnsi="Times New Roman"/>
          <w:sz w:val="14"/>
          <w:szCs w:val="14"/>
          <w:color w:val="auto"/>
        </w:rPr>
        <w:t>Disc Medicine, Inc., the Disc logo and our other registered or common law trademarks, trade names or service marks appearing in this prospectus are owned by us. This prospectus, any applicable prospectus supplement or</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5</w:t>
      </w:r>
    </w:p>
    <w:p>
      <w:pPr>
        <w:sectPr>
          <w:pgSz w:w="11900" w:h="16838" w:orient="portrait"/>
          <w:cols w:equalWidth="0" w:num="1">
            <w:col w:w="9019"/>
          </w:cols>
          <w:pgMar w:left="1440" w:top="241" w:right="1440" w:bottom="1440" w:gutter="0" w:footer="0" w:header="0"/>
        </w:sectPr>
      </w:pPr>
    </w:p>
    <w:bookmarkStart w:id="33" w:name="page34"/>
    <w:bookmarkEnd w:id="33"/>
    <w:p>
      <w:pPr>
        <w:ind w:left="180" w:right="259"/>
        <w:spacing w:after="0" w:line="263"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6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any information incorporated herein or therein may contain references to our trademarks and to trademarks belonging to other entities. Solely for convenience, trademarks and trade names referred to in this prospectus, including logos, artwork and other visual displays, generally appear without the</w:t>
      </w:r>
    </w:p>
    <w:p>
      <w:pPr>
        <w:spacing w:after="0" w:line="1" w:lineRule="exact"/>
        <w:rPr>
          <w:sz w:val="20"/>
          <w:szCs w:val="20"/>
          <w:color w:val="auto"/>
        </w:rPr>
      </w:pPr>
    </w:p>
    <w:p>
      <w:pPr>
        <w:ind w:left="180" w:right="219" w:hanging="1"/>
        <w:spacing w:after="0" w:line="229" w:lineRule="auto"/>
        <w:tabs>
          <w:tab w:leader="none" w:pos="296" w:val="left"/>
        </w:tabs>
        <w:numPr>
          <w:ilvl w:val="0"/>
          <w:numId w:val="13"/>
        </w:numPr>
        <w:rPr>
          <w:rFonts w:ascii="Times New Roman" w:cs="Times New Roman" w:eastAsia="Times New Roman" w:hAnsi="Times New Roman"/>
          <w:sz w:val="21"/>
          <w:szCs w:val="21"/>
          <w:color w:val="auto"/>
          <w:vertAlign w:val="superscript"/>
        </w:rPr>
      </w:pPr>
      <w:r>
        <w:rPr>
          <w:rFonts w:ascii="Times New Roman" w:cs="Times New Roman" w:eastAsia="Times New Roman" w:hAnsi="Times New Roman"/>
          <w:sz w:val="14"/>
          <w:szCs w:val="14"/>
          <w:color w:val="auto"/>
        </w:rPr>
        <w:t>or TM symbols, but such references are not intended to indicate, in any way, that we will not assert, to the fullest extent under applicable law, our rights or the rights of the applicable licensor to these trademarks and trade names. We do not intend our use or display of other companies’ trade names or trademarks to imply a relationship with, or endorsement or sponsorship of us by, any other companies. All trademarks, service marks and trade names included or incorporated by reference in this prospectus, any applicable prospectus supplement or any related free writing prospectus are the property of their respective owners.</w:t>
      </w:r>
    </w:p>
    <w:p>
      <w:pPr>
        <w:spacing w:after="0" w:line="10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6</w:t>
      </w:r>
    </w:p>
    <w:p>
      <w:pPr>
        <w:sectPr>
          <w:pgSz w:w="11900" w:h="16838" w:orient="portrait"/>
          <w:cols w:equalWidth="0" w:num="1">
            <w:col w:w="9019"/>
          </w:cols>
          <w:pgMar w:left="1440" w:top="241" w:right="1440" w:bottom="1440" w:gutter="0" w:footer="0" w:header="0"/>
        </w:sectPr>
      </w:pPr>
    </w:p>
    <w:bookmarkStart w:id="34" w:name="page35"/>
    <w:bookmarkEnd w:id="34"/>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6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ABOUT THE COMPANY</w:t>
      </w:r>
    </w:p>
    <w:p>
      <w:pPr>
        <w:spacing w:after="0" w:line="178" w:lineRule="exact"/>
        <w:rPr>
          <w:sz w:val="20"/>
          <w:szCs w:val="20"/>
          <w:color w:val="auto"/>
        </w:rPr>
      </w:pPr>
    </w:p>
    <w:p>
      <w:pPr>
        <w:ind w:left="180" w:right="199"/>
        <w:spacing w:after="0" w:line="271" w:lineRule="auto"/>
        <w:rPr>
          <w:sz w:val="20"/>
          <w:szCs w:val="20"/>
          <w:color w:val="auto"/>
        </w:rPr>
      </w:pPr>
      <w:r>
        <w:rPr>
          <w:rFonts w:ascii="Times New Roman" w:cs="Times New Roman" w:eastAsia="Times New Roman" w:hAnsi="Times New Roman"/>
          <w:sz w:val="14"/>
          <w:szCs w:val="14"/>
          <w:i w:val="1"/>
          <w:iCs w:val="1"/>
          <w:color w:val="auto"/>
        </w:rPr>
        <w:t>The following highlights information about the Registrant and our business contained elsewhere or incorporated by reference in this prospectus. It is not complete and does not contain all of the information that you should consider before investing in any of our securities. You should carefully read this prospectus together with the more detailed information incorporated by reference in this prospectus.</w:t>
      </w:r>
    </w:p>
    <w:p>
      <w:pPr>
        <w:spacing w:after="0" w:line="21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Overview</w:t>
      </w:r>
    </w:p>
    <w:p>
      <w:pPr>
        <w:spacing w:after="0" w:line="95" w:lineRule="exact"/>
        <w:rPr>
          <w:sz w:val="20"/>
          <w:szCs w:val="20"/>
          <w:color w:val="auto"/>
        </w:rPr>
      </w:pPr>
    </w:p>
    <w:p>
      <w:pPr>
        <w:ind w:left="180" w:right="199"/>
        <w:spacing w:after="0" w:line="257" w:lineRule="auto"/>
        <w:rPr>
          <w:sz w:val="20"/>
          <w:szCs w:val="20"/>
          <w:color w:val="auto"/>
        </w:rPr>
      </w:pPr>
      <w:r>
        <w:rPr>
          <w:rFonts w:ascii="Times New Roman" w:cs="Times New Roman" w:eastAsia="Times New Roman" w:hAnsi="Times New Roman"/>
          <w:sz w:val="14"/>
          <w:szCs w:val="14"/>
          <w:color w:val="auto"/>
        </w:rPr>
        <w:t>We are a clinical-stage biopharmaceutical company focused on the discovery, development, and commercialization of novel treatments for patients suffering from serious hematologic diseases. We have assembled a portfolio of clinical and preclinical product candidates that aim to modify fundamental biological pathways associated with the formation and function of red blood cells, specifically heme biosynthesis and iron homeostasis. Our current pipeline includes bitopertin for the treatment of erythropoietic porphyrias, or EPs, including erythropoietic protoporphyria, or EPP, and X-linked protoporphyria, or XLP, and Diamond-Blackfan Anemia, or DBA; DISC-0974 for the treatment of anemia of myelofibrosis, or MF, and anemia of chronic kidney disease, or CKD; and DISC-3405 (formerly MWTX-003) for the treatment of polycythemia vera, or PV, and other hematologic disorders. In addition, our preclinical programs also include DISC-0998, for the treatment of anemia associated with inflammatory diseases. Our approach to product candidate development leverages well-understood molecular mechanisms that have been validated in humans. We believe that each of our product candidates, if approved, has the potential to improve the lives of patients suffering from hematologic diseases.</w:t>
      </w:r>
    </w:p>
    <w:p>
      <w:pPr>
        <w:spacing w:after="0" w:line="145" w:lineRule="exact"/>
        <w:rPr>
          <w:sz w:val="20"/>
          <w:szCs w:val="20"/>
          <w:color w:val="auto"/>
        </w:rPr>
      </w:pPr>
    </w:p>
    <w:p>
      <w:pPr>
        <w:ind w:left="180" w:right="319"/>
        <w:spacing w:after="0" w:line="256" w:lineRule="auto"/>
        <w:rPr>
          <w:sz w:val="20"/>
          <w:szCs w:val="20"/>
          <w:color w:val="auto"/>
        </w:rPr>
      </w:pPr>
      <w:r>
        <w:rPr>
          <w:rFonts w:ascii="Times New Roman" w:cs="Times New Roman" w:eastAsia="Times New Roman" w:hAnsi="Times New Roman"/>
          <w:sz w:val="14"/>
          <w:szCs w:val="14"/>
          <w:color w:val="auto"/>
        </w:rPr>
        <w:t>Bitopertin is the lead product candidate in our heme biosynthesis modulation portfolio. Bitopertin was previously evaluated by F. Hoffmann-La Roche Ltd and Hoffmann-La Roche Inc., or collectively, Roche, in a comprehensive clinical program in over 4,000 individuals in other indications which demonstrated the activity of bitopertin as a glycine transporter 1, or GlyT1, inhibitor and its effect on heme biosynthesis. We are initially developing bitopertin for the treatment of EPs, including EPP and XLP. In July 2022, we initiated BEACON, a Phase 2 open-label, parallel-dose clinical trial of bitopertin in EPP and XLP patients that is being conducted at sites in Australia. In October 2022, we initiated AURORA, a Phase 2, randomized, double-blind, placebo-controlled clinical trial of bitopertin in EPP patients that is being conducted at sites in the United States. We presented interim data from BEACON in June and December 2023, and we presented topline data from AURORA in April 2024. Additional analyses of the BEACON and AURORA trials were presented in June 2024. We expect to have regulatory interactions to define optimal registrational endpoints moving forward in EPP in the second half of 2024. We entered into a collaborative research and development agreement with the National Institutes of Health, or NIH, to conduct an NIH-sponsored clinical trial of bitopertin in DBA. The FDA authorized the clinical trial to proceed and the trial began in July 2023. We are planning additional trials of bitopertin in other indications.</w:t>
      </w:r>
    </w:p>
    <w:p>
      <w:pPr>
        <w:spacing w:after="0" w:line="146" w:lineRule="exact"/>
        <w:rPr>
          <w:sz w:val="20"/>
          <w:szCs w:val="20"/>
          <w:color w:val="auto"/>
        </w:rPr>
      </w:pPr>
    </w:p>
    <w:p>
      <w:pPr>
        <w:ind w:left="180" w:right="199"/>
        <w:spacing w:after="0" w:line="255" w:lineRule="auto"/>
        <w:rPr>
          <w:sz w:val="20"/>
          <w:szCs w:val="20"/>
          <w:color w:val="auto"/>
        </w:rPr>
      </w:pPr>
      <w:r>
        <w:rPr>
          <w:rFonts w:ascii="Times New Roman" w:cs="Times New Roman" w:eastAsia="Times New Roman" w:hAnsi="Times New Roman"/>
          <w:sz w:val="14"/>
          <w:szCs w:val="14"/>
          <w:color w:val="auto"/>
        </w:rPr>
        <w:t>DISC-0974 is the lead product candidate in our iron homeostasis portfolio and was in-licensed from AbbVie Deutschland GmbH &amp; Co. KG, or AbbVie. DISC-0974 is designed to suppress hepcidin production and increase serum iron levels. We submitted an IND to the FDA for DISC-0974 in June 2021, received clearance in July 2021, and participants completed a Phase 1 clinical trial in healthy volunteers in the U.S. in June 2022 with results showing an acceptable tolerability profile and evidence of target engagement, iron mobilization and augmented erythropoiesis. We initiated a Phase 1b/2 clinical trial in June 2022 in patients with anemia of MF, and initiated a separate Phase 1b/2 clinical trial in February 2023 in patients with non-dialysis dependent CKD and anemia. We presented interim data from both of these trials in December 2023 and presented additional interim data for anemia of MF in June 2024, including safety and changes in hepcidin, iron, and hemoglobin levels for additional patients, as well as longer follow-up. We anticipate presenting additional interim data for non-dialysis dependent CKD and anemia in second half of 2024. In addition, we are developing a preclinical anti-hemojuvelin, or HJV, monoclonal antibody, DISC-0998, which also targets hepcidin suppression and was</w:t>
      </w:r>
    </w:p>
    <w:p>
      <w:pPr>
        <w:spacing w:after="0" w:line="1" w:lineRule="exact"/>
        <w:rPr>
          <w:sz w:val="20"/>
          <w:szCs w:val="20"/>
          <w:color w:val="auto"/>
        </w:rPr>
      </w:pPr>
    </w:p>
    <w:p>
      <w:pPr>
        <w:ind w:left="180" w:right="519"/>
        <w:spacing w:after="0" w:line="265" w:lineRule="auto"/>
        <w:rPr>
          <w:sz w:val="20"/>
          <w:szCs w:val="20"/>
          <w:color w:val="auto"/>
        </w:rPr>
      </w:pPr>
      <w:r>
        <w:rPr>
          <w:rFonts w:ascii="Times New Roman" w:cs="Times New Roman" w:eastAsia="Times New Roman" w:hAnsi="Times New Roman"/>
          <w:sz w:val="14"/>
          <w:szCs w:val="14"/>
          <w:color w:val="auto"/>
        </w:rPr>
        <w:t>in-licensed from AbbVie. DISC-0998 is designed to increase serum iron levels and has an extended serum half-life as compared to DISC-0974. We believe this profile may be desirable in certain subsets of patients with anemia associated with inflammatory diseases.</w:t>
      </w:r>
    </w:p>
    <w:p>
      <w:pPr>
        <w:spacing w:after="0" w:line="8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7</w:t>
      </w:r>
    </w:p>
    <w:p>
      <w:pPr>
        <w:sectPr>
          <w:pgSz w:w="11900" w:h="16838" w:orient="portrait"/>
          <w:cols w:equalWidth="0" w:num="1">
            <w:col w:w="9019"/>
          </w:cols>
          <w:pgMar w:left="1440" w:top="239" w:right="1440" w:bottom="1440" w:gutter="0" w:footer="0" w:header="0"/>
        </w:sectPr>
      </w:pPr>
    </w:p>
    <w:bookmarkStart w:id="35" w:name="page36"/>
    <w:bookmarkEnd w:id="35"/>
    <w:p>
      <w:pPr>
        <w:ind w:left="180" w:right="27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7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Lastly, we are developing DISC-3405, a monoclonal antibody against Transmembrane Serine Protease 6, or TMPRSS6, that we licensed from Mabwell Therapeutics, Inc., or Mabwell. DISC-3405 is part of our iron homeostasis portfolio and is designed to induce hepcidin production and reduce serum iron levels. An IND for DISC-3405 was cleared by the FDA, and a Phase 1 clinical trial in healthy adult volunteers was initiated in October 2023. Interim data was presented from the single-ascending dose (SAD) portion of the Phase 1 clinical trial of DISC-3405 in healthy volunteers in June 2024. We anticipate presenting data from the multiple-ascending dose (MAD) portion of the Phase 1 healthy volunteer study of DISC-3405 in the fourth quarter of 2024. We expect to develop DISC-3405 for the treatment of PV and other hematologic disorders.</w:t>
      </w: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Merger with Gemini</w:t>
      </w:r>
    </w:p>
    <w:p>
      <w:pPr>
        <w:spacing w:after="0" w:line="95" w:lineRule="exact"/>
        <w:rPr>
          <w:sz w:val="20"/>
          <w:szCs w:val="20"/>
          <w:color w:val="auto"/>
        </w:rPr>
      </w:pPr>
    </w:p>
    <w:p>
      <w:pPr>
        <w:ind w:left="180" w:right="299"/>
        <w:spacing w:after="0" w:line="258" w:lineRule="auto"/>
        <w:rPr>
          <w:sz w:val="20"/>
          <w:szCs w:val="20"/>
          <w:color w:val="auto"/>
        </w:rPr>
      </w:pPr>
      <w:r>
        <w:rPr>
          <w:rFonts w:ascii="Times New Roman" w:cs="Times New Roman" w:eastAsia="Times New Roman" w:hAnsi="Times New Roman"/>
          <w:sz w:val="14"/>
          <w:szCs w:val="14"/>
          <w:color w:val="auto"/>
        </w:rPr>
        <w:t>On August 9, 2022, Gemini Therapeutics, Inc., a Delaware corporation (“Gemini”), Gemstone Merger Sub, Inc., a Delaware corporation and a wholly owned subsidiary of Gemini (“Merger Sub”), and Disc Medicine, Inc., a Delaware corporation (“Private Disc”), entered into an Agreement and Plan of Merger and Reorganization (the “Merger Agreement”). The merger was completed on December 29, 2022. In accordance with the Merger Agreement, the Merger Sub merged with and into Private Disc, with Private Disc surviving as a wholly-owned subsidiary of the Company (the “merger”). Gemini changed its name to Disc Medicine Inc., and Private Disc, which remains as a wholly-owned subsidiary of the Company, changed its name to Disc Medicine Opco, Inc. On December 30, 2022, the combined company’s common stock began trading on The Nasdaq Capital Market under the ticker symbol “IRON.”</w:t>
      </w:r>
    </w:p>
    <w:p>
      <w:pPr>
        <w:spacing w:after="0" w:line="145" w:lineRule="exact"/>
        <w:rPr>
          <w:sz w:val="20"/>
          <w:szCs w:val="20"/>
          <w:color w:val="auto"/>
        </w:rPr>
      </w:pPr>
    </w:p>
    <w:p>
      <w:pPr>
        <w:jc w:val="both"/>
        <w:ind w:left="180" w:right="319"/>
        <w:spacing w:after="0" w:line="269" w:lineRule="auto"/>
        <w:rPr>
          <w:sz w:val="20"/>
          <w:szCs w:val="20"/>
          <w:color w:val="auto"/>
        </w:rPr>
      </w:pPr>
      <w:r>
        <w:rPr>
          <w:rFonts w:ascii="Times New Roman" w:cs="Times New Roman" w:eastAsia="Times New Roman" w:hAnsi="Times New Roman"/>
          <w:sz w:val="14"/>
          <w:szCs w:val="14"/>
          <w:color w:val="auto"/>
        </w:rPr>
        <w:t>Except as otherwise indicated, references herein to “Disc,” the “Company,” or the “combined company”, refer to Disc Medicine, Inc. on a post-merger basis, and the term “Private Disc” refers to the business of privately-held Disc Medicine, Inc., prior to completion of the merger. References to Gemini refer to Gemini Therapeutics, Inc. prior to completion of the merger.</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Corporate Information</w:t>
      </w:r>
    </w:p>
    <w:p>
      <w:pPr>
        <w:spacing w:after="0" w:line="95" w:lineRule="exact"/>
        <w:rPr>
          <w:sz w:val="20"/>
          <w:szCs w:val="20"/>
          <w:color w:val="auto"/>
        </w:rPr>
      </w:pPr>
    </w:p>
    <w:p>
      <w:pPr>
        <w:ind w:left="180" w:right="259"/>
        <w:spacing w:after="0" w:line="261" w:lineRule="auto"/>
        <w:rPr>
          <w:sz w:val="20"/>
          <w:szCs w:val="20"/>
          <w:color w:val="auto"/>
        </w:rPr>
      </w:pPr>
      <w:r>
        <w:rPr>
          <w:rFonts w:ascii="Times New Roman" w:cs="Times New Roman" w:eastAsia="Times New Roman" w:hAnsi="Times New Roman"/>
          <w:sz w:val="14"/>
          <w:szCs w:val="14"/>
          <w:color w:val="auto"/>
        </w:rPr>
        <w:t>Disc Medicine, Inc. was originally incorporated under the laws of the state of Delaware in October 2017, and changed its name to Disc Medicine Opco, Inc., or Disc Opco, in December 2022. On December 29, 2022, we completed our business combination with Gemini, in accordance with the terms of the Merger Agreement, pursuant to which, among other matters, Merger Sub merged with and into Disc Opco, with Disc Opco continuing as a wholly owned subsidiary of us and the surviving corporation of the merger, or the Merger. In connection with the closing of the Merger, Gemini changed its name to Disc Medicine, Inc.</w:t>
      </w:r>
    </w:p>
    <w:p>
      <w:pPr>
        <w:spacing w:after="0" w:line="142" w:lineRule="exact"/>
        <w:rPr>
          <w:sz w:val="20"/>
          <w:szCs w:val="20"/>
          <w:color w:val="auto"/>
        </w:rPr>
      </w:pPr>
    </w:p>
    <w:p>
      <w:pPr>
        <w:ind w:left="180" w:right="339"/>
        <w:spacing w:after="0" w:line="264" w:lineRule="auto"/>
        <w:rPr>
          <w:sz w:val="20"/>
          <w:szCs w:val="20"/>
          <w:color w:val="auto"/>
        </w:rPr>
      </w:pPr>
      <w:r>
        <w:rPr>
          <w:rFonts w:ascii="Times New Roman" w:cs="Times New Roman" w:eastAsia="Times New Roman" w:hAnsi="Times New Roman"/>
          <w:sz w:val="14"/>
          <w:szCs w:val="14"/>
          <w:color w:val="auto"/>
        </w:rPr>
        <w:t>Our principal executive offices are located at 321 Arsenal Street, Suite 101, Watertown, MA 02472, and our telephone number is (617) 674-9274. Our website address is www.discmedicine.com. We do not incorporate the information on or accessible through our website into this prospectus, and you should not consider any information on, or that can be accessed through, our website as part of this prospectus. Our common stock is listed on Nasdaq under the symbol “IRON.”</w:t>
      </w:r>
    </w:p>
    <w:p>
      <w:pPr>
        <w:spacing w:after="0" w:line="140" w:lineRule="exact"/>
        <w:rPr>
          <w:sz w:val="20"/>
          <w:szCs w:val="20"/>
          <w:color w:val="auto"/>
        </w:rPr>
      </w:pPr>
    </w:p>
    <w:p>
      <w:pPr>
        <w:ind w:left="180" w:right="459"/>
        <w:spacing w:after="0" w:line="264" w:lineRule="auto"/>
        <w:rPr>
          <w:sz w:val="20"/>
          <w:szCs w:val="20"/>
          <w:color w:val="auto"/>
        </w:rPr>
      </w:pPr>
      <w:r>
        <w:rPr>
          <w:rFonts w:ascii="Times New Roman" w:cs="Times New Roman" w:eastAsia="Times New Roman" w:hAnsi="Times New Roman"/>
          <w:sz w:val="14"/>
          <w:szCs w:val="14"/>
          <w:color w:val="auto"/>
        </w:rPr>
        <w:t xml:space="preserve">Our Annual Reports on Form 10-K, Quarterly Reports on Form 10-Q and Current Reports on Form 8-K and amendments to those reports filed or furnished pursuant to Section 13(a) or 15(d) of the Exchange Act are available, free of charge, on or through our website as soon as reasonably practicable after such reports and amendments are electronically filed with or furnished to the SEC. The SEC maintains an Internet site that contains reports, proxy and information statements and other information regarding our filings at </w:t>
      </w:r>
      <w:r>
        <w:rPr>
          <w:rFonts w:ascii="Times New Roman" w:cs="Times New Roman" w:eastAsia="Times New Roman" w:hAnsi="Times New Roman"/>
          <w:sz w:val="14"/>
          <w:szCs w:val="14"/>
          <w:i w:val="1"/>
          <w:iCs w:val="1"/>
          <w:color w:val="auto"/>
        </w:rPr>
        <w:t>www.sec.gov</w:t>
      </w:r>
      <w:r>
        <w:rPr>
          <w:rFonts w:ascii="Times New Roman" w:cs="Times New Roman" w:eastAsia="Times New Roman" w:hAnsi="Times New Roman"/>
          <w:sz w:val="14"/>
          <w:szCs w:val="14"/>
          <w:color w:val="auto"/>
        </w:rPr>
        <w:t>.</w:t>
      </w:r>
    </w:p>
    <w:p>
      <w:pPr>
        <w:spacing w:after="0" w:line="140" w:lineRule="exact"/>
        <w:rPr>
          <w:sz w:val="20"/>
          <w:szCs w:val="20"/>
          <w:color w:val="auto"/>
        </w:rPr>
      </w:pPr>
    </w:p>
    <w:p>
      <w:pPr>
        <w:ind w:left="180" w:right="319"/>
        <w:spacing w:after="0" w:line="286" w:lineRule="auto"/>
        <w:rPr>
          <w:sz w:val="20"/>
          <w:szCs w:val="20"/>
          <w:color w:val="auto"/>
        </w:rPr>
      </w:pPr>
      <w:r>
        <w:rPr>
          <w:rFonts w:ascii="Times New Roman" w:cs="Times New Roman" w:eastAsia="Times New Roman" w:hAnsi="Times New Roman"/>
          <w:sz w:val="14"/>
          <w:szCs w:val="14"/>
          <w:color w:val="auto"/>
        </w:rPr>
        <w:t>For additional information about our Company, please refer to other documents we have filed with the SEC and that are incorporated by reference into this prospectus, as listed under the heading “</w:t>
      </w:r>
      <w:r>
        <w:rPr>
          <w:rFonts w:ascii="Times New Roman" w:cs="Times New Roman" w:eastAsia="Times New Roman" w:hAnsi="Times New Roman"/>
          <w:sz w:val="14"/>
          <w:szCs w:val="14"/>
          <w:i w:val="1"/>
          <w:iCs w:val="1"/>
          <w:color w:val="auto"/>
        </w:rPr>
        <w:t>Incorporation of Certain Information by Reference</w:t>
      </w:r>
      <w:r>
        <w:rPr>
          <w:rFonts w:ascii="Times New Roman" w:cs="Times New Roman" w:eastAsia="Times New Roman" w:hAnsi="Times New Roman"/>
          <w:sz w:val="14"/>
          <w:szCs w:val="14"/>
          <w:color w:val="auto"/>
        </w:rPr>
        <w:t>.”</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8</w:t>
      </w:r>
    </w:p>
    <w:p>
      <w:pPr>
        <w:sectPr>
          <w:pgSz w:w="11900" w:h="16838" w:orient="portrait"/>
          <w:cols w:equalWidth="0" w:num="1">
            <w:col w:w="9019"/>
          </w:cols>
          <w:pgMar w:left="1440" w:top="241" w:right="1440" w:bottom="1440" w:gutter="0" w:footer="0" w:header="0"/>
        </w:sectPr>
      </w:pPr>
    </w:p>
    <w:bookmarkStart w:id="36" w:name="page37"/>
    <w:bookmarkEnd w:id="36"/>
    <w:p>
      <w:pPr>
        <w:ind w:left="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7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Implications of Being an Emerging Growth Company and a Smaller Reporting Company</w:t>
      </w:r>
    </w:p>
    <w:p>
      <w:pPr>
        <w:spacing w:after="0" w:line="95" w:lineRule="exact"/>
        <w:rPr>
          <w:sz w:val="20"/>
          <w:szCs w:val="20"/>
          <w:color w:val="auto"/>
        </w:rPr>
      </w:pPr>
    </w:p>
    <w:p>
      <w:pPr>
        <w:jc w:val="both"/>
        <w:ind w:left="180" w:right="439"/>
        <w:spacing w:after="0" w:line="269" w:lineRule="auto"/>
        <w:rPr>
          <w:sz w:val="20"/>
          <w:szCs w:val="20"/>
          <w:color w:val="auto"/>
        </w:rPr>
      </w:pPr>
      <w:r>
        <w:rPr>
          <w:rFonts w:ascii="Times New Roman" w:cs="Times New Roman" w:eastAsia="Times New Roman" w:hAnsi="Times New Roman"/>
          <w:sz w:val="14"/>
          <w:szCs w:val="14"/>
          <w:color w:val="auto"/>
        </w:rPr>
        <w:t>We qualify as an “emerging growth company” as defined in the Jumpstart Our Business Startups Act of 2012, as amended (the “JOBS Act”). As an emerging growth company, we may take advantage of specified reduced disclosure and other requirements that are otherwise applicable generally to public companies. These provisions include:</w:t>
      </w:r>
    </w:p>
    <w:p>
      <w:pPr>
        <w:spacing w:after="0" w:line="63" w:lineRule="exact"/>
        <w:rPr>
          <w:sz w:val="20"/>
          <w:szCs w:val="20"/>
          <w:color w:val="auto"/>
        </w:rPr>
      </w:pPr>
    </w:p>
    <w:p>
      <w:pPr>
        <w:ind w:left="940" w:right="519" w:hanging="337"/>
        <w:spacing w:after="0" w:line="269" w:lineRule="auto"/>
        <w:tabs>
          <w:tab w:leader="none" w:pos="9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being permitted to only disclose two years of audited financial statements in addition to any required unaudited interim financial statements with correspondingly reduced “Management’s Discussion and Analysis of Financial Condition and Results of Operations” disclosure;</w:t>
      </w:r>
    </w:p>
    <w:p>
      <w:pPr>
        <w:spacing w:after="0" w:line="62"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reduced disclosure about our executive compensation arrangements;</w:t>
      </w:r>
    </w:p>
    <w:p>
      <w:pPr>
        <w:spacing w:after="0" w:line="104" w:lineRule="exact"/>
        <w:rPr>
          <w:rFonts w:ascii="Times New Roman" w:cs="Times New Roman" w:eastAsia="Times New Roman" w:hAnsi="Times New Roman"/>
          <w:sz w:val="14"/>
          <w:szCs w:val="14"/>
          <w:color w:val="auto"/>
        </w:rPr>
      </w:pPr>
    </w:p>
    <w:p>
      <w:pPr>
        <w:ind w:left="940" w:right="879" w:hanging="337"/>
        <w:spacing w:after="0" w:line="286" w:lineRule="auto"/>
        <w:tabs>
          <w:tab w:leader="none" w:pos="9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not being required to hold advisory votes on executive compensation or to obtain stockholder approval of any golden parachute arrangements not previously approved; and</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 exemption from the auditor attestation requirement in the assessment of our internal control over financial reporting.</w:t>
      </w:r>
    </w:p>
    <w:p>
      <w:pPr>
        <w:spacing w:after="0" w:line="178" w:lineRule="exact"/>
        <w:rPr>
          <w:sz w:val="20"/>
          <w:szCs w:val="20"/>
          <w:color w:val="auto"/>
        </w:rPr>
      </w:pPr>
    </w:p>
    <w:p>
      <w:pPr>
        <w:ind w:left="180" w:right="199"/>
        <w:spacing w:after="0" w:line="256" w:lineRule="auto"/>
        <w:rPr>
          <w:sz w:val="20"/>
          <w:szCs w:val="20"/>
          <w:color w:val="auto"/>
        </w:rPr>
      </w:pPr>
      <w:r>
        <w:rPr>
          <w:rFonts w:ascii="Times New Roman" w:cs="Times New Roman" w:eastAsia="Times New Roman" w:hAnsi="Times New Roman"/>
          <w:sz w:val="14"/>
          <w:szCs w:val="14"/>
          <w:color w:val="auto"/>
        </w:rPr>
        <w:t>We may take advantage of these exemptions until the end of the fiscal year following the fifth anniversary of our initial public offering or such earlier time that we are no longer an emerging growth company. We would cease to be an emerging growth company on the date that is the earliest of (i) the last day of the fiscal year in which we have total annual gross revenue of $1.235 billion or more; (ii) December 31, 2025; (iii) the date on which we have issued more than $1.0 billion in nonconvertible debt during the previous three years; or (iv) the last day of the fiscal year in which we are deemed to be a large accelerated filer under the rules of the SEC, which means the market value of our common stock that is held by non-affiliates exceeds $700 million as of the prior June 30th. We may choose to take advantage of some but not all of these exemptions. We have taken advantage of reduced reporting requirements in this prospectus supplement. Accordingly, the information contained herein may be different from the information you receive from other public companies in which you hold stock. Subject to certain conditions, as an emerging growth company, we may rely on certain of these exemptions, including without limitation, omitting an auditor’s attestation report on our system of internal controls over financial reporting otherwise required by Section 404(b) of the Sarbanes-Oxley Act of 2002.</w:t>
      </w:r>
    </w:p>
    <w:p>
      <w:pPr>
        <w:spacing w:after="0" w:line="148" w:lineRule="exact"/>
        <w:rPr>
          <w:sz w:val="20"/>
          <w:szCs w:val="20"/>
          <w:color w:val="auto"/>
        </w:rPr>
      </w:pPr>
    </w:p>
    <w:p>
      <w:pPr>
        <w:ind w:left="180" w:right="259"/>
        <w:spacing w:after="0" w:line="261" w:lineRule="auto"/>
        <w:rPr>
          <w:sz w:val="20"/>
          <w:szCs w:val="20"/>
          <w:color w:val="auto"/>
        </w:rPr>
      </w:pPr>
      <w:r>
        <w:rPr>
          <w:rFonts w:ascii="Times New Roman" w:cs="Times New Roman" w:eastAsia="Times New Roman" w:hAnsi="Times New Roman"/>
          <w:sz w:val="14"/>
          <w:szCs w:val="14"/>
          <w:color w:val="auto"/>
        </w:rPr>
        <w:t>We are also a “smaller reporting company” as defined in the Exchange Act. We may continue to be a smaller reporting company even after we are no longer an emerging growth company. We may take advantage of certain of the scaled disclosures available to smaller reporting companies until the fiscal year following the determination that our common stock held by non-affiliates is more than $250 million measured on the last business day of our second fiscal quarter, or our annual revenues are less than $100 million during the most recently completed fiscal year and our common stock held by non-affiliates is more than $700 million measured on the last business day of our second fiscal quarter.</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9</w:t>
      </w:r>
    </w:p>
    <w:p>
      <w:pPr>
        <w:sectPr>
          <w:pgSz w:w="11900" w:h="16838" w:orient="portrait"/>
          <w:cols w:equalWidth="0" w:num="1">
            <w:col w:w="9019"/>
          </w:cols>
          <w:pgMar w:left="1440" w:top="239" w:right="1440" w:bottom="1440" w:gutter="0" w:footer="0" w:header="0"/>
        </w:sectPr>
      </w:pPr>
    </w:p>
    <w:bookmarkStart w:id="37" w:name="page38"/>
    <w:bookmarkEnd w:id="37"/>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7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RISK FACTORS</w:t>
      </w:r>
    </w:p>
    <w:p>
      <w:pPr>
        <w:spacing w:after="0" w:line="180" w:lineRule="exact"/>
        <w:rPr>
          <w:sz w:val="20"/>
          <w:szCs w:val="20"/>
          <w:color w:val="auto"/>
        </w:rPr>
      </w:pPr>
    </w:p>
    <w:p>
      <w:pPr>
        <w:ind w:left="180" w:right="279"/>
        <w:spacing w:after="0" w:line="258" w:lineRule="auto"/>
        <w:rPr>
          <w:sz w:val="20"/>
          <w:szCs w:val="20"/>
          <w:color w:val="auto"/>
        </w:rPr>
      </w:pPr>
      <w:r>
        <w:rPr>
          <w:rFonts w:ascii="Times New Roman" w:cs="Times New Roman" w:eastAsia="Times New Roman" w:hAnsi="Times New Roman"/>
          <w:sz w:val="14"/>
          <w:szCs w:val="14"/>
          <w:color w:val="auto"/>
        </w:rPr>
        <w:t>Investing in our securities involves certain risks. Before you invest in any of our common stock, preferred stock, debt securities, warrants or units, in addition to the other information included in, or incorporated by reference into, this prospectus, you should carefully consider the risk factors contained in our most recent Annual Report on Form 10-K, which is on file with the SEC and is incorporated herein by reference, as updated by our subsequent annual, quarterly and other reports we file with the SEC, as well as any amendments thereto, which are incorporated by reference into this prospectus. See “</w:t>
      </w:r>
      <w:r>
        <w:rPr>
          <w:rFonts w:ascii="Times New Roman" w:cs="Times New Roman" w:eastAsia="Times New Roman" w:hAnsi="Times New Roman"/>
          <w:sz w:val="14"/>
          <w:szCs w:val="14"/>
          <w:i w:val="1"/>
          <w:iCs w:val="1"/>
          <w:color w:val="auto"/>
        </w:rPr>
        <w:t>Where You Can Find More Information</w:t>
      </w:r>
      <w:r>
        <w:rPr>
          <w:rFonts w:ascii="Times New Roman" w:cs="Times New Roman" w:eastAsia="Times New Roman" w:hAnsi="Times New Roman"/>
          <w:sz w:val="14"/>
          <w:szCs w:val="14"/>
          <w:color w:val="auto"/>
        </w:rPr>
        <w:t>” for information about how to obtain a copy of these documents. You should also carefully consider the risks and other information that may be contained in, or incorporated by reference into, any prospectus supplement relating to specific offerings of securities.</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10</w:t>
      </w:r>
    </w:p>
    <w:p>
      <w:pPr>
        <w:sectPr>
          <w:pgSz w:w="11900" w:h="16838" w:orient="portrait"/>
          <w:cols w:equalWidth="0" w:num="1">
            <w:col w:w="9019"/>
          </w:cols>
          <w:pgMar w:left="1440" w:top="239" w:right="1440" w:bottom="1440" w:gutter="0" w:footer="0" w:header="0"/>
        </w:sectPr>
      </w:pPr>
    </w:p>
    <w:bookmarkStart w:id="38" w:name="page39"/>
    <w:bookmarkEnd w:id="3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7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USE OF PROCEEDS</w:t>
      </w:r>
    </w:p>
    <w:p>
      <w:pPr>
        <w:spacing w:after="0" w:line="180" w:lineRule="exact"/>
        <w:rPr>
          <w:sz w:val="20"/>
          <w:szCs w:val="20"/>
          <w:color w:val="auto"/>
        </w:rPr>
      </w:pPr>
    </w:p>
    <w:p>
      <w:pPr>
        <w:ind w:left="180" w:right="359"/>
        <w:spacing w:after="0" w:line="264" w:lineRule="auto"/>
        <w:rPr>
          <w:sz w:val="20"/>
          <w:szCs w:val="20"/>
          <w:color w:val="auto"/>
        </w:rPr>
      </w:pPr>
      <w:r>
        <w:rPr>
          <w:rFonts w:ascii="Times New Roman" w:cs="Times New Roman" w:eastAsia="Times New Roman" w:hAnsi="Times New Roman"/>
          <w:sz w:val="14"/>
          <w:szCs w:val="14"/>
          <w:color w:val="auto"/>
        </w:rPr>
        <w:t>Unless otherwise described in the applicable prospectus supplement, we intend to use the net proceeds from the sale of any securities described in this prospectus for general corporate purposes, which may include research and development and preclinical and clinical development costs to support the advancement of our product candidates; working capital; capital expenditures; general and administrative expenses; and other general corporate purposes.</w:t>
      </w:r>
    </w:p>
    <w:p>
      <w:pPr>
        <w:spacing w:after="0" w:line="140" w:lineRule="exact"/>
        <w:rPr>
          <w:sz w:val="20"/>
          <w:szCs w:val="20"/>
          <w:color w:val="auto"/>
        </w:rPr>
      </w:pPr>
    </w:p>
    <w:p>
      <w:pPr>
        <w:ind w:left="180" w:right="359"/>
        <w:spacing w:after="0" w:line="261" w:lineRule="auto"/>
        <w:rPr>
          <w:sz w:val="20"/>
          <w:szCs w:val="20"/>
          <w:color w:val="auto"/>
        </w:rPr>
      </w:pPr>
      <w:r>
        <w:rPr>
          <w:rFonts w:ascii="Times New Roman" w:cs="Times New Roman" w:eastAsia="Times New Roman" w:hAnsi="Times New Roman"/>
          <w:sz w:val="14"/>
          <w:szCs w:val="14"/>
          <w:color w:val="auto"/>
        </w:rPr>
        <w:t>We may set forth additional information concerning our expected use of net proceeds from sales of securities in the applicable prospectus supplement relating to the specific offering. Pending use of net proceeds as described above, we may temporarily invest the net proceeds in a variety of capital preservation instruments, including high quality, investment grade instruments, certificates of deposit or direct or guaranteed obligations of the U.S. government, or may hold such proceeds as cash, until they are used for their stated purpose. We have not determined the amount of net proceeds to be used specifically for such purposes. As a result, management will retain broad discretion over the allocation of net proceeds.</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11</w:t>
      </w:r>
    </w:p>
    <w:p>
      <w:pPr>
        <w:sectPr>
          <w:pgSz w:w="11900" w:h="16838" w:orient="portrait"/>
          <w:cols w:equalWidth="0" w:num="1">
            <w:col w:w="9019"/>
          </w:cols>
          <w:pgMar w:left="1440" w:top="239" w:right="1440" w:bottom="1440" w:gutter="0" w:footer="0" w:header="0"/>
        </w:sectPr>
      </w:pPr>
    </w:p>
    <w:bookmarkStart w:id="39" w:name="page40"/>
    <w:bookmarkEnd w:id="3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7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DIVIDEND POLICY</w:t>
      </w:r>
    </w:p>
    <w:p>
      <w:pPr>
        <w:spacing w:after="0" w:line="180" w:lineRule="exact"/>
        <w:rPr>
          <w:sz w:val="20"/>
          <w:szCs w:val="20"/>
          <w:color w:val="auto"/>
        </w:rPr>
      </w:pPr>
    </w:p>
    <w:p>
      <w:pPr>
        <w:ind w:left="180" w:right="479"/>
        <w:spacing w:after="0" w:line="264" w:lineRule="auto"/>
        <w:rPr>
          <w:sz w:val="20"/>
          <w:szCs w:val="20"/>
          <w:color w:val="auto"/>
        </w:rPr>
      </w:pPr>
      <w:r>
        <w:rPr>
          <w:rFonts w:ascii="Times New Roman" w:cs="Times New Roman" w:eastAsia="Times New Roman" w:hAnsi="Times New Roman"/>
          <w:sz w:val="14"/>
          <w:szCs w:val="14"/>
          <w:color w:val="auto"/>
        </w:rPr>
        <w:t>We have never declared or paid any cash dividends on our capital stock and do not anticipate paying any cash dividends in the foreseeable future. Payment of cash dividends, if any, in the future will solely be at the discretion of our board of directors and will depend on then-existing conditions, including our financial condition, operating results, contractual restrictions, capital requirements, business prospects and other factors our board of directors may deem relevant.</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12</w:t>
      </w:r>
    </w:p>
    <w:p>
      <w:pPr>
        <w:sectPr>
          <w:pgSz w:w="11900" w:h="16838" w:orient="portrait"/>
          <w:cols w:equalWidth="0" w:num="1">
            <w:col w:w="9019"/>
          </w:cols>
          <w:pgMar w:left="1440" w:top="239" w:right="1440" w:bottom="1440" w:gutter="0" w:footer="0" w:header="0"/>
        </w:sectPr>
      </w:pPr>
    </w:p>
    <w:bookmarkStart w:id="40" w:name="page41"/>
    <w:bookmarkEnd w:id="40"/>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7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GENERAL DESCRIPTION OF SECURITIES</w:t>
      </w:r>
    </w:p>
    <w:p>
      <w:pPr>
        <w:spacing w:after="0" w:line="180" w:lineRule="exact"/>
        <w:rPr>
          <w:sz w:val="20"/>
          <w:szCs w:val="20"/>
          <w:color w:val="auto"/>
        </w:rPr>
      </w:pPr>
    </w:p>
    <w:p>
      <w:pPr>
        <w:ind w:left="180" w:right="199"/>
        <w:spacing w:after="0" w:line="261" w:lineRule="auto"/>
        <w:rPr>
          <w:sz w:val="20"/>
          <w:szCs w:val="20"/>
          <w:color w:val="auto"/>
        </w:rPr>
      </w:pPr>
      <w:r>
        <w:rPr>
          <w:rFonts w:ascii="Times New Roman" w:cs="Times New Roman" w:eastAsia="Times New Roman" w:hAnsi="Times New Roman"/>
          <w:sz w:val="14"/>
          <w:szCs w:val="14"/>
          <w:color w:val="auto"/>
        </w:rPr>
        <w:t>We may offer shares of common or preferred stock, various series of senior or subordinated debt securities, warrants, or units consisting of combinations of the foregoing, in each case from time to time under this prospectus, together with the applicable prospectus supplement, at prices and on terms to be determined by market conditions at the time of offering. This prospectus provides you with a general description of the securities we may offer. At the time we offer a particular type or series of securities, we will provide an applicable prospectus supplement describing the specific amounts, prices and other important terms of the securities, including, to the extent applicable:</w:t>
      </w:r>
    </w:p>
    <w:p>
      <w:pPr>
        <w:spacing w:after="0" w:line="68" w:lineRule="exact"/>
        <w:rPr>
          <w:sz w:val="20"/>
          <w:szCs w:val="20"/>
          <w:color w:val="auto"/>
        </w:rPr>
      </w:pPr>
    </w:p>
    <w:p>
      <w:pPr>
        <w:ind w:left="940" w:hanging="337"/>
        <w:spacing w:after="0"/>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designation or classification;</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aggregate principal amount or aggregate offering price;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or other rights;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rates and times of payment of interest, dividends or other payments;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liquidation preference;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original issue discount;</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maturity;</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ranking;</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restrictive covenants;</w:t>
      </w:r>
    </w:p>
    <w:p>
      <w:pPr>
        <w:spacing w:after="0" w:line="104" w:lineRule="exact"/>
        <w:rPr>
          <w:rFonts w:ascii="Times New Roman" w:cs="Times New Roman" w:eastAsia="Times New Roman" w:hAnsi="Times New Roman"/>
          <w:sz w:val="14"/>
          <w:szCs w:val="14"/>
          <w:color w:val="auto"/>
        </w:rPr>
      </w:pPr>
    </w:p>
    <w:p>
      <w:pPr>
        <w:jc w:val="both"/>
        <w:ind w:left="940" w:right="299" w:hanging="337"/>
        <w:spacing w:after="0" w:line="286" w:lineRule="auto"/>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redemption, conversion, exercise, exchange, settlement or sinking fund terms, including prices or rates, and any provisions for changes to or adjustments in such prices or rates and in the securities or other property receivable upon conversion, exercise, exchange or settlement;</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securities exchange or market listing arrangements; and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important U.S. federal income tax considerations.</w:t>
      </w:r>
    </w:p>
    <w:p>
      <w:pPr>
        <w:spacing w:after="0" w:line="178" w:lineRule="exact"/>
        <w:rPr>
          <w:sz w:val="20"/>
          <w:szCs w:val="20"/>
          <w:color w:val="auto"/>
        </w:rPr>
      </w:pPr>
    </w:p>
    <w:p>
      <w:pPr>
        <w:jc w:val="both"/>
        <w:ind w:left="180" w:right="559"/>
        <w:spacing w:after="0" w:line="269" w:lineRule="auto"/>
        <w:rPr>
          <w:sz w:val="20"/>
          <w:szCs w:val="20"/>
          <w:color w:val="auto"/>
        </w:rPr>
      </w:pPr>
      <w:r>
        <w:rPr>
          <w:rFonts w:ascii="Times New Roman" w:cs="Times New Roman" w:eastAsia="Times New Roman" w:hAnsi="Times New Roman"/>
          <w:sz w:val="14"/>
          <w:szCs w:val="14"/>
          <w:color w:val="auto"/>
        </w:rPr>
        <w:t>This prospectus may not be used to offer or sell securities unless accompanied by an applicable prospectus supplement. The applicable prospectus supplement may add, update or change information contained in this prospectus or in documents incorporated by reference in this prospectus. You should read the applicable prospectus supplement related to any securities being offered.</w:t>
      </w:r>
    </w:p>
    <w:p>
      <w:pPr>
        <w:spacing w:after="0" w:line="137" w:lineRule="exact"/>
        <w:rPr>
          <w:sz w:val="20"/>
          <w:szCs w:val="20"/>
          <w:color w:val="auto"/>
        </w:rPr>
      </w:pPr>
    </w:p>
    <w:p>
      <w:pPr>
        <w:ind w:left="180" w:right="259"/>
        <w:spacing w:after="0" w:line="261" w:lineRule="auto"/>
        <w:rPr>
          <w:sz w:val="20"/>
          <w:szCs w:val="20"/>
          <w:color w:val="auto"/>
        </w:rPr>
      </w:pPr>
      <w:r>
        <w:rPr>
          <w:rFonts w:ascii="Times New Roman" w:cs="Times New Roman" w:eastAsia="Times New Roman" w:hAnsi="Times New Roman"/>
          <w:sz w:val="14"/>
          <w:szCs w:val="14"/>
          <w:color w:val="auto"/>
        </w:rPr>
        <w:t>We may sell the securities to or through underwriters, dealers or agents, directly to purchasers or through a combination of any of these methods of sale or as otherwise set forth under “</w:t>
      </w:r>
      <w:r>
        <w:rPr>
          <w:rFonts w:ascii="Times New Roman" w:cs="Times New Roman" w:eastAsia="Times New Roman" w:hAnsi="Times New Roman"/>
          <w:sz w:val="14"/>
          <w:szCs w:val="14"/>
          <w:i w:val="1"/>
          <w:iCs w:val="1"/>
          <w:color w:val="auto"/>
        </w:rPr>
        <w:t>Plan of Distribution</w:t>
      </w:r>
      <w:r>
        <w:rPr>
          <w:rFonts w:ascii="Times New Roman" w:cs="Times New Roman" w:eastAsia="Times New Roman" w:hAnsi="Times New Roman"/>
          <w:sz w:val="14"/>
          <w:szCs w:val="14"/>
          <w:color w:val="auto"/>
        </w:rPr>
        <w:t>”. We and our underwriters, dealers or agents reserve the right to accept or reject all or part of any proposed purchase of securities. If we do offer securities through underwriters or agents, we will include in the applicable prospectus supplement (i) the names of the underwriters or agents and applicable fees, discounts and commissions to be paid to them; (ii) details regarding over-allotment options, if any; and (iii) net proceeds to us.</w:t>
      </w:r>
    </w:p>
    <w:p>
      <w:pPr>
        <w:spacing w:after="0" w:line="142" w:lineRule="exact"/>
        <w:rPr>
          <w:sz w:val="20"/>
          <w:szCs w:val="20"/>
          <w:color w:val="auto"/>
        </w:rPr>
      </w:pPr>
    </w:p>
    <w:p>
      <w:pPr>
        <w:ind w:left="180" w:right="199"/>
        <w:spacing w:after="0" w:line="264" w:lineRule="auto"/>
        <w:rPr>
          <w:sz w:val="20"/>
          <w:szCs w:val="20"/>
          <w:color w:val="auto"/>
        </w:rPr>
      </w:pPr>
      <w:r>
        <w:rPr>
          <w:rFonts w:ascii="Times New Roman" w:cs="Times New Roman" w:eastAsia="Times New Roman" w:hAnsi="Times New Roman"/>
          <w:sz w:val="14"/>
          <w:szCs w:val="14"/>
          <w:color w:val="auto"/>
        </w:rPr>
        <w:t>The following descriptions are not complete and may not contain all the information you should consider before investing in any securities we may offer hereunder; they are summarized from, and qualified by reference to, our amended and restated certificate of incorporation, amended and restated bylaws and the other documents referred to in the descriptions, all of which are or will be publicly filed with the SEC, as applicable. See “</w:t>
      </w:r>
      <w:r>
        <w:rPr>
          <w:rFonts w:ascii="Times New Roman" w:cs="Times New Roman" w:eastAsia="Times New Roman" w:hAnsi="Times New Roman"/>
          <w:sz w:val="14"/>
          <w:szCs w:val="14"/>
          <w:i w:val="1"/>
          <w:iCs w:val="1"/>
          <w:color w:val="auto"/>
        </w:rPr>
        <w:t>Where You Can Find</w:t>
      </w:r>
      <w:r>
        <w:rPr>
          <w:rFonts w:ascii="Times New Roman" w:cs="Times New Roman" w:eastAsia="Times New Roman" w:hAnsi="Times New Roman"/>
          <w:sz w:val="14"/>
          <w:szCs w:val="14"/>
          <w:color w:val="auto"/>
        </w:rPr>
        <w:t xml:space="preserve"> </w:t>
      </w:r>
      <w:r>
        <w:rPr>
          <w:rFonts w:ascii="Times New Roman" w:cs="Times New Roman" w:eastAsia="Times New Roman" w:hAnsi="Times New Roman"/>
          <w:sz w:val="14"/>
          <w:szCs w:val="14"/>
          <w:i w:val="1"/>
          <w:iCs w:val="1"/>
          <w:color w:val="auto"/>
        </w:rPr>
        <w:t>More Information</w:t>
      </w:r>
      <w:r>
        <w:rPr>
          <w:rFonts w:ascii="Times New Roman" w:cs="Times New Roman" w:eastAsia="Times New Roman" w:hAnsi="Times New Roman"/>
          <w:sz w:val="14"/>
          <w:szCs w:val="14"/>
          <w:color w:val="auto"/>
        </w:rPr>
        <w:t>.”</w:t>
      </w:r>
    </w:p>
    <w:p>
      <w:pPr>
        <w:spacing w:after="0" w:line="87"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13</w:t>
      </w:r>
    </w:p>
    <w:p>
      <w:pPr>
        <w:sectPr>
          <w:pgSz w:w="11900" w:h="16838" w:orient="portrait"/>
          <w:cols w:equalWidth="0" w:num="1">
            <w:col w:w="9019"/>
          </w:cols>
          <w:pgMar w:left="1440" w:top="239" w:right="1440" w:bottom="1440" w:gutter="0" w:footer="0" w:header="0"/>
        </w:sectPr>
      </w:pPr>
    </w:p>
    <w:bookmarkStart w:id="41" w:name="page42"/>
    <w:bookmarkEnd w:id="41"/>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7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DESCRIPTION OF CAPITAL STOCK</w:t>
      </w:r>
    </w:p>
    <w:p>
      <w:pPr>
        <w:spacing w:after="0" w:line="180" w:lineRule="exact"/>
        <w:rPr>
          <w:sz w:val="20"/>
          <w:szCs w:val="20"/>
          <w:color w:val="auto"/>
        </w:rPr>
      </w:pPr>
    </w:p>
    <w:p>
      <w:pPr>
        <w:ind w:left="180" w:right="239"/>
        <w:spacing w:after="0" w:line="261" w:lineRule="auto"/>
        <w:rPr>
          <w:sz w:val="20"/>
          <w:szCs w:val="20"/>
          <w:color w:val="auto"/>
        </w:rPr>
      </w:pPr>
      <w:r>
        <w:rPr>
          <w:rFonts w:ascii="Times New Roman" w:cs="Times New Roman" w:eastAsia="Times New Roman" w:hAnsi="Times New Roman"/>
          <w:sz w:val="14"/>
          <w:szCs w:val="14"/>
          <w:color w:val="auto"/>
        </w:rPr>
        <w:t>The following summary description of our common stock and preferred stock, together with the additional information we include in any applicable prospectus supplements, summarizes the material terms and provisions of our capital stock. The following description of our capital stock is intended as a summary only, does not purport to be complete and is subject to, and qualified in its entirety by, our amended and restated certificate of incorporation and amended and restated bylaws, which are exhibits to the registration statement of which this prospectus forms a part, and by applicable law. The terms of our common stock and preferred stock may also be affected by Delaware law.</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Authorized Capital Stock</w:t>
      </w:r>
    </w:p>
    <w:p>
      <w:pPr>
        <w:spacing w:after="0" w:line="95" w:lineRule="exact"/>
        <w:rPr>
          <w:sz w:val="20"/>
          <w:szCs w:val="20"/>
          <w:color w:val="auto"/>
        </w:rPr>
      </w:pPr>
    </w:p>
    <w:p>
      <w:pPr>
        <w:ind w:left="180" w:right="199"/>
        <w:spacing w:after="0" w:line="264" w:lineRule="auto"/>
        <w:rPr>
          <w:sz w:val="20"/>
          <w:szCs w:val="20"/>
          <w:color w:val="auto"/>
        </w:rPr>
      </w:pPr>
      <w:r>
        <w:rPr>
          <w:rFonts w:ascii="Times New Roman" w:cs="Times New Roman" w:eastAsia="Times New Roman" w:hAnsi="Times New Roman"/>
          <w:sz w:val="14"/>
          <w:szCs w:val="14"/>
          <w:color w:val="auto"/>
        </w:rPr>
        <w:t>Our authorized capital stock consists of 100,000,000 shares of common stock, par value $0.0001 per share, and 10,000,000 shares of preferred stock, par value $0.0001 per share, all of which preferred stock is undesignated. As of June 30, 2024, we had 29,707,997 shares of our common stock outstanding and no shares of preferred stock outstanding. Unless our board of directors determines otherwise, we will issue all shares of our capital stock in uncertificated form.</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Common Stock</w:t>
      </w:r>
    </w:p>
    <w:p>
      <w:pPr>
        <w:spacing w:after="0" w:line="95" w:lineRule="exact"/>
        <w:rPr>
          <w:sz w:val="20"/>
          <w:szCs w:val="20"/>
          <w:color w:val="auto"/>
        </w:rPr>
      </w:pPr>
    </w:p>
    <w:p>
      <w:pPr>
        <w:ind w:left="180" w:right="339"/>
        <w:spacing w:after="0" w:line="264" w:lineRule="auto"/>
        <w:rPr>
          <w:sz w:val="20"/>
          <w:szCs w:val="20"/>
          <w:color w:val="auto"/>
        </w:rPr>
      </w:pPr>
      <w:r>
        <w:rPr>
          <w:rFonts w:ascii="Times New Roman" w:cs="Times New Roman" w:eastAsia="Times New Roman" w:hAnsi="Times New Roman"/>
          <w:sz w:val="14"/>
          <w:szCs w:val="14"/>
          <w:color w:val="auto"/>
        </w:rPr>
        <w:t>The holders of our common stock are entitled to one vote for each share held on all matters submitted to a vote of the stockholders. The holders of our common stock do not have any cumulative voting rights. Holders of our common stock are entitled to receive ratably any dividends declared by our board of directors out of funds legally available for that purpose, subject to any preferential dividend rights of any outstanding preferred stock. Our common stock has no preemptive rights, conversion rights or other subscription rights or redemption or sinking fund provisions.</w:t>
      </w:r>
    </w:p>
    <w:p>
      <w:pPr>
        <w:spacing w:after="0" w:line="140" w:lineRule="exact"/>
        <w:rPr>
          <w:sz w:val="20"/>
          <w:szCs w:val="20"/>
          <w:color w:val="auto"/>
        </w:rPr>
      </w:pPr>
    </w:p>
    <w:p>
      <w:pPr>
        <w:jc w:val="both"/>
        <w:ind w:left="180" w:right="499"/>
        <w:spacing w:after="0" w:line="269" w:lineRule="auto"/>
        <w:rPr>
          <w:sz w:val="20"/>
          <w:szCs w:val="20"/>
          <w:color w:val="auto"/>
        </w:rPr>
      </w:pPr>
      <w:r>
        <w:rPr>
          <w:rFonts w:ascii="Times New Roman" w:cs="Times New Roman" w:eastAsia="Times New Roman" w:hAnsi="Times New Roman"/>
          <w:sz w:val="14"/>
          <w:szCs w:val="14"/>
          <w:color w:val="auto"/>
        </w:rPr>
        <w:t>In the event of our liquidation, dissolution or winding up, holders of our common stock will be entitled to share ratably in all assets remaining after payment of all debts and other liabilities and any liquidation preference of any outstanding preferred stock. When we issue shares of common stock under this prospectus, when issued and paid for, the shares will be validly issued, fully paid and non-assessable.</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Exchange Listing</w:t>
      </w:r>
    </w:p>
    <w:p>
      <w:pPr>
        <w:spacing w:after="0" w:line="95" w:lineRule="exact"/>
        <w:rPr>
          <w:sz w:val="20"/>
          <w:szCs w:val="20"/>
          <w:color w:val="auto"/>
        </w:rPr>
      </w:pPr>
    </w:p>
    <w:p>
      <w:pPr>
        <w:ind w:left="180" w:right="379"/>
        <w:spacing w:after="0" w:line="286" w:lineRule="auto"/>
        <w:rPr>
          <w:sz w:val="20"/>
          <w:szCs w:val="20"/>
          <w:color w:val="auto"/>
        </w:rPr>
      </w:pPr>
      <w:r>
        <w:rPr>
          <w:rFonts w:ascii="Times New Roman" w:cs="Times New Roman" w:eastAsia="Times New Roman" w:hAnsi="Times New Roman"/>
          <w:sz w:val="14"/>
          <w:szCs w:val="14"/>
          <w:color w:val="auto"/>
        </w:rPr>
        <w:t>Our common stock is listed on The Nasdaq Global Market under the symbol “IRON.” On August 7, 2024, the closing price for our common stock, as reported on The Nasdaq Global Market, was $41.27 per share. As of June 30, 2024, we had estimated approximately 19 stockholders of record.</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Transfer Agent and Registrar</w:t>
      </w:r>
    </w:p>
    <w:p>
      <w:pPr>
        <w:spacing w:after="0" w:line="95" w:lineRule="exact"/>
        <w:rPr>
          <w:sz w:val="20"/>
          <w:szCs w:val="20"/>
          <w:color w:val="auto"/>
        </w:rPr>
      </w:pPr>
    </w:p>
    <w:p>
      <w:pPr>
        <w:ind w:left="180" w:right="399"/>
        <w:spacing w:after="0" w:line="286" w:lineRule="auto"/>
        <w:rPr>
          <w:sz w:val="20"/>
          <w:szCs w:val="20"/>
          <w:color w:val="auto"/>
        </w:rPr>
      </w:pPr>
      <w:r>
        <w:rPr>
          <w:rFonts w:ascii="Times New Roman" w:cs="Times New Roman" w:eastAsia="Times New Roman" w:hAnsi="Times New Roman"/>
          <w:sz w:val="14"/>
          <w:szCs w:val="14"/>
          <w:color w:val="auto"/>
        </w:rPr>
        <w:t>The transfer agent and registrar for our common stock is Broadridge Corporate Issuer Solutions, LLC. The transfer agent and registrar’s address is 51 Mercedes Way, Edgewood, NY 11717.</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Preferred Stock</w:t>
      </w:r>
    </w:p>
    <w:p>
      <w:pPr>
        <w:spacing w:after="0" w:line="93"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95" w:lineRule="exact"/>
        <w:rPr>
          <w:sz w:val="20"/>
          <w:szCs w:val="20"/>
          <w:color w:val="auto"/>
        </w:rPr>
      </w:pPr>
    </w:p>
    <w:p>
      <w:pPr>
        <w:ind w:left="180" w:right="379"/>
        <w:spacing w:after="0" w:line="264" w:lineRule="auto"/>
        <w:rPr>
          <w:sz w:val="20"/>
          <w:szCs w:val="20"/>
          <w:color w:val="auto"/>
        </w:rPr>
      </w:pPr>
      <w:r>
        <w:rPr>
          <w:rFonts w:ascii="Times New Roman" w:cs="Times New Roman" w:eastAsia="Times New Roman" w:hAnsi="Times New Roman"/>
          <w:sz w:val="14"/>
          <w:szCs w:val="14"/>
          <w:color w:val="auto"/>
        </w:rPr>
        <w:t>Our board of directors has the authority, without further action by our stockholders, to issue up to 10,000,000 shares of preferred stock in one or more series and to fix the rights, preferences, privileges and restrictions thereof. These rights, preferences and privileges could include dividend rights, conversion rights, voting rights, terms of redemption, liquidation preferences, sinking fund terms and the number of shares constituting, or the designation of, such series, any or all of which may be greater than the rights of common stock. The issuance of</w:t>
      </w:r>
    </w:p>
    <w:p>
      <w:pPr>
        <w:spacing w:after="0" w:line="87"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14</w:t>
      </w:r>
    </w:p>
    <w:p>
      <w:pPr>
        <w:sectPr>
          <w:pgSz w:w="11900" w:h="16838" w:orient="portrait"/>
          <w:cols w:equalWidth="0" w:num="1">
            <w:col w:w="9019"/>
          </w:cols>
          <w:pgMar w:left="1440" w:top="239" w:right="1440" w:bottom="1440" w:gutter="0" w:footer="0" w:header="0"/>
        </w:sectPr>
      </w:pPr>
    </w:p>
    <w:bookmarkStart w:id="42" w:name="page43"/>
    <w:bookmarkEnd w:id="42"/>
    <w:p>
      <w:pPr>
        <w:ind w:left="180" w:right="25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7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our preferred stock could adversely affect the voting power of holders of common stock and the likelihood that such holders will receive dividend payments and payments upon our liquidation. In addition, the issuance of preferred stock could have the effect of delaying, deferring or preventing a change in control of our company or other corporate action. We have no shares of preferred stock outstanding, and we have no present plan to issue any shares of preferred stock.</w:t>
      </w:r>
    </w:p>
    <w:p>
      <w:pPr>
        <w:spacing w:after="0" w:line="140" w:lineRule="exact"/>
        <w:rPr>
          <w:sz w:val="20"/>
          <w:szCs w:val="20"/>
          <w:color w:val="auto"/>
        </w:rPr>
      </w:pPr>
    </w:p>
    <w:p>
      <w:pPr>
        <w:jc w:val="both"/>
        <w:ind w:left="180" w:right="279"/>
        <w:spacing w:after="0" w:line="269" w:lineRule="auto"/>
        <w:rPr>
          <w:sz w:val="20"/>
          <w:szCs w:val="20"/>
          <w:color w:val="auto"/>
        </w:rPr>
      </w:pPr>
      <w:r>
        <w:rPr>
          <w:rFonts w:ascii="Times New Roman" w:cs="Times New Roman" w:eastAsia="Times New Roman" w:hAnsi="Times New Roman"/>
          <w:sz w:val="14"/>
          <w:szCs w:val="14"/>
          <w:color w:val="auto"/>
        </w:rPr>
        <w:t>The purpose of authorizing our board of directors to issue preferred stock in one or more series and determine the number of shares in the series and its rights and preferences is to eliminate delays associated with a stockholder vote on specific issuances. Examples of rights and preferences that our board of directors may fix are:</w:t>
      </w:r>
    </w:p>
    <w:p>
      <w:pPr>
        <w:spacing w:after="0" w:line="63" w:lineRule="exact"/>
        <w:rPr>
          <w:sz w:val="20"/>
          <w:szCs w:val="20"/>
          <w:color w:val="auto"/>
        </w:rPr>
      </w:pPr>
    </w:p>
    <w:p>
      <w:pPr>
        <w:ind w:left="940" w:hanging="337"/>
        <w:spacing w:after="0"/>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rights;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dividend rates;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conversion rights;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terms of redemption; and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liquidation preferences.</w:t>
      </w:r>
    </w:p>
    <w:p>
      <w:pPr>
        <w:spacing w:after="0" w:line="178" w:lineRule="exact"/>
        <w:rPr>
          <w:sz w:val="20"/>
          <w:szCs w:val="20"/>
          <w:color w:val="auto"/>
        </w:rPr>
      </w:pPr>
    </w:p>
    <w:p>
      <w:pPr>
        <w:ind w:left="180" w:right="199"/>
        <w:spacing w:after="0" w:line="257" w:lineRule="auto"/>
        <w:rPr>
          <w:sz w:val="20"/>
          <w:szCs w:val="20"/>
          <w:color w:val="auto"/>
        </w:rPr>
      </w:pPr>
      <w:r>
        <w:rPr>
          <w:rFonts w:ascii="Times New Roman" w:cs="Times New Roman" w:eastAsia="Times New Roman" w:hAnsi="Times New Roman"/>
          <w:sz w:val="14"/>
          <w:szCs w:val="14"/>
          <w:color w:val="auto"/>
        </w:rPr>
        <w:t>The existence of authorized but unissued shares of undesignated preferred stock may enable our board of directors to render more difficult or to discourage an attempt to obtain control of us by means of a merger, tender offer, proxy contest or otherwise. For example, if in the due exercise of its fiduciary obligations, our board of directors were to determine that a takeover proposal is not in the best interests of us or our stockholders, our board of directors could cause shares of preferred stock to be issued without stockholder approval in one or more private offerings or other transactions that might dilute the voting or other rights of the proposed acquirer, stockholder or stockholder group. The rights of holders of our common stock described above, will be subject to, and may be adversely affected by, the rights of any preferred stock that we may designate and issue in the future. The issuance of shares of undesignated preferred stock could decrease the amount of earnings and assets available for distribution to holders of shares of common stock. The issuance may also adversely affect the rights and powers, including voting rights, of these holders and may have the effect of delaying, deterring or preventing a change in control of us.</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Additional Series of Preferred Stock</w:t>
      </w:r>
    </w:p>
    <w:p>
      <w:pPr>
        <w:spacing w:after="0" w:line="95" w:lineRule="exact"/>
        <w:rPr>
          <w:sz w:val="20"/>
          <w:szCs w:val="20"/>
          <w:color w:val="auto"/>
        </w:rPr>
      </w:pPr>
    </w:p>
    <w:p>
      <w:pPr>
        <w:ind w:left="180" w:right="199"/>
        <w:spacing w:after="0" w:line="269" w:lineRule="auto"/>
        <w:rPr>
          <w:sz w:val="20"/>
          <w:szCs w:val="20"/>
          <w:color w:val="auto"/>
        </w:rPr>
      </w:pPr>
      <w:r>
        <w:rPr>
          <w:rFonts w:ascii="Times New Roman" w:cs="Times New Roman" w:eastAsia="Times New Roman" w:hAnsi="Times New Roman"/>
          <w:sz w:val="14"/>
          <w:szCs w:val="14"/>
          <w:color w:val="auto"/>
        </w:rPr>
        <w:t>We will incorporate by reference as an exhibit to the registration statement, which includes this prospectus, the form of any certificate of designation that describes the terms of any additional series of preferred stock we may offer pursuant to this prospectus. This description and the applicable prospectus supplement will include:</w:t>
      </w:r>
    </w:p>
    <w:p>
      <w:pPr>
        <w:spacing w:after="0" w:line="63" w:lineRule="exact"/>
        <w:rPr>
          <w:sz w:val="20"/>
          <w:szCs w:val="20"/>
          <w:color w:val="auto"/>
        </w:rPr>
      </w:pPr>
    </w:p>
    <w:p>
      <w:pPr>
        <w:ind w:left="940" w:hanging="337"/>
        <w:spacing w:after="0"/>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 and stated value;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number of shares authorized;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liquidation preference per share;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dividend rate, period and payment date, and method of calculation for dividends;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dividends will be cumulative or non-cumulative and, if cumulative, the date from which dividends will accumulate;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procedures for any auction and remarketing, if any;</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a sinking fund, if any;</w:t>
      </w:r>
    </w:p>
    <w:p>
      <w:pPr>
        <w:spacing w:after="0" w:line="104" w:lineRule="exact"/>
        <w:rPr>
          <w:rFonts w:ascii="Times New Roman" w:cs="Times New Roman" w:eastAsia="Times New Roman" w:hAnsi="Times New Roman"/>
          <w:sz w:val="14"/>
          <w:szCs w:val="14"/>
          <w:color w:val="auto"/>
        </w:rPr>
      </w:pPr>
    </w:p>
    <w:p>
      <w:pPr>
        <w:ind w:left="940" w:right="319" w:hanging="337"/>
        <w:spacing w:after="0" w:line="286" w:lineRule="auto"/>
        <w:tabs>
          <w:tab w:leader="none" w:pos="940" w:val="left"/>
        </w:tabs>
        <w:numPr>
          <w:ilvl w:val="0"/>
          <w:numId w:val="1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provisions for redemption or repurchase, if applicable, and any restrictions on our ability to exercise those redemption and repurchase rights;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15</w:t>
      </w:r>
    </w:p>
    <w:p>
      <w:pPr>
        <w:sectPr>
          <w:pgSz w:w="11900" w:h="16838" w:orient="portrait"/>
          <w:cols w:equalWidth="0" w:num="1">
            <w:col w:w="9019"/>
          </w:cols>
          <w:pgMar w:left="1440" w:top="241" w:right="1440" w:bottom="1440" w:gutter="0" w:footer="0" w:header="0"/>
        </w:sectPr>
      </w:pPr>
    </w:p>
    <w:bookmarkStart w:id="43" w:name="page44"/>
    <w:bookmarkEnd w:id="43"/>
    <w:p>
      <w:pPr>
        <w:ind w:left="940" w:hanging="337"/>
        <w:spacing w:after="0"/>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7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any listing of the preferred stock on any securities exchange or market;</w:t>
      </w:r>
    </w:p>
    <w:p>
      <w:pPr>
        <w:spacing w:after="0" w:line="104" w:lineRule="exact"/>
        <w:rPr>
          <w:rFonts w:ascii="Times New Roman" w:cs="Times New Roman" w:eastAsia="Times New Roman" w:hAnsi="Times New Roman"/>
          <w:sz w:val="14"/>
          <w:szCs w:val="14"/>
          <w:color w:val="auto"/>
        </w:rPr>
      </w:pPr>
    </w:p>
    <w:p>
      <w:pPr>
        <w:ind w:left="940" w:right="819" w:hanging="337"/>
        <w:spacing w:after="0" w:line="286" w:lineRule="auto"/>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convertible into our common stock, and, if applicable, the conversion price, or how it will be calculated, and the conversion period;</w:t>
      </w:r>
    </w:p>
    <w:p>
      <w:pPr>
        <w:spacing w:after="0" w:line="50" w:lineRule="exact"/>
        <w:rPr>
          <w:rFonts w:ascii="Times New Roman" w:cs="Times New Roman" w:eastAsia="Times New Roman" w:hAnsi="Times New Roman"/>
          <w:sz w:val="14"/>
          <w:szCs w:val="14"/>
          <w:color w:val="auto"/>
        </w:rPr>
      </w:pPr>
    </w:p>
    <w:p>
      <w:pPr>
        <w:ind w:left="940" w:right="379" w:hanging="337"/>
        <w:spacing w:after="0" w:line="286" w:lineRule="auto"/>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preferred stock will be exchangeable into debt securities, and, if applicable, the exchange price, or how it will be calculated, and the exchange period;</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voting rights, if any, of the preferred stock;</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preemptive rights, if any;</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or other assignment, if any;</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interests in the preferred stock will be represented by depositary shares;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any material United States federal income tax considerations applicable to the preferred stock;</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relative ranking and preferences of the preferred stock as to dividend rights and rights if we liquidate, dissolve or wind up our affairs;</w:t>
      </w:r>
    </w:p>
    <w:p>
      <w:pPr>
        <w:spacing w:after="0" w:line="104" w:lineRule="exact"/>
        <w:rPr>
          <w:rFonts w:ascii="Times New Roman" w:cs="Times New Roman" w:eastAsia="Times New Roman" w:hAnsi="Times New Roman"/>
          <w:sz w:val="14"/>
          <w:szCs w:val="14"/>
          <w:color w:val="auto"/>
        </w:rPr>
      </w:pPr>
    </w:p>
    <w:p>
      <w:pPr>
        <w:ind w:left="940" w:right="319" w:hanging="337"/>
        <w:spacing w:after="0" w:line="286" w:lineRule="auto"/>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limitations on issuance of any class or series of preferred stock ranking senior to or on a parity with the series of preferred stock as to dividend rights and rights if we liquidate, dissolve or wind up our affairs; and</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1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preferred stock.</w:t>
      </w:r>
    </w:p>
    <w:p>
      <w:pPr>
        <w:spacing w:after="0" w:line="178" w:lineRule="exact"/>
        <w:rPr>
          <w:sz w:val="20"/>
          <w:szCs w:val="20"/>
          <w:color w:val="auto"/>
        </w:rPr>
      </w:pPr>
    </w:p>
    <w:p>
      <w:pPr>
        <w:ind w:left="180" w:right="239"/>
        <w:spacing w:after="0" w:line="286" w:lineRule="auto"/>
        <w:rPr>
          <w:sz w:val="20"/>
          <w:szCs w:val="20"/>
          <w:color w:val="auto"/>
        </w:rPr>
      </w:pPr>
      <w:r>
        <w:rPr>
          <w:rFonts w:ascii="Times New Roman" w:cs="Times New Roman" w:eastAsia="Times New Roman" w:hAnsi="Times New Roman"/>
          <w:sz w:val="14"/>
          <w:szCs w:val="14"/>
          <w:color w:val="auto"/>
        </w:rPr>
        <w:t>When we issue shares of preferred stock under this prospectus, the shares will fully be paid and nonassessable and will not be subject to any preemptive or similar rights.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Registration Rights</w:t>
      </w:r>
    </w:p>
    <w:p>
      <w:pPr>
        <w:spacing w:after="0" w:line="95" w:lineRule="exact"/>
        <w:rPr>
          <w:sz w:val="20"/>
          <w:szCs w:val="20"/>
          <w:color w:val="auto"/>
        </w:rPr>
      </w:pPr>
    </w:p>
    <w:p>
      <w:pPr>
        <w:ind w:left="180" w:right="319"/>
        <w:spacing w:after="0" w:line="264" w:lineRule="auto"/>
        <w:rPr>
          <w:sz w:val="20"/>
          <w:szCs w:val="20"/>
          <w:color w:val="auto"/>
        </w:rPr>
      </w:pPr>
      <w:r>
        <w:rPr>
          <w:rFonts w:ascii="Times New Roman" w:cs="Times New Roman" w:eastAsia="Times New Roman" w:hAnsi="Times New Roman"/>
          <w:sz w:val="14"/>
          <w:szCs w:val="14"/>
          <w:color w:val="auto"/>
        </w:rPr>
        <w:t>The holders of an estimated 5.0 million shares of our common stock, or their transferees, are entitled to the registration rights set forth below with respect to registration of the resale of such shares under the Securities Act pursuant to the investors’ rights agreement, by and among us and certain of our stockholders. Generally, in an underwritten offering, the managing underwriter, if any, has the right, subject to specified conditions and limitations, to limit the number of shares the holders may include.</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2022 Registration Rights Agreement</w:t>
      </w:r>
    </w:p>
    <w:p>
      <w:pPr>
        <w:spacing w:after="0" w:line="95" w:lineRule="exact"/>
        <w:rPr>
          <w:sz w:val="20"/>
          <w:szCs w:val="20"/>
          <w:color w:val="auto"/>
        </w:rPr>
      </w:pPr>
    </w:p>
    <w:p>
      <w:pPr>
        <w:jc w:val="both"/>
        <w:ind w:left="180" w:right="679"/>
        <w:spacing w:after="0" w:line="269" w:lineRule="auto"/>
        <w:rPr>
          <w:sz w:val="20"/>
          <w:szCs w:val="20"/>
          <w:color w:val="auto"/>
        </w:rPr>
      </w:pPr>
      <w:r>
        <w:rPr>
          <w:rFonts w:ascii="Times New Roman" w:cs="Times New Roman" w:eastAsia="Times New Roman" w:hAnsi="Times New Roman"/>
          <w:sz w:val="14"/>
          <w:szCs w:val="14"/>
          <w:color w:val="auto"/>
        </w:rPr>
        <w:t>We are party to a registration rights agreement, or the 2022 Registration Rights Agreement, with certain holders of our capital stock, or the 2022 Investors, pursuant to which we (i) agreed to register for resale shares of our common stock issued to the 2022 Investors pursuant to the Merger Agreement, or the Registrable Securities, and (ii) granted certain other registration rights to the 2022 Investors.</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 particular, the 2022 Registration Rights Agreement provides for the following registration rights:</w:t>
      </w:r>
    </w:p>
    <w:p>
      <w:pPr>
        <w:spacing w:after="0" w:line="102" w:lineRule="exact"/>
        <w:rPr>
          <w:sz w:val="20"/>
          <w:szCs w:val="20"/>
          <w:color w:val="auto"/>
        </w:rPr>
      </w:pPr>
    </w:p>
    <w:p>
      <w:pPr>
        <w:ind w:left="940" w:right="259" w:hanging="337"/>
        <w:spacing w:after="0" w:line="271" w:lineRule="auto"/>
        <w:tabs>
          <w:tab w:leader="none" w:pos="9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Shelf registration rights</w:t>
      </w:r>
      <w:r>
        <w:rPr>
          <w:rFonts w:ascii="Times New Roman" w:cs="Times New Roman" w:eastAsia="Times New Roman" w:hAnsi="Times New Roman"/>
          <w:sz w:val="14"/>
          <w:szCs w:val="14"/>
          <w:color w:val="auto"/>
        </w:rPr>
        <w:t>. Following the completion of the merger as contemplated by the Merger Agreement, we were required to file with</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the SEC, a shelf registration statement registering the resale of the Registrable Securities, and use our commercially reasonable efforts to have such registration statement declared effective by the SEC as promptly as possible.</w:t>
      </w:r>
    </w:p>
    <w:p>
      <w:pPr>
        <w:spacing w:after="0" w:line="58" w:lineRule="exact"/>
        <w:rPr>
          <w:rFonts w:ascii="Times New Roman" w:cs="Times New Roman" w:eastAsia="Times New Roman" w:hAnsi="Times New Roman"/>
          <w:sz w:val="14"/>
          <w:szCs w:val="14"/>
          <w:color w:val="auto"/>
        </w:rPr>
      </w:pPr>
    </w:p>
    <w:p>
      <w:pPr>
        <w:ind w:left="940" w:right="219" w:hanging="337"/>
        <w:spacing w:after="0" w:line="262" w:lineRule="auto"/>
        <w:tabs>
          <w:tab w:leader="none" w:pos="940" w:val="left"/>
        </w:tabs>
        <w:numPr>
          <w:ilvl w:val="0"/>
          <w:numId w:val="1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Expenses and indemnification</w:t>
      </w:r>
      <w:r>
        <w:rPr>
          <w:rFonts w:ascii="Times New Roman" w:cs="Times New Roman" w:eastAsia="Times New Roman" w:hAnsi="Times New Roman"/>
          <w:sz w:val="14"/>
          <w:szCs w:val="14"/>
          <w:color w:val="auto"/>
        </w:rPr>
        <w:t>. The fees, costs and expenses of registrations pursuant to the registration rights granted to the 2022 Investors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under the 2022 Registration Rights Agreement will be borne by us. The 2022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88"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16</w:t>
      </w:r>
    </w:p>
    <w:p>
      <w:pPr>
        <w:sectPr>
          <w:pgSz w:w="11900" w:h="16838" w:orient="portrait"/>
          <w:cols w:equalWidth="0" w:num="1">
            <w:col w:w="9019"/>
          </w:cols>
          <w:pgMar w:left="1440" w:top="241" w:right="1440" w:bottom="1440" w:gutter="0" w:footer="0" w:header="0"/>
        </w:sectPr>
      </w:pPr>
    </w:p>
    <w:bookmarkStart w:id="44" w:name="page45"/>
    <w:bookmarkEnd w:id="44"/>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7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2021 Registration Rights Agreement</w:t>
      </w:r>
    </w:p>
    <w:p>
      <w:pPr>
        <w:spacing w:after="0" w:line="95" w:lineRule="exact"/>
        <w:rPr>
          <w:sz w:val="20"/>
          <w:szCs w:val="20"/>
          <w:color w:val="auto"/>
        </w:rPr>
      </w:pPr>
    </w:p>
    <w:p>
      <w:pPr>
        <w:ind w:left="180" w:right="239"/>
        <w:spacing w:after="0" w:line="261" w:lineRule="auto"/>
        <w:rPr>
          <w:sz w:val="20"/>
          <w:szCs w:val="20"/>
          <w:color w:val="auto"/>
        </w:rPr>
      </w:pPr>
      <w:r>
        <w:rPr>
          <w:rFonts w:ascii="Times New Roman" w:cs="Times New Roman" w:eastAsia="Times New Roman" w:hAnsi="Times New Roman"/>
          <w:sz w:val="14"/>
          <w:szCs w:val="14"/>
          <w:color w:val="auto"/>
        </w:rPr>
        <w:t>We are a party to a registration rights agreement, or the 2021 Registration Rights Agreement, pursuant to which, among other things, certain holders of capital stock, including certain investors of FS Development Corporation, a Delaware corporation, or the FSDC Investors, certain entities affiliated with Atlas Ventures, entities affiliated with Lightstone Ventures, OrbiMed Private Investments VI, LP, and Wu Capital Investment LLC, or collectively, the Major Investors and together with the FSDC Investors, the Investors, were granted certain registration rights with respect to Registrable Securities, as defined in the 2021 Registration Rights Agreement, held by them, subject to certain conditions and limitations.</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 particular, the 2021 Registration Rights Agreement provides for the following registration rights:</w:t>
      </w:r>
    </w:p>
    <w:p>
      <w:pPr>
        <w:spacing w:after="0" w:line="102" w:lineRule="exact"/>
        <w:rPr>
          <w:sz w:val="20"/>
          <w:szCs w:val="20"/>
          <w:color w:val="auto"/>
        </w:rPr>
      </w:pPr>
    </w:p>
    <w:p>
      <w:pPr>
        <w:ind w:left="940" w:right="199" w:hanging="337"/>
        <w:spacing w:after="0" w:line="262" w:lineRule="auto"/>
        <w:tabs>
          <w:tab w:leader="none" w:pos="9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Demand registration rights</w:t>
      </w:r>
      <w:r>
        <w:rPr>
          <w:rFonts w:ascii="Times New Roman" w:cs="Times New Roman" w:eastAsia="Times New Roman" w:hAnsi="Times New Roman"/>
          <w:sz w:val="14"/>
          <w:szCs w:val="14"/>
          <w:color w:val="auto"/>
        </w:rPr>
        <w:t>. We are required, upon the written request of either (i) FSDC Investors holding a majority of the Registrable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Securities held by all FSDC Investors or (ii) Major Investors holding a majority of the Registrable Securities held by all Major Investors, to file a registration statement under the Securities Act on Form S-1 or any similar long-form registration statement or, if then available, on Form S-3, and use reasonable best efforts to effect the registration of all or part of their registrable securities requested to be included in such registration by the Investors.</w:t>
      </w:r>
    </w:p>
    <w:p>
      <w:pPr>
        <w:spacing w:after="0" w:line="64" w:lineRule="exact"/>
        <w:rPr>
          <w:rFonts w:ascii="Times New Roman" w:cs="Times New Roman" w:eastAsia="Times New Roman" w:hAnsi="Times New Roman"/>
          <w:sz w:val="14"/>
          <w:szCs w:val="14"/>
          <w:color w:val="auto"/>
        </w:rPr>
      </w:pPr>
    </w:p>
    <w:p>
      <w:pPr>
        <w:ind w:left="940" w:right="259" w:hanging="337"/>
        <w:spacing w:after="0" w:line="265" w:lineRule="auto"/>
        <w:tabs>
          <w:tab w:leader="none" w:pos="9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Shelf registration rights</w:t>
      </w:r>
      <w:r>
        <w:rPr>
          <w:rFonts w:ascii="Times New Roman" w:cs="Times New Roman" w:eastAsia="Times New Roman" w:hAnsi="Times New Roman"/>
          <w:sz w:val="14"/>
          <w:szCs w:val="14"/>
          <w:color w:val="auto"/>
        </w:rPr>
        <w:t>. A shelf registration statement pursuant to Rule 415 of Securities Act, was filed on February 17, 2021 and became</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effective on April 28, 2021. At any time we have an effective shelf registration statement, if we receive a request from Investors holding registrable securities with an estimated market value of at least $5,000,000, to effect an underwritten shelf takedown, we shall use our reasonable best efforts to as expeditiously as possible effect the underwritten shelf takedown.</w:t>
      </w:r>
    </w:p>
    <w:p>
      <w:pPr>
        <w:spacing w:after="0" w:line="62" w:lineRule="exact"/>
        <w:rPr>
          <w:rFonts w:ascii="Times New Roman" w:cs="Times New Roman" w:eastAsia="Times New Roman" w:hAnsi="Times New Roman"/>
          <w:sz w:val="14"/>
          <w:szCs w:val="14"/>
          <w:color w:val="auto"/>
        </w:rPr>
      </w:pPr>
    </w:p>
    <w:p>
      <w:pPr>
        <w:ind w:left="940" w:right="399" w:hanging="337"/>
        <w:spacing w:after="0" w:line="260" w:lineRule="auto"/>
        <w:tabs>
          <w:tab w:leader="none" w:pos="9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 xml:space="preserve">Limits on demand registration rights and shelf registration rights. </w:t>
      </w:r>
      <w:r>
        <w:rPr>
          <w:rFonts w:ascii="Times New Roman" w:cs="Times New Roman" w:eastAsia="Times New Roman" w:hAnsi="Times New Roman"/>
          <w:sz w:val="14"/>
          <w:szCs w:val="14"/>
          <w:color w:val="auto"/>
        </w:rPr>
        <w:t>We shall not be obligated to effect: (a) more than one (1) demand</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registration or underwritten shelf takedown during any six-month period; (b) any demand registration at any time there is an effective resale shelf registration statement on file with the SEC; (c) more than two underwritten demand registrations in respect of all registrable securities held by the FSDC Investors, including those made under a shelf registration statement, or (d) more than two underwritten demand registrations in respect of all registrable securities held by the Major Investors, including those made under a shelf registration statement.</w:t>
      </w:r>
    </w:p>
    <w:p>
      <w:pPr>
        <w:spacing w:after="0" w:line="66" w:lineRule="exact"/>
        <w:rPr>
          <w:rFonts w:ascii="Times New Roman" w:cs="Times New Roman" w:eastAsia="Times New Roman" w:hAnsi="Times New Roman"/>
          <w:sz w:val="14"/>
          <w:szCs w:val="14"/>
          <w:color w:val="auto"/>
        </w:rPr>
      </w:pPr>
    </w:p>
    <w:p>
      <w:pPr>
        <w:ind w:left="940" w:right="319" w:hanging="337"/>
        <w:spacing w:after="0" w:line="265" w:lineRule="auto"/>
        <w:tabs>
          <w:tab w:leader="none" w:pos="9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Piggyback registration rights</w:t>
      </w:r>
      <w:r>
        <w:rPr>
          <w:rFonts w:ascii="Times New Roman" w:cs="Times New Roman" w:eastAsia="Times New Roman" w:hAnsi="Times New Roman"/>
          <w:sz w:val="14"/>
          <w:szCs w:val="14"/>
          <w:color w:val="auto"/>
        </w:rPr>
        <w:t>. At any time after the first anniversary of the closing date, if we propose to file a registration statement to</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register any of our equity securities under the Securities Act or to conduct a public offering, either for our own account or for the account of any other person, subject to certain exceptions, the Investors are entitled to include their registrable securities in such registration statement, subject to customary cut-back rights.</w:t>
      </w:r>
    </w:p>
    <w:p>
      <w:pPr>
        <w:spacing w:after="0" w:line="62" w:lineRule="exact"/>
        <w:rPr>
          <w:rFonts w:ascii="Times New Roman" w:cs="Times New Roman" w:eastAsia="Times New Roman" w:hAnsi="Times New Roman"/>
          <w:sz w:val="14"/>
          <w:szCs w:val="14"/>
          <w:color w:val="auto"/>
        </w:rPr>
      </w:pPr>
    </w:p>
    <w:p>
      <w:pPr>
        <w:ind w:left="940" w:right="399" w:hanging="337"/>
        <w:spacing w:after="0" w:line="262" w:lineRule="auto"/>
        <w:tabs>
          <w:tab w:leader="none" w:pos="9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Expenses and indemnification</w:t>
      </w:r>
      <w:r>
        <w:rPr>
          <w:rFonts w:ascii="Times New Roman" w:cs="Times New Roman" w:eastAsia="Times New Roman" w:hAnsi="Times New Roman"/>
          <w:sz w:val="14"/>
          <w:szCs w:val="14"/>
          <w:color w:val="auto"/>
        </w:rPr>
        <w:t>. All fees, costs and expenses of underwritten registrations will be borne by us and underwriting discounts</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selling commissions will be borne by the holders of the shares being registered. The 2021 Registration Rights Agreement contains customary cross-indemnification provisions, under which we are obligated to indemnify holders of registrable securities in the event of material misstatements or omissions in the registration statement attributable to us, and holders of registrable securities are obligated to indemnify us for material misstatements or omissions attributable to them.</w:t>
      </w:r>
    </w:p>
    <w:p>
      <w:pPr>
        <w:spacing w:after="0" w:line="64" w:lineRule="exact"/>
        <w:rPr>
          <w:rFonts w:ascii="Times New Roman" w:cs="Times New Roman" w:eastAsia="Times New Roman" w:hAnsi="Times New Roman"/>
          <w:sz w:val="14"/>
          <w:szCs w:val="14"/>
          <w:color w:val="auto"/>
        </w:rPr>
      </w:pPr>
    </w:p>
    <w:p>
      <w:pPr>
        <w:ind w:left="940" w:right="219" w:hanging="337"/>
        <w:spacing w:after="0" w:line="260" w:lineRule="auto"/>
        <w:tabs>
          <w:tab w:leader="none" w:pos="940" w:val="left"/>
        </w:tabs>
        <w:numPr>
          <w:ilvl w:val="0"/>
          <w:numId w:val="2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i w:val="1"/>
          <w:iCs w:val="1"/>
          <w:color w:val="auto"/>
        </w:rPr>
        <w:t>Registrable securities</w:t>
      </w:r>
      <w:r>
        <w:rPr>
          <w:rFonts w:ascii="Times New Roman" w:cs="Times New Roman" w:eastAsia="Times New Roman" w:hAnsi="Times New Roman"/>
          <w:sz w:val="14"/>
          <w:szCs w:val="14"/>
          <w:color w:val="auto"/>
        </w:rPr>
        <w:t>. Securities of ours shall cease to be registrable securities upon the earlier of (i) tenth anniversary of February 5, 2021</w:t>
      </w:r>
      <w:r>
        <w:rPr>
          <w:rFonts w:ascii="Times New Roman" w:cs="Times New Roman" w:eastAsia="Times New Roman" w:hAnsi="Times New Roman"/>
          <w:sz w:val="14"/>
          <w:szCs w:val="14"/>
          <w:i w:val="1"/>
          <w:iCs w:val="1"/>
          <w:color w:val="auto"/>
        </w:rPr>
        <w:t xml:space="preserve"> </w:t>
      </w:r>
      <w:r>
        <w:rPr>
          <w:rFonts w:ascii="Times New Roman" w:cs="Times New Roman" w:eastAsia="Times New Roman" w:hAnsi="Times New Roman"/>
          <w:sz w:val="14"/>
          <w:szCs w:val="14"/>
          <w:color w:val="auto"/>
        </w:rPr>
        <w:t>and (ii) the date as of which (1) a registration statement with respect to the sale of such securities shall have become effective under the Securities Act and such securities shall have been disposed of in accordance with such registration statement, or (2) such securities shall have been transferred pursuant to Rule 144 of the Securities Act, or with respect to any Investor, securities of such Investor shall cease to be registrable securities, on the earlier of (x) the date such Investor ceases to hold at least 1% of the registrable securities or (y) if such Investor is an individual and such Investor is a director or an executive officer of Disc or FS Development</w:t>
      </w:r>
    </w:p>
    <w:p>
      <w:pPr>
        <w:spacing w:after="0" w:line="90"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17</w:t>
      </w:r>
    </w:p>
    <w:p>
      <w:pPr>
        <w:sectPr>
          <w:pgSz w:w="11900" w:h="16838" w:orient="portrait"/>
          <w:cols w:equalWidth="0" w:num="1">
            <w:col w:w="9019"/>
          </w:cols>
          <w:pgMar w:left="1440" w:top="239" w:right="1440" w:bottom="1440" w:gutter="0" w:footer="0" w:header="0"/>
        </w:sectPr>
      </w:pPr>
    </w:p>
    <w:bookmarkStart w:id="45" w:name="page46"/>
    <w:bookmarkEnd w:id="45"/>
    <w:p>
      <w:pPr>
        <w:ind w:left="960" w:right="259"/>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8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Corporation as of immediately prior to the consummation of the business combination, the date when such Investor is permitted to sell the Registrable Securities under Rule 144 (or any similar provision) under the Securities Act without limitation on the amount of securities sold or the manner of sale.</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Authorized but Unissued Capital Stock</w:t>
      </w:r>
    </w:p>
    <w:p>
      <w:pPr>
        <w:spacing w:after="0" w:line="95" w:lineRule="exact"/>
        <w:rPr>
          <w:sz w:val="20"/>
          <w:szCs w:val="20"/>
          <w:color w:val="auto"/>
        </w:rPr>
      </w:pPr>
    </w:p>
    <w:p>
      <w:pPr>
        <w:ind w:left="180" w:right="259"/>
        <w:spacing w:after="0" w:line="264" w:lineRule="auto"/>
        <w:rPr>
          <w:sz w:val="20"/>
          <w:szCs w:val="20"/>
          <w:color w:val="auto"/>
        </w:rPr>
      </w:pPr>
      <w:r>
        <w:rPr>
          <w:rFonts w:ascii="Times New Roman" w:cs="Times New Roman" w:eastAsia="Times New Roman" w:hAnsi="Times New Roman"/>
          <w:sz w:val="14"/>
          <w:szCs w:val="14"/>
          <w:color w:val="auto"/>
        </w:rPr>
        <w:t>The Delaware General Corporation Law does not require stockholder approval for any issuance of authorized shares. However, the listing requirements of Nasdaq, which would apply so long as our common stock remains listed on Nasdaq, require stockholder approval of certain issuances equal to or exceeding 20% of the then outstanding voting power or then outstanding number of shares of common stock. These additional shares may be used for a variety of corporate purposes, including future public offerings, to raise additional capital or to facilitate acquisitions.</w:t>
      </w:r>
    </w:p>
    <w:p>
      <w:pPr>
        <w:spacing w:after="0" w:line="140" w:lineRule="exact"/>
        <w:rPr>
          <w:sz w:val="20"/>
          <w:szCs w:val="20"/>
          <w:color w:val="auto"/>
        </w:rPr>
      </w:pPr>
    </w:p>
    <w:p>
      <w:pPr>
        <w:ind w:left="180" w:right="219"/>
        <w:spacing w:after="0" w:line="264" w:lineRule="auto"/>
        <w:rPr>
          <w:sz w:val="20"/>
          <w:szCs w:val="20"/>
          <w:color w:val="auto"/>
        </w:rPr>
      </w:pPr>
      <w:r>
        <w:rPr>
          <w:rFonts w:ascii="Times New Roman" w:cs="Times New Roman" w:eastAsia="Times New Roman" w:hAnsi="Times New Roman"/>
          <w:sz w:val="14"/>
          <w:szCs w:val="14"/>
          <w:color w:val="auto"/>
        </w:rPr>
        <w:t>One of the effects of the existence of unissued and unreserved common stock or preferred stock may be to enable our board of directors to issue shares to persons friendly to current management, which issuance could render more difficult or discourage an attempt to obtain control of our company by means of a merger, tender offer, proxy contest or otherwise, and thereby protect the continuity of our management and possibly deprive our stockholders of opportunities to sell their shares of common stock at prices higher than prevailing market prices.</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Anti-Takeover Effects of our Amended and Restated Certificate of Incorporation and Amended and Restated Bylaws and Delaware Law</w:t>
      </w:r>
    </w:p>
    <w:p>
      <w:pPr>
        <w:spacing w:after="0" w:line="95" w:lineRule="exact"/>
        <w:rPr>
          <w:sz w:val="20"/>
          <w:szCs w:val="20"/>
          <w:color w:val="auto"/>
        </w:rPr>
      </w:pPr>
    </w:p>
    <w:p>
      <w:pPr>
        <w:ind w:left="180" w:right="199"/>
        <w:spacing w:after="0" w:line="261" w:lineRule="auto"/>
        <w:rPr>
          <w:sz w:val="20"/>
          <w:szCs w:val="20"/>
          <w:color w:val="auto"/>
        </w:rPr>
      </w:pPr>
      <w:r>
        <w:rPr>
          <w:rFonts w:ascii="Times New Roman" w:cs="Times New Roman" w:eastAsia="Times New Roman" w:hAnsi="Times New Roman"/>
          <w:sz w:val="14"/>
          <w:szCs w:val="14"/>
          <w:color w:val="auto"/>
        </w:rPr>
        <w:t>Certain provisions of Delaware law and our amended and restated certificate of incorporation and our amended and restated bylaws contain provisions that could make the following transactions more difficult: acquisition of us by means of a tender offer; acquisition of us by means of a proxy contest or otherwise; or removal of our incumbent officers and directors. It is possible that these provisions could make it more difficult to accomplish or could deter transactions that stockholders may otherwise consider to be in their best interest or in our best interests, including transactions that might result in a premium over the market price for our shares.</w:t>
      </w:r>
    </w:p>
    <w:p>
      <w:pPr>
        <w:spacing w:after="0" w:line="142" w:lineRule="exact"/>
        <w:rPr>
          <w:sz w:val="20"/>
          <w:szCs w:val="20"/>
          <w:color w:val="auto"/>
        </w:rPr>
      </w:pPr>
    </w:p>
    <w:p>
      <w:pPr>
        <w:ind w:left="180" w:right="419"/>
        <w:spacing w:after="0" w:line="264" w:lineRule="auto"/>
        <w:rPr>
          <w:sz w:val="20"/>
          <w:szCs w:val="20"/>
          <w:color w:val="auto"/>
        </w:rPr>
      </w:pPr>
      <w:r>
        <w:rPr>
          <w:rFonts w:ascii="Times New Roman" w:cs="Times New Roman" w:eastAsia="Times New Roman" w:hAnsi="Times New Roman"/>
          <w:sz w:val="14"/>
          <w:szCs w:val="14"/>
          <w:color w:val="auto"/>
        </w:rPr>
        <w:t>These provisions, summarized below, are expected to discourage coercive takeover practices and inadequate takeover bids. These provisions are also designed to encourage persons seeking to acquire control of us to first negotiate with our board of directors. We believe that the benefits of increased protection of our potential ability to negotiate with the proponent of an unfriendly or unsolicited proposal to acquire or restructure us outweigh the disadvantages of discouraging these proposals because negotiation of these proposals could result in an improvement of their terms.</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Delaware anti-takeover statute</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We are not governed by Section 203 of the Delaware General Corporation Law.</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Undesignated preferred stock</w:t>
      </w:r>
    </w:p>
    <w:p>
      <w:pPr>
        <w:spacing w:after="0" w:line="95" w:lineRule="exact"/>
        <w:rPr>
          <w:sz w:val="20"/>
          <w:szCs w:val="20"/>
          <w:color w:val="auto"/>
        </w:rPr>
      </w:pPr>
    </w:p>
    <w:p>
      <w:pPr>
        <w:ind w:left="180" w:right="199"/>
        <w:spacing w:after="0" w:line="269" w:lineRule="auto"/>
        <w:rPr>
          <w:sz w:val="20"/>
          <w:szCs w:val="20"/>
          <w:color w:val="auto"/>
        </w:rPr>
      </w:pPr>
      <w:r>
        <w:rPr>
          <w:rFonts w:ascii="Times New Roman" w:cs="Times New Roman" w:eastAsia="Times New Roman" w:hAnsi="Times New Roman"/>
          <w:sz w:val="14"/>
          <w:szCs w:val="14"/>
          <w:color w:val="auto"/>
        </w:rPr>
        <w:t>The ability to authorize undesignated preferred stock makes it possible for our board of directors to issue preferred stock with voting or other rights or preferences that could impede the success of any attempt to effect a change in control of our company. These and other provisions may have the effect of deterring hostile takeovers or delaying changes in control or management of our company.</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Special stockholder meetings</w:t>
      </w:r>
    </w:p>
    <w:p>
      <w:pPr>
        <w:spacing w:after="0" w:line="95" w:lineRule="exact"/>
        <w:rPr>
          <w:sz w:val="20"/>
          <w:szCs w:val="20"/>
          <w:color w:val="auto"/>
        </w:rPr>
      </w:pPr>
    </w:p>
    <w:p>
      <w:pPr>
        <w:ind w:left="180" w:right="739"/>
        <w:spacing w:after="0" w:line="286" w:lineRule="auto"/>
        <w:rPr>
          <w:sz w:val="20"/>
          <w:szCs w:val="20"/>
          <w:color w:val="auto"/>
        </w:rPr>
      </w:pPr>
      <w:r>
        <w:rPr>
          <w:rFonts w:ascii="Times New Roman" w:cs="Times New Roman" w:eastAsia="Times New Roman" w:hAnsi="Times New Roman"/>
          <w:sz w:val="14"/>
          <w:szCs w:val="14"/>
          <w:color w:val="auto"/>
        </w:rPr>
        <w:t>Our amended and restated certificate of incorporation provides that a special meeting of stockholders may be called at any time by our board of directors, but such special meetings may not be called by the stockholders or any other person or persons.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18</w:t>
      </w:r>
    </w:p>
    <w:p>
      <w:pPr>
        <w:sectPr>
          <w:pgSz w:w="11900" w:h="16838" w:orient="portrait"/>
          <w:cols w:equalWidth="0" w:num="1">
            <w:col w:w="9019"/>
          </w:cols>
          <w:pgMar w:left="1440" w:top="241" w:right="1440" w:bottom="1440" w:gutter="0" w:footer="0" w:header="0"/>
        </w:sectPr>
      </w:pPr>
    </w:p>
    <w:bookmarkStart w:id="46" w:name="page47"/>
    <w:bookmarkEnd w:id="46"/>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8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Requirements for advance notification of stockholder nominations and proposals</w:t>
      </w:r>
    </w:p>
    <w:p>
      <w:pPr>
        <w:spacing w:after="0" w:line="95" w:lineRule="exact"/>
        <w:rPr>
          <w:sz w:val="20"/>
          <w:szCs w:val="20"/>
          <w:color w:val="auto"/>
        </w:rPr>
      </w:pPr>
    </w:p>
    <w:p>
      <w:pPr>
        <w:ind w:left="180" w:right="199"/>
        <w:spacing w:after="0" w:line="286" w:lineRule="auto"/>
        <w:rPr>
          <w:sz w:val="20"/>
          <w:szCs w:val="20"/>
          <w:color w:val="auto"/>
        </w:rPr>
      </w:pPr>
      <w:r>
        <w:rPr>
          <w:rFonts w:ascii="Times New Roman" w:cs="Times New Roman" w:eastAsia="Times New Roman" w:hAnsi="Times New Roman"/>
          <w:sz w:val="14"/>
          <w:szCs w:val="14"/>
          <w:color w:val="auto"/>
        </w:rPr>
        <w:t>Our amended and restated bylaws contain advance notice procedures with respect to stockholder proposals and the nomination of candidates for election as directors, other than nominations made by or at the direction of our board of directors or a committee of our board of directors.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No stockholder action by written consent</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Our amended and restated certificate of incorporation does not allow stockholders to act by written consent without a meeting.</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Classified board; election and removal of directors; filling vacancies</w:t>
      </w:r>
    </w:p>
    <w:p>
      <w:pPr>
        <w:spacing w:after="0" w:line="180" w:lineRule="exact"/>
        <w:rPr>
          <w:sz w:val="20"/>
          <w:szCs w:val="20"/>
          <w:color w:val="auto"/>
        </w:rPr>
      </w:pPr>
    </w:p>
    <w:p>
      <w:pPr>
        <w:ind w:left="180" w:right="279"/>
        <w:spacing w:after="0" w:line="258" w:lineRule="auto"/>
        <w:rPr>
          <w:sz w:val="20"/>
          <w:szCs w:val="20"/>
          <w:color w:val="auto"/>
        </w:rPr>
      </w:pPr>
      <w:r>
        <w:rPr>
          <w:rFonts w:ascii="Times New Roman" w:cs="Times New Roman" w:eastAsia="Times New Roman" w:hAnsi="Times New Roman"/>
          <w:sz w:val="14"/>
          <w:szCs w:val="14"/>
          <w:color w:val="auto"/>
        </w:rPr>
        <w:t>Our board of directors is divided into three classes, divided as nearly as equal in number as possible. The directors in each class serve for a three-year term, one class being elected each year by our stockholders, with staggered three-year terms. Only one class of directors is elected at each annual meeting of our stockholders, with the other classes continuing for the remainder of their respective three-year terms. Because our stockholders do not have cumulative voting rights, our stockholders holding a majority of the shares of common stock outstanding will be able to elect all of our directors. Our amended and restated certificate of incorporation provides for the removal of any of our directors only for cause and requires a stockholder vote by the holders of at least 66-2/3% of the voting power of the then outstanding voting stock. Any vacancy on our board of directors, however occurring, including a vacancy resulting from an increase in the size of the board, may only be filled by a resolution of the board of directors.</w:t>
      </w:r>
    </w:p>
    <w:p>
      <w:pPr>
        <w:spacing w:after="0" w:line="145" w:lineRule="exact"/>
        <w:rPr>
          <w:sz w:val="20"/>
          <w:szCs w:val="20"/>
          <w:color w:val="auto"/>
        </w:rPr>
      </w:pPr>
    </w:p>
    <w:p>
      <w:pPr>
        <w:ind w:left="180" w:right="599"/>
        <w:spacing w:after="0" w:line="286" w:lineRule="auto"/>
        <w:rPr>
          <w:sz w:val="20"/>
          <w:szCs w:val="20"/>
          <w:color w:val="auto"/>
        </w:rPr>
      </w:pPr>
      <w:r>
        <w:rPr>
          <w:rFonts w:ascii="Times New Roman" w:cs="Times New Roman" w:eastAsia="Times New Roman" w:hAnsi="Times New Roman"/>
          <w:sz w:val="14"/>
          <w:szCs w:val="14"/>
          <w:color w:val="auto"/>
        </w:rPr>
        <w:t>This system of electing and removing directors and filling vacancies may tend to discourage a third party from making a tender offer or otherwise attempting to obtain control of us because it generally makes it more difficult for stockholders to replace a majority of the directors.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Choice of forum</w:t>
      </w:r>
    </w:p>
    <w:p>
      <w:pPr>
        <w:spacing w:after="0" w:line="95" w:lineRule="exact"/>
        <w:rPr>
          <w:sz w:val="20"/>
          <w:szCs w:val="20"/>
          <w:color w:val="auto"/>
        </w:rPr>
      </w:pPr>
    </w:p>
    <w:p>
      <w:pPr>
        <w:ind w:left="180" w:right="199"/>
        <w:spacing w:after="0" w:line="255" w:lineRule="auto"/>
        <w:rPr>
          <w:sz w:val="20"/>
          <w:szCs w:val="20"/>
          <w:color w:val="auto"/>
        </w:rPr>
      </w:pPr>
      <w:r>
        <w:rPr>
          <w:rFonts w:ascii="Times New Roman" w:cs="Times New Roman" w:eastAsia="Times New Roman" w:hAnsi="Times New Roman"/>
          <w:sz w:val="14"/>
          <w:szCs w:val="14"/>
          <w:color w:val="auto"/>
        </w:rPr>
        <w:t>Our amended and restated certificate of incorporation and amended and restated bylaws provide that, unless we consent in writing to the selection of an alternative forum, the Court of Chancery of the State of Delaware will be the exclusive forum for the following types of actions or proceedings under Delaware statutory or common law: any derivative action or proceeding brought on our behalf; any action asserting a claim of breach of fiduciary duty owed by any of our directors, officers, employees or stockholders to us or to our stockholders; any action asserting a claim against us arising pursuant to the Delaware General Corporation Law, our amended and restated certificate of incorporation or our amended and restated bylaws (as either may be amended from time to time); any action to interpret, apply, enforce or determine the validity of our amended and restated certificate of incorporation or our amended and restated bylaws; or any action asserting a claim against us that is governed by the internal affairs doctrine. As a result, any action brought by any of our stockholders with regard to any of these matters will need to be filed in the Court of Chancery of the State of Delaware and cannot be filed in any other jurisdiction; provided that, the exclusive forum provision will not apply to suits brought to enforce any liability or duty created by the Exchange Act or the Securities Act. In addition, unless we consent in writing to the selection of an alternative forum, the United States District Court for the District of Massachusetts will be the sole and exclusive forum for resolving any action asserting a claim arising under the Securities Act. Such provision is intended to benefit and may be enforced by us, our officers and directors, employees and agents, including the underwriters and any other professional or entity who has prepared or certified any part of this prospectus. Nothing in our amended and restated certificate of incorporation and amended and restated bylaws preclude stockholders that assert claims under the Exchange Act from bringing such claims in state or federal court, subject to applicable law.</w:t>
      </w:r>
    </w:p>
    <w:p>
      <w:pPr>
        <w:spacing w:after="0" w:line="148" w:lineRule="exact"/>
        <w:rPr>
          <w:sz w:val="20"/>
          <w:szCs w:val="20"/>
          <w:color w:val="auto"/>
        </w:rPr>
      </w:pPr>
    </w:p>
    <w:p>
      <w:pPr>
        <w:ind w:left="180" w:right="359"/>
        <w:spacing w:after="0" w:line="286" w:lineRule="auto"/>
        <w:rPr>
          <w:sz w:val="20"/>
          <w:szCs w:val="20"/>
          <w:color w:val="auto"/>
        </w:rPr>
      </w:pPr>
      <w:r>
        <w:rPr>
          <w:rFonts w:ascii="Times New Roman" w:cs="Times New Roman" w:eastAsia="Times New Roman" w:hAnsi="Times New Roman"/>
          <w:sz w:val="14"/>
          <w:szCs w:val="14"/>
          <w:color w:val="auto"/>
        </w:rPr>
        <w:t>Although our amended and restated certificate of incorporation and amended and restated bylaws contain the choice of forum provision described above, it is possible that a court could find that such a provision is inapplicable for a particular claim or action or that such provision is unenforceable.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19</w:t>
      </w:r>
    </w:p>
    <w:p>
      <w:pPr>
        <w:sectPr>
          <w:pgSz w:w="11900" w:h="16838" w:orient="portrait"/>
          <w:cols w:equalWidth="0" w:num="1">
            <w:col w:w="9019"/>
          </w:cols>
          <w:pgMar w:left="1440" w:top="239" w:right="1440" w:bottom="1440" w:gutter="0" w:footer="0" w:header="0"/>
        </w:sectPr>
      </w:pPr>
    </w:p>
    <w:bookmarkStart w:id="47" w:name="page48"/>
    <w:bookmarkEnd w:id="47"/>
    <w:p>
      <w:pPr>
        <w:ind w:left="180" w:right="239"/>
        <w:spacing w:after="0" w:line="264"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8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This choice of forum provision may limit a stockholder’s ability to bring a claim in a judicial forum that it finds favorable for disputes with us or any of our directors, officers, other employees or stockholders, which may discourage lawsuits with respect to such claims or make such lawsuits more costly for stockholders, although our stockholders will not be deemed to have waived our compliance with federal securities laws and the rules and regulations thereunder.</w:t>
      </w:r>
    </w:p>
    <w:p>
      <w:pPr>
        <w:spacing w:after="0" w:line="22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Amendment of charter provisions or bylaws</w:t>
      </w:r>
    </w:p>
    <w:p>
      <w:pPr>
        <w:spacing w:after="0" w:line="95" w:lineRule="exact"/>
        <w:rPr>
          <w:sz w:val="20"/>
          <w:szCs w:val="20"/>
          <w:color w:val="auto"/>
        </w:rPr>
      </w:pPr>
    </w:p>
    <w:p>
      <w:pPr>
        <w:ind w:left="180" w:right="199"/>
        <w:spacing w:after="0" w:line="258" w:lineRule="auto"/>
        <w:rPr>
          <w:sz w:val="20"/>
          <w:szCs w:val="20"/>
          <w:color w:val="auto"/>
        </w:rPr>
      </w:pPr>
      <w:r>
        <w:rPr>
          <w:rFonts w:ascii="Times New Roman" w:cs="Times New Roman" w:eastAsia="Times New Roman" w:hAnsi="Times New Roman"/>
          <w:sz w:val="14"/>
          <w:szCs w:val="14"/>
          <w:color w:val="auto"/>
        </w:rPr>
        <w:t>Our amended and restated bylaws may be amended or repealed by our board of directors or by the affirmative vote of the holders of not less than two-thirds of the voting power of all of the shares of the capital stock of our Company entitled to vote on such amendment or repeal, voting as one class; provided, however, that if our board of directors recommends that stockholders approve such amendment or repeal, such amendment or repeal shall only require the affirmative vote of the majority of the outstanding shares of capital stock entitled to vote on such amendment or repeal, voting together as a single class. The affirmative vote of the holders of the majority of the outstanding shares of capital stock of our Company entitled to vote thereon as a class, and the affirmative vote of the holders of a majority of the outstanding shares of each class entitled to vote thereon as a class voting together as a single class, will be required to amend certain provisions of our amended and restated certificate of incorporation.</w:t>
      </w:r>
    </w:p>
    <w:p>
      <w:pPr>
        <w:spacing w:after="0" w:line="145" w:lineRule="exact"/>
        <w:rPr>
          <w:sz w:val="20"/>
          <w:szCs w:val="20"/>
          <w:color w:val="auto"/>
        </w:rPr>
      </w:pPr>
    </w:p>
    <w:p>
      <w:pPr>
        <w:ind w:left="180" w:right="219"/>
        <w:spacing w:after="0" w:line="261" w:lineRule="auto"/>
        <w:rPr>
          <w:sz w:val="20"/>
          <w:szCs w:val="20"/>
          <w:color w:val="auto"/>
        </w:rPr>
      </w:pPr>
      <w:r>
        <w:rPr>
          <w:rFonts w:ascii="Times New Roman" w:cs="Times New Roman" w:eastAsia="Times New Roman" w:hAnsi="Times New Roman"/>
          <w:sz w:val="14"/>
          <w:szCs w:val="14"/>
          <w:color w:val="auto"/>
        </w:rPr>
        <w:t>The provisions of the Delaware General Corporation Law, our amended and restated certificate of incorporation and our amended and restated bylaws could have the effect of discouraging others from attempting hostile takeovers and, as a consequence, they may also inhibit temporary fluctuations in the market price of our common stock that often result from actual or rumored hostile takeover attempts. These provisions may also have the effect of preventing changes in our management. It is possible that these provisions could make it more difficult to accomplish transactions that stockholders may otherwise deem to be in their best interests.</w:t>
      </w:r>
    </w:p>
    <w:p>
      <w:pPr>
        <w:spacing w:after="0" w:line="8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20</w:t>
      </w:r>
    </w:p>
    <w:p>
      <w:pPr>
        <w:sectPr>
          <w:pgSz w:w="11900" w:h="16838" w:orient="portrait"/>
          <w:cols w:equalWidth="0" w:num="1">
            <w:col w:w="9019"/>
          </w:cols>
          <w:pgMar w:left="1440" w:top="241" w:right="1440" w:bottom="1440" w:gutter="0" w:footer="0" w:header="0"/>
        </w:sectPr>
      </w:pPr>
    </w:p>
    <w:bookmarkStart w:id="48" w:name="page49"/>
    <w:bookmarkEnd w:id="48"/>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8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DESCRIPTION OF DEBT SECURITIES</w:t>
      </w:r>
    </w:p>
    <w:p>
      <w:pPr>
        <w:spacing w:after="0" w:line="180" w:lineRule="exact"/>
        <w:rPr>
          <w:sz w:val="20"/>
          <w:szCs w:val="20"/>
          <w:color w:val="auto"/>
        </w:rPr>
      </w:pPr>
    </w:p>
    <w:p>
      <w:pPr>
        <w:ind w:left="180" w:right="239"/>
        <w:spacing w:after="0" w:line="259" w:lineRule="auto"/>
        <w:rPr>
          <w:sz w:val="20"/>
          <w:szCs w:val="20"/>
          <w:color w:val="auto"/>
        </w:rPr>
      </w:pPr>
      <w:r>
        <w:rPr>
          <w:rFonts w:ascii="Times New Roman" w:cs="Times New Roman" w:eastAsia="Times New Roman" w:hAnsi="Times New Roman"/>
          <w:sz w:val="14"/>
          <w:szCs w:val="14"/>
          <w:color w:val="auto"/>
        </w:rPr>
        <w:t>This section describes the general terms and provisions of our debt securities that we may issue from time to time. We may issue debt securities, in one or more series, as either senior or subordinated debt or as senior or subordinated convertible debt. While the terms we have summarized below will apply generally to any future debt securities we may offer under this prospectus, the applicable prospectus supplement or free writing prospectus will describe the specific terms of any debt securities offered through that prospectus supplement or free writing prospectus. The terms of any debt securities we offer under a prospectus supplement or free writing prospectus may differ from the terms we describe below. Unless the context requires otherwise, whenever we refer to the “indentures,” we also are referring to any supplemental indentures that specify the terms of a particular series of debt securities.</w:t>
      </w:r>
    </w:p>
    <w:p>
      <w:pPr>
        <w:spacing w:after="0" w:line="314" w:lineRule="exact"/>
        <w:rPr>
          <w:sz w:val="20"/>
          <w:szCs w:val="20"/>
          <w:color w:val="auto"/>
        </w:rPr>
      </w:pPr>
    </w:p>
    <w:p>
      <w:pPr>
        <w:ind w:left="180" w:right="199"/>
        <w:spacing w:after="0" w:line="261" w:lineRule="auto"/>
        <w:rPr>
          <w:sz w:val="20"/>
          <w:szCs w:val="20"/>
          <w:color w:val="auto"/>
        </w:rPr>
      </w:pPr>
      <w:r>
        <w:rPr>
          <w:rFonts w:ascii="Times New Roman" w:cs="Times New Roman" w:eastAsia="Times New Roman" w:hAnsi="Times New Roman"/>
          <w:sz w:val="14"/>
          <w:szCs w:val="14"/>
          <w:color w:val="auto"/>
        </w:rPr>
        <w:t>We will issue any senior debt securities under the senior indenture that we will enter into with the trustee named in the senior indenture. We will issue any subordinated debt securities under the subordinated indenture that we will enter into with the trustee named in the subordinated indenture. We have filed forms of these documents as exhibits to the registration statement, of which this prospectus is a part, and supplemental indentures and forms of debt securities containing the terms of the debt securities being offered will be filed as exhibits to the registration statement of which this prospectus is a part or will be incorporated by reference from reports that we file with the SEC.</w:t>
      </w:r>
    </w:p>
    <w:p>
      <w:pPr>
        <w:spacing w:after="0" w:line="142" w:lineRule="exact"/>
        <w:rPr>
          <w:sz w:val="20"/>
          <w:szCs w:val="20"/>
          <w:color w:val="auto"/>
        </w:rPr>
      </w:pPr>
    </w:p>
    <w:p>
      <w:pPr>
        <w:ind w:left="180" w:right="479"/>
        <w:spacing w:after="0" w:line="286" w:lineRule="auto"/>
        <w:rPr>
          <w:sz w:val="20"/>
          <w:szCs w:val="20"/>
          <w:color w:val="auto"/>
        </w:rPr>
      </w:pPr>
      <w:r>
        <w:rPr>
          <w:rFonts w:ascii="Times New Roman" w:cs="Times New Roman" w:eastAsia="Times New Roman" w:hAnsi="Times New Roman"/>
          <w:sz w:val="14"/>
          <w:szCs w:val="14"/>
          <w:color w:val="auto"/>
        </w:rPr>
        <w:t>The indentures will be qualified under the Trust Indenture Act of 1939, as amended, or the Trust Indenture Act. We use the term “trustee” to refer to either the trustee under the senior indenture or the trustee under the subordinated indenture, as applicable.</w:t>
      </w:r>
    </w:p>
    <w:p>
      <w:pPr>
        <w:spacing w:after="0" w:line="125" w:lineRule="exact"/>
        <w:rPr>
          <w:sz w:val="20"/>
          <w:szCs w:val="20"/>
          <w:color w:val="auto"/>
        </w:rPr>
      </w:pPr>
    </w:p>
    <w:p>
      <w:pPr>
        <w:ind w:left="180" w:right="219"/>
        <w:spacing w:after="0" w:line="261" w:lineRule="auto"/>
        <w:rPr>
          <w:sz w:val="20"/>
          <w:szCs w:val="20"/>
          <w:color w:val="auto"/>
        </w:rPr>
      </w:pPr>
      <w:r>
        <w:rPr>
          <w:rFonts w:ascii="Times New Roman" w:cs="Times New Roman" w:eastAsia="Times New Roman" w:hAnsi="Times New Roman"/>
          <w:sz w:val="14"/>
          <w:szCs w:val="14"/>
          <w:color w:val="auto"/>
        </w:rPr>
        <w:t>The following summaries of material provisions of the senior debt securities, the subordinated debt securities and the indentures are subject to, and qualified in their entirety by reference to, all of the provisions of the indenture applicable to a particular series of debt securities. We urge you to read the applicable prospectus supplement or free writing prospectus and any related free writing prospectuses related to the debt securities that we may offer under this prospectus, as well as the complete applicable indenture that contains the terms of the debt securities. Except as we may otherwise indicate, the terms of the senior indenture and the subordinated indenture are identical.</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or free writing prospectus the terms of the series of debt securities being offered, including:</w:t>
      </w:r>
    </w:p>
    <w:p>
      <w:pPr>
        <w:spacing w:after="0" w:line="104" w:lineRule="exact"/>
        <w:rPr>
          <w:sz w:val="20"/>
          <w:szCs w:val="20"/>
          <w:color w:val="auto"/>
        </w:rPr>
      </w:pPr>
    </w:p>
    <w:p>
      <w:pPr>
        <w:ind w:left="940" w:hanging="337"/>
        <w:spacing w:after="0"/>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title;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principal amount being offered, and if a series, the total amount authorized and the total amount outstanding;</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limit on the amount that may be issued;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or not we will issue the series of debt securities in global form, and, if so, the terms and who the depository will be;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maturity date;</w:t>
      </w:r>
    </w:p>
    <w:p>
      <w:pPr>
        <w:spacing w:after="0" w:line="104" w:lineRule="exact"/>
        <w:rPr>
          <w:rFonts w:ascii="Times New Roman" w:cs="Times New Roman" w:eastAsia="Times New Roman" w:hAnsi="Times New Roman"/>
          <w:sz w:val="14"/>
          <w:szCs w:val="14"/>
          <w:color w:val="auto"/>
        </w:rPr>
      </w:pPr>
    </w:p>
    <w:p>
      <w:pPr>
        <w:ind w:left="940" w:right="279" w:hanging="337"/>
        <w:spacing w:after="0" w:line="286" w:lineRule="auto"/>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and under what circumstances, if any, we will pay additional amounts on any debt securities held by a person who is not a United States person for tax purposes, and whether we can redeem the debt securities if we have to pay such additional amounts;</w:t>
      </w:r>
    </w:p>
    <w:p>
      <w:pPr>
        <w:spacing w:after="0" w:line="50" w:lineRule="exact"/>
        <w:rPr>
          <w:rFonts w:ascii="Times New Roman" w:cs="Times New Roman" w:eastAsia="Times New Roman" w:hAnsi="Times New Roman"/>
          <w:sz w:val="14"/>
          <w:szCs w:val="14"/>
          <w:color w:val="auto"/>
        </w:rPr>
      </w:pPr>
    </w:p>
    <w:p>
      <w:pPr>
        <w:ind w:left="940" w:right="379" w:hanging="337"/>
        <w:spacing w:after="0" w:line="286" w:lineRule="auto"/>
        <w:tabs>
          <w:tab w:leader="none" w:pos="940" w:val="left"/>
        </w:tabs>
        <w:numPr>
          <w:ilvl w:val="0"/>
          <w:numId w:val="2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annual interest rate, which may be fixed or variable, or the method for determining the rate and the date interest will begin to accrue, the dates interest will be payable and the regular record dates for interest payment dates or the method for determining such dates;</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21</w:t>
      </w:r>
    </w:p>
    <w:p>
      <w:pPr>
        <w:sectPr>
          <w:pgSz w:w="11900" w:h="16838" w:orient="portrait"/>
          <w:cols w:equalWidth="0" w:num="1">
            <w:col w:w="9019"/>
          </w:cols>
          <w:pgMar w:left="1440" w:top="239" w:right="1440" w:bottom="1440" w:gutter="0" w:footer="0" w:header="0"/>
        </w:sectPr>
      </w:pPr>
    </w:p>
    <w:bookmarkStart w:id="49" w:name="page50"/>
    <w:bookmarkEnd w:id="49"/>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8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whether or not the debt securities will be secured or unsecured, and the terms of any secured debt;</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subordination of any series of subordinated debt;</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place where payments will be payable;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restrictions on transfer, sale or other assignment, if any;</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our right, if any, to defer payment of interest and the maximum length of any such deferral period;</w:t>
      </w:r>
    </w:p>
    <w:p>
      <w:pPr>
        <w:spacing w:after="0" w:line="104" w:lineRule="exact"/>
        <w:rPr>
          <w:rFonts w:ascii="Times New Roman" w:cs="Times New Roman" w:eastAsia="Times New Roman" w:hAnsi="Times New Roman"/>
          <w:sz w:val="14"/>
          <w:szCs w:val="14"/>
          <w:color w:val="auto"/>
        </w:rPr>
      </w:pPr>
    </w:p>
    <w:p>
      <w:pPr>
        <w:ind w:left="940" w:right="299" w:hanging="337"/>
        <w:spacing w:after="0" w:line="286" w:lineRule="auto"/>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after which, the conditions upon which, and the price at which, we may, at our option, redeem the series of debt securities pursuant to any optional or provisional redemption provisions and the terms of those redemption provisions;</w:t>
      </w:r>
    </w:p>
    <w:p>
      <w:pPr>
        <w:spacing w:after="0" w:line="50" w:lineRule="exact"/>
        <w:rPr>
          <w:rFonts w:ascii="Times New Roman" w:cs="Times New Roman" w:eastAsia="Times New Roman" w:hAnsi="Times New Roman"/>
          <w:sz w:val="14"/>
          <w:szCs w:val="14"/>
          <w:color w:val="auto"/>
        </w:rPr>
      </w:pPr>
    </w:p>
    <w:p>
      <w:pPr>
        <w:jc w:val="both"/>
        <w:ind w:left="940" w:right="199" w:hanging="337"/>
        <w:spacing w:after="0" w:line="269" w:lineRule="auto"/>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 if any, on which, and the price at which we are obligated, pursuant to any mandatory sinking fund or analogous fund provisions or otherwise, to redeem, or at the holder’s option, to purchase, the series of debt securities and the currency or currency unit in which the debt securities are payable;</w:t>
      </w:r>
    </w:p>
    <w:p>
      <w:pPr>
        <w:spacing w:after="0" w:line="62"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indenture will restrict our ability to:</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incur additional indebtedness;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additional securities;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create liens;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pay dividends or make distributions in respect of our capital stock or the capital stock of our subsidiaries;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redeem capital stock;</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place restrictions on our subsidiaries’ ability to pay dividends, make distributions or transfer assets;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make investments or other restricted payments;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sell or otherwise dispose of assets;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enter into sale-leaseback transactions;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engage in transactions with stockholders or affiliates;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or sell stock of our subsidiaries;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effect a consolidation or merger;</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indenture will require us to maintain any interest coverage, fixed charge, cash flow-based, asset-based or other financial ratios;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 discussion of certain material or special United States federal income tax considerations applicable to the debt securities;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information describing any book-entry features;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provisions for a sinking fund purchase or other analogous fund, if any;</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applicability of the provisions in the indenture on discharge;</w:t>
      </w:r>
    </w:p>
    <w:p>
      <w:pPr>
        <w:spacing w:after="0" w:line="104" w:lineRule="exact"/>
        <w:rPr>
          <w:rFonts w:ascii="Times New Roman" w:cs="Times New Roman" w:eastAsia="Times New Roman" w:hAnsi="Times New Roman"/>
          <w:sz w:val="14"/>
          <w:szCs w:val="14"/>
          <w:color w:val="auto"/>
        </w:rPr>
      </w:pPr>
    </w:p>
    <w:p>
      <w:pPr>
        <w:ind w:left="940" w:right="219" w:hanging="337"/>
        <w:spacing w:after="0" w:line="286" w:lineRule="auto"/>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whether the debt securities are to be offered at a price such that they will be deemed to be offered at an “original issue discount” as defined in paragraph (a) of Section 1273 of the Internal Revenue Code of 1986, as amended;</w:t>
      </w:r>
    </w:p>
    <w:p>
      <w:pPr>
        <w:spacing w:after="0" w:line="50" w:lineRule="exact"/>
        <w:rPr>
          <w:rFonts w:ascii="Times New Roman" w:cs="Times New Roman" w:eastAsia="Times New Roman" w:hAnsi="Times New Roman"/>
          <w:sz w:val="14"/>
          <w:szCs w:val="14"/>
          <w:color w:val="auto"/>
        </w:rPr>
      </w:pPr>
    </w:p>
    <w:p>
      <w:pPr>
        <w:ind w:left="940" w:right="519" w:hanging="337"/>
        <w:spacing w:after="0" w:line="286" w:lineRule="auto"/>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denominations in which we will issue the series of debt securities, if other than denominations of $1,000 and any integral multiple thereof;</w:t>
      </w:r>
    </w:p>
    <w:p>
      <w:pPr>
        <w:spacing w:after="0" w:line="50" w:lineRule="exact"/>
        <w:rPr>
          <w:rFonts w:ascii="Times New Roman" w:cs="Times New Roman" w:eastAsia="Times New Roman" w:hAnsi="Times New Roman"/>
          <w:sz w:val="14"/>
          <w:szCs w:val="14"/>
          <w:color w:val="auto"/>
        </w:rPr>
      </w:pPr>
    </w:p>
    <w:p>
      <w:pPr>
        <w:ind w:left="940" w:right="299" w:hanging="337"/>
        <w:spacing w:after="0" w:line="286" w:lineRule="auto"/>
        <w:tabs>
          <w:tab w:leader="none" w:pos="940" w:val="left"/>
        </w:tabs>
        <w:numPr>
          <w:ilvl w:val="0"/>
          <w:numId w:val="2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of payment of debt securities if other than U.S. dollars and the manner of determining the equivalent amount in U.S. dollars; and</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22</w:t>
      </w:r>
    </w:p>
    <w:p>
      <w:pPr>
        <w:sectPr>
          <w:pgSz w:w="11900" w:h="16838" w:orient="portrait"/>
          <w:cols w:equalWidth="0" w:num="1">
            <w:col w:w="9019"/>
          </w:cols>
          <w:pgMar w:left="1440" w:top="241" w:right="1440" w:bottom="1440" w:gutter="0" w:footer="0" w:header="0"/>
        </w:sectPr>
      </w:pPr>
    </w:p>
    <w:bookmarkStart w:id="50" w:name="page51"/>
    <w:bookmarkEnd w:id="50"/>
    <w:p>
      <w:pPr>
        <w:ind w:left="940" w:right="379" w:hanging="337"/>
        <w:spacing w:after="0" w:line="269" w:lineRule="auto"/>
        <w:tabs>
          <w:tab w:leader="none" w:pos="940" w:val="left"/>
        </w:tabs>
        <w:numPr>
          <w:ilvl w:val="0"/>
          <w:numId w:val="2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8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any other specific terms, preferences, rights or limitations of, or restrictions on, the debt securities, including any additional events of default or covenants provided with respect to the debt securities, and any terms that may be required by us or advisable under applicable laws or regulations or advisable in connection with the marketing of the debt securities.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Conversion or Exchange Rights</w:t>
      </w:r>
    </w:p>
    <w:p>
      <w:pPr>
        <w:spacing w:after="0" w:line="95" w:lineRule="exact"/>
        <w:rPr>
          <w:sz w:val="20"/>
          <w:szCs w:val="20"/>
          <w:color w:val="auto"/>
        </w:rPr>
      </w:pPr>
    </w:p>
    <w:p>
      <w:pPr>
        <w:ind w:left="180" w:right="319"/>
        <w:spacing w:after="0" w:line="261" w:lineRule="auto"/>
        <w:rPr>
          <w:sz w:val="20"/>
          <w:szCs w:val="20"/>
          <w:color w:val="auto"/>
        </w:rPr>
      </w:pPr>
      <w:r>
        <w:rPr>
          <w:rFonts w:ascii="Times New Roman" w:cs="Times New Roman" w:eastAsia="Times New Roman" w:hAnsi="Times New Roman"/>
          <w:sz w:val="14"/>
          <w:szCs w:val="14"/>
          <w:color w:val="auto"/>
        </w:rPr>
        <w:t>We will set forth in the applicable prospectus supplement or free writing prospectus the terms on which a series of debt securities may be convertible into or exchangeable for our common stock, our preferred stock or other securities (including securities of a third-party). We will include provisions as to whether conversion or exchange is mandatory, at the option of the holder or at our option. We may include provisions pursuant to which the number of shares of our common stock, our preferred stock or other securities (including securities of a third-party) that the holders of the series of debt securities receive would be subject to adjustment.</w:t>
      </w:r>
    </w:p>
    <w:p>
      <w:pPr>
        <w:spacing w:after="0" w:line="2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Consolidation, Merger or Sale</w:t>
      </w:r>
    </w:p>
    <w:p>
      <w:pPr>
        <w:spacing w:after="0" w:line="95" w:lineRule="exact"/>
        <w:rPr>
          <w:sz w:val="20"/>
          <w:szCs w:val="20"/>
          <w:color w:val="auto"/>
        </w:rPr>
      </w:pPr>
    </w:p>
    <w:p>
      <w:pPr>
        <w:ind w:left="180" w:right="299"/>
        <w:spacing w:after="0" w:line="259" w:lineRule="auto"/>
        <w:rPr>
          <w:sz w:val="20"/>
          <w:szCs w:val="20"/>
          <w:color w:val="auto"/>
        </w:rPr>
      </w:pPr>
      <w:r>
        <w:rPr>
          <w:rFonts w:ascii="Times New Roman" w:cs="Times New Roman" w:eastAsia="Times New Roman" w:hAnsi="Times New Roman"/>
          <w:sz w:val="14"/>
          <w:szCs w:val="14"/>
          <w:color w:val="auto"/>
        </w:rPr>
        <w:t>Unless we provide otherwise in the prospectus supplement or free writing prospectus applicable to a particular series of debt securities, the indentures will not contain any covenant that restricts our ability to merge or consolidate, or sell, convey, transfer or otherwise dispose of all or substantially all of our assets. However, any successor to or acquirer of such assets must assume all of our obligations under the indentures or the debt securities, as appropriate. If the debt securities are convertible into or exchangeable for other securities of ours or securities of other entities, the person with whom we consolidate or merge or to whom we sell all of our property must make provisions for the conversion of the debt securities into securities that the holders of the debt securities would have received if they had converted the debt securities before the consolidation, merger or sale.</w:t>
      </w: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Events of Default Under the Indenture</w:t>
      </w:r>
    </w:p>
    <w:p>
      <w:pPr>
        <w:spacing w:after="0" w:line="95" w:lineRule="exact"/>
        <w:rPr>
          <w:sz w:val="20"/>
          <w:szCs w:val="20"/>
          <w:color w:val="auto"/>
        </w:rPr>
      </w:pPr>
    </w:p>
    <w:p>
      <w:pPr>
        <w:ind w:left="180" w:right="199"/>
        <w:spacing w:after="0" w:line="286" w:lineRule="auto"/>
        <w:rPr>
          <w:sz w:val="20"/>
          <w:szCs w:val="20"/>
          <w:color w:val="auto"/>
        </w:rPr>
      </w:pPr>
      <w:r>
        <w:rPr>
          <w:rFonts w:ascii="Times New Roman" w:cs="Times New Roman" w:eastAsia="Times New Roman" w:hAnsi="Times New Roman"/>
          <w:sz w:val="14"/>
          <w:szCs w:val="14"/>
          <w:color w:val="auto"/>
        </w:rPr>
        <w:t>Unless we provide otherwise in the prospectus supplement or free writing prospectus applicable to a particular series of debt securities, the following are events of default under the indentures with respect to any series of debt securities that we may issue:</w:t>
      </w:r>
    </w:p>
    <w:p>
      <w:pPr>
        <w:spacing w:after="0" w:line="51" w:lineRule="exact"/>
        <w:rPr>
          <w:sz w:val="20"/>
          <w:szCs w:val="20"/>
          <w:color w:val="auto"/>
        </w:rPr>
      </w:pPr>
    </w:p>
    <w:p>
      <w:pPr>
        <w:ind w:left="940" w:hanging="337"/>
        <w:spacing w:after="0"/>
        <w:tabs>
          <w:tab w:leader="none" w:pos="9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interest when due and payable and our failure continues for 90 days and the time for payment has not been extended;</w:t>
      </w:r>
    </w:p>
    <w:p>
      <w:pPr>
        <w:spacing w:after="0" w:line="104" w:lineRule="exact"/>
        <w:rPr>
          <w:rFonts w:ascii="Times New Roman" w:cs="Times New Roman" w:eastAsia="Times New Roman" w:hAnsi="Times New Roman"/>
          <w:sz w:val="14"/>
          <w:szCs w:val="14"/>
          <w:color w:val="auto"/>
        </w:rPr>
      </w:pPr>
    </w:p>
    <w:p>
      <w:pPr>
        <w:ind w:left="940" w:right="239" w:hanging="337"/>
        <w:spacing w:after="0" w:line="286" w:lineRule="auto"/>
        <w:tabs>
          <w:tab w:leader="none" w:pos="9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pay the principal, premium or sinking fund payment, if any, when due and payable at maturity, upon redemption or repurchase or otherwise, and the time for payment has not been extended;</w:t>
      </w:r>
    </w:p>
    <w:p>
      <w:pPr>
        <w:spacing w:after="0" w:line="50" w:lineRule="exact"/>
        <w:rPr>
          <w:rFonts w:ascii="Times New Roman" w:cs="Times New Roman" w:eastAsia="Times New Roman" w:hAnsi="Times New Roman"/>
          <w:sz w:val="14"/>
          <w:szCs w:val="14"/>
          <w:color w:val="auto"/>
        </w:rPr>
      </w:pPr>
    </w:p>
    <w:p>
      <w:pPr>
        <w:ind w:left="940" w:right="399" w:hanging="337"/>
        <w:spacing w:after="0" w:line="269" w:lineRule="auto"/>
        <w:tabs>
          <w:tab w:leader="none" w:pos="9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fail to observe or perform any other covenant contained in the debt securities or the indentures, other than a covenant specifically relating to another series of debt securities, and our failure continues for 90 days after we receive notice from the trustee or holders of at least 25% in aggregate principal amount of the outstanding debt securities of the applicable series; and</w:t>
      </w:r>
    </w:p>
    <w:p>
      <w:pPr>
        <w:spacing w:after="0" w:line="62"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specified events of bankruptcy, insolvency or reorganization occur.</w:t>
      </w:r>
    </w:p>
    <w:p>
      <w:pPr>
        <w:spacing w:after="0" w:line="178" w:lineRule="exact"/>
        <w:rPr>
          <w:sz w:val="20"/>
          <w:szCs w:val="20"/>
          <w:color w:val="auto"/>
        </w:rPr>
      </w:pPr>
    </w:p>
    <w:p>
      <w:pPr>
        <w:ind w:left="180" w:right="379"/>
        <w:spacing w:after="0" w:line="286" w:lineRule="auto"/>
        <w:rPr>
          <w:sz w:val="20"/>
          <w:szCs w:val="20"/>
          <w:color w:val="auto"/>
        </w:rPr>
      </w:pPr>
      <w:r>
        <w:rPr>
          <w:rFonts w:ascii="Times New Roman" w:cs="Times New Roman" w:eastAsia="Times New Roman" w:hAnsi="Times New Roman"/>
          <w:sz w:val="14"/>
          <w:szCs w:val="14"/>
          <w:color w:val="auto"/>
        </w:rPr>
        <w:t>We will describe in each applicable prospectus supplement or free writing prospectus any additional events of default relating to the relevant series of debt securities.</w:t>
      </w:r>
    </w:p>
    <w:p>
      <w:pPr>
        <w:spacing w:after="0" w:line="125" w:lineRule="exact"/>
        <w:rPr>
          <w:sz w:val="20"/>
          <w:szCs w:val="20"/>
          <w:color w:val="auto"/>
        </w:rPr>
      </w:pPr>
    </w:p>
    <w:p>
      <w:pPr>
        <w:ind w:left="180" w:right="239"/>
        <w:spacing w:after="0" w:line="259" w:lineRule="auto"/>
        <w:rPr>
          <w:sz w:val="20"/>
          <w:szCs w:val="20"/>
          <w:color w:val="auto"/>
        </w:rPr>
      </w:pPr>
      <w:r>
        <w:rPr>
          <w:rFonts w:ascii="Times New Roman" w:cs="Times New Roman" w:eastAsia="Times New Roman" w:hAnsi="Times New Roman"/>
          <w:sz w:val="14"/>
          <w:szCs w:val="14"/>
          <w:color w:val="auto"/>
        </w:rPr>
        <w:t>If an event of default with respect to debt securities of any series occurs and is continuing, other than an event of default specified in the last bullet point above, the trustee or the holders of at least 25% in aggregate principal amount of the outstanding debt securities of that series, by notice to us in writing, and to the trustee if notice is given by such holders, may declare the unpaid principal, premium, if any, and accrued interest, if any, due and payable immediately. If an event of default specified in the last bullet point above occurs with respect to us, the unpaid principal, premium, if any, and accrued interest, if any, of each issue of debt securities then outstanding shall be due and payable without any notice or other action on the part of the trustee or any holder.</w:t>
      </w:r>
    </w:p>
    <w:p>
      <w:pPr>
        <w:spacing w:after="0" w:line="9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23</w:t>
      </w:r>
    </w:p>
    <w:p>
      <w:pPr>
        <w:sectPr>
          <w:pgSz w:w="11900" w:h="16838" w:orient="portrait"/>
          <w:cols w:equalWidth="0" w:num="1">
            <w:col w:w="9019"/>
          </w:cols>
          <w:pgMar w:left="1440" w:top="241" w:right="1440" w:bottom="1440" w:gutter="0" w:footer="0" w:header="0"/>
        </w:sectPr>
      </w:pPr>
    </w:p>
    <w:bookmarkStart w:id="51" w:name="page52"/>
    <w:bookmarkEnd w:id="51"/>
    <w:p>
      <w:pPr>
        <w:jc w:val="both"/>
        <w:ind w:left="180" w:right="439"/>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8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holders of a majority in principal amount of the outstanding debt securities of an affected series may waive any default or event of default with respect to the series and its consequences, except defaults or events of default regarding payment of principal, premium, if any, or interest, unless we have cured the default or event of default in accordance with the indenture. Any waiver shall cure the default or event of default.</w:t>
      </w:r>
    </w:p>
    <w:p>
      <w:pPr>
        <w:spacing w:after="0" w:line="137" w:lineRule="exact"/>
        <w:rPr>
          <w:sz w:val="20"/>
          <w:szCs w:val="20"/>
          <w:color w:val="auto"/>
        </w:rPr>
      </w:pPr>
    </w:p>
    <w:p>
      <w:pPr>
        <w:ind w:left="180" w:right="199"/>
        <w:spacing w:after="0" w:line="259" w:lineRule="auto"/>
        <w:rPr>
          <w:sz w:val="20"/>
          <w:szCs w:val="20"/>
          <w:color w:val="auto"/>
        </w:rPr>
      </w:pPr>
      <w:r>
        <w:rPr>
          <w:rFonts w:ascii="Times New Roman" w:cs="Times New Roman" w:eastAsia="Times New Roman" w:hAnsi="Times New Roman"/>
          <w:sz w:val="14"/>
          <w:szCs w:val="14"/>
          <w:color w:val="auto"/>
        </w:rPr>
        <w:t>Subject to the terms of the indentures, if an event of default under an indenture shall occur and be continuing, the trustee will be under no obligation to exercise any of its rights or powers under such indenture at the request or direction of any of the holders of the applicable series of debt securities, unless such holders have offered the trustee reasonable indemnity or security satisfactory to it against any loss, liability or expense. The holders of a majority in principal amount of the outstanding debt securities of any series will have the right to direct the time, method and place of conducting any proceeding for any remedy available to the trustee, or exercising any trust or power conferred on the trustee, with respect to the debt securities of that series, provided that:</w:t>
      </w:r>
    </w:p>
    <w:p>
      <w:pPr>
        <w:spacing w:after="0" w:line="71" w:lineRule="exact"/>
        <w:rPr>
          <w:sz w:val="20"/>
          <w:szCs w:val="20"/>
          <w:color w:val="auto"/>
        </w:rPr>
      </w:pPr>
    </w:p>
    <w:p>
      <w:pPr>
        <w:ind w:left="940" w:hanging="337"/>
        <w:spacing w:after="0"/>
        <w:tabs>
          <w:tab w:leader="none" w:pos="9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direction so given by the holder is not in conflict with any law or the applicable indenture; and</w:t>
      </w:r>
    </w:p>
    <w:p>
      <w:pPr>
        <w:spacing w:after="0" w:line="104" w:lineRule="exact"/>
        <w:rPr>
          <w:rFonts w:ascii="Times New Roman" w:cs="Times New Roman" w:eastAsia="Times New Roman" w:hAnsi="Times New Roman"/>
          <w:sz w:val="14"/>
          <w:szCs w:val="14"/>
          <w:color w:val="auto"/>
        </w:rPr>
      </w:pPr>
    </w:p>
    <w:p>
      <w:pPr>
        <w:ind w:left="940" w:right="219" w:hanging="337"/>
        <w:spacing w:after="0" w:line="286" w:lineRule="auto"/>
        <w:tabs>
          <w:tab w:leader="none" w:pos="940" w:val="left"/>
        </w:tabs>
        <w:numPr>
          <w:ilvl w:val="0"/>
          <w:numId w:val="2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subject to its duties under the Trust Indenture Act, the trustee need not take any action that might involve it in personal liability or might be unduly prejudicial to the holders not involved in the proceeding.</w:t>
      </w:r>
    </w:p>
    <w:p>
      <w:pPr>
        <w:spacing w:after="0" w:line="125" w:lineRule="exact"/>
        <w:rPr>
          <w:sz w:val="20"/>
          <w:szCs w:val="20"/>
          <w:color w:val="auto"/>
        </w:rPr>
      </w:pPr>
    </w:p>
    <w:p>
      <w:pPr>
        <w:ind w:left="180" w:right="199"/>
        <w:spacing w:after="0" w:line="286" w:lineRule="auto"/>
        <w:rPr>
          <w:sz w:val="20"/>
          <w:szCs w:val="20"/>
          <w:color w:val="auto"/>
        </w:rPr>
      </w:pPr>
      <w:r>
        <w:rPr>
          <w:rFonts w:ascii="Times New Roman" w:cs="Times New Roman" w:eastAsia="Times New Roman" w:hAnsi="Times New Roman"/>
          <w:sz w:val="14"/>
          <w:szCs w:val="14"/>
          <w:color w:val="auto"/>
        </w:rPr>
        <w:t>A holder of the debt securities of any series will have the right to institute a proceeding under the indentures or to appoint a receiver or trustee, or to seek other remedies if:</w:t>
      </w:r>
    </w:p>
    <w:p>
      <w:pPr>
        <w:spacing w:after="0" w:line="51" w:lineRule="exact"/>
        <w:rPr>
          <w:sz w:val="20"/>
          <w:szCs w:val="20"/>
          <w:color w:val="auto"/>
        </w:rPr>
      </w:pPr>
    </w:p>
    <w:p>
      <w:pPr>
        <w:ind w:left="940" w:hanging="337"/>
        <w:spacing w:after="0"/>
        <w:tabs>
          <w:tab w:leader="none" w:pos="9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 has given written notice to the trustee of a continuing event of default with respect to that series;</w:t>
      </w:r>
    </w:p>
    <w:p>
      <w:pPr>
        <w:spacing w:after="0" w:line="104" w:lineRule="exact"/>
        <w:rPr>
          <w:rFonts w:ascii="Times New Roman" w:cs="Times New Roman" w:eastAsia="Times New Roman" w:hAnsi="Times New Roman"/>
          <w:sz w:val="14"/>
          <w:szCs w:val="14"/>
          <w:color w:val="auto"/>
        </w:rPr>
      </w:pPr>
    </w:p>
    <w:p>
      <w:pPr>
        <w:ind w:left="940" w:right="399" w:hanging="337"/>
        <w:spacing w:after="0" w:line="269" w:lineRule="auto"/>
        <w:tabs>
          <w:tab w:leader="none" w:pos="9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holders of at least 25% in aggregate principal amount of the outstanding debt securities of that series have made written request, and such holders have offered reasonable indemnity to the trustee or security satisfactory to it against any loss, liability or expense or to be incurred in compliance with instituting the proceeding as trustee; and</w:t>
      </w:r>
    </w:p>
    <w:p>
      <w:pPr>
        <w:spacing w:after="0" w:line="62" w:lineRule="exact"/>
        <w:rPr>
          <w:rFonts w:ascii="Times New Roman" w:cs="Times New Roman" w:eastAsia="Times New Roman" w:hAnsi="Times New Roman"/>
          <w:sz w:val="14"/>
          <w:szCs w:val="14"/>
          <w:color w:val="auto"/>
        </w:rPr>
      </w:pPr>
    </w:p>
    <w:p>
      <w:pPr>
        <w:ind w:left="940" w:right="579" w:hanging="337"/>
        <w:spacing w:after="0" w:line="286" w:lineRule="auto"/>
        <w:tabs>
          <w:tab w:leader="none" w:pos="940" w:val="left"/>
        </w:tabs>
        <w:numPr>
          <w:ilvl w:val="0"/>
          <w:numId w:val="2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trustee does not institute the proceeding, and does not receive from the holders of a majority in aggregate principal amount of the outstanding debt securities of that series other conflicting directions within 90 days after the notice, request and offer.</w:t>
      </w:r>
    </w:p>
    <w:p>
      <w:pPr>
        <w:spacing w:after="0" w:line="125" w:lineRule="exact"/>
        <w:rPr>
          <w:sz w:val="20"/>
          <w:szCs w:val="20"/>
          <w:color w:val="auto"/>
        </w:rPr>
      </w:pPr>
    </w:p>
    <w:p>
      <w:pPr>
        <w:ind w:left="180" w:right="279"/>
        <w:spacing w:after="0" w:line="286" w:lineRule="auto"/>
        <w:rPr>
          <w:sz w:val="20"/>
          <w:szCs w:val="20"/>
          <w:color w:val="auto"/>
        </w:rPr>
      </w:pPr>
      <w:r>
        <w:rPr>
          <w:rFonts w:ascii="Times New Roman" w:cs="Times New Roman" w:eastAsia="Times New Roman" w:hAnsi="Times New Roman"/>
          <w:sz w:val="14"/>
          <w:szCs w:val="14"/>
          <w:color w:val="auto"/>
        </w:rPr>
        <w:t>These limitations do not apply to a suit instituted by a holder of debt securities if we default in the payment of the principal, premium, if any, or interest on, the debt securities, or other defaults that may be specified in the applicable prospectus supplement or free writing prospectus.</w:t>
      </w:r>
    </w:p>
    <w:p>
      <w:pPr>
        <w:spacing w:after="0" w:line="1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We will periodically file statements with the trustee regarding our compliance with specified covenants in the indentures.</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Modification of Indenture; Waiver</w:t>
      </w:r>
    </w:p>
    <w:p>
      <w:pPr>
        <w:spacing w:after="0" w:line="95" w:lineRule="exact"/>
        <w:rPr>
          <w:sz w:val="20"/>
          <w:szCs w:val="20"/>
          <w:color w:val="auto"/>
        </w:rPr>
      </w:pPr>
    </w:p>
    <w:p>
      <w:pPr>
        <w:ind w:left="180" w:right="259"/>
        <w:spacing w:after="0" w:line="286" w:lineRule="auto"/>
        <w:rPr>
          <w:sz w:val="20"/>
          <w:szCs w:val="20"/>
          <w:color w:val="auto"/>
        </w:rPr>
      </w:pPr>
      <w:r>
        <w:rPr>
          <w:rFonts w:ascii="Times New Roman" w:cs="Times New Roman" w:eastAsia="Times New Roman" w:hAnsi="Times New Roman"/>
          <w:sz w:val="14"/>
          <w:szCs w:val="14"/>
          <w:color w:val="auto"/>
        </w:rPr>
        <w:t>Subject to the terms of the indenture for any series of debt securities that we may issue, we and the trustee may change an indenture without the consent of any holders with respect to the following specific matters:</w:t>
      </w:r>
    </w:p>
    <w:p>
      <w:pPr>
        <w:spacing w:after="0" w:line="51" w:lineRule="exact"/>
        <w:rPr>
          <w:sz w:val="20"/>
          <w:szCs w:val="20"/>
          <w:color w:val="auto"/>
        </w:rPr>
      </w:pPr>
    </w:p>
    <w:p>
      <w:pPr>
        <w:ind w:left="940" w:hanging="337"/>
        <w:spacing w:after="0"/>
        <w:tabs>
          <w:tab w:leader="none" w:pos="9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fix any ambiguity, defect or inconsistency in the indenture;</w:t>
      </w:r>
    </w:p>
    <w:p>
      <w:pPr>
        <w:spacing w:after="0" w:line="102"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the provisions described above under “</w:t>
      </w:r>
      <w:r>
        <w:rPr>
          <w:rFonts w:ascii="Times New Roman" w:cs="Times New Roman" w:eastAsia="Times New Roman" w:hAnsi="Times New Roman"/>
          <w:sz w:val="14"/>
          <w:szCs w:val="14"/>
          <w:i w:val="1"/>
          <w:iCs w:val="1"/>
          <w:color w:val="auto"/>
        </w:rPr>
        <w:t>Description of Debt Securities-Consolidation, Merger or Sale</w:t>
      </w:r>
      <w:r>
        <w:rPr>
          <w:rFonts w:ascii="Times New Roman" w:cs="Times New Roman" w:eastAsia="Times New Roman" w:hAnsi="Times New Roman"/>
          <w:sz w:val="14"/>
          <w:szCs w:val="14"/>
          <w:color w:val="auto"/>
        </w:rPr>
        <w:t>;”</w:t>
      </w:r>
    </w:p>
    <w:p>
      <w:pPr>
        <w:spacing w:after="0" w:line="106"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comply with any requirements of the SEC in connection with the qualification of any indenture under the Trust Indenture Act;</w:t>
      </w:r>
    </w:p>
    <w:p>
      <w:pPr>
        <w:spacing w:after="0" w:line="104" w:lineRule="exact"/>
        <w:rPr>
          <w:rFonts w:ascii="Times New Roman" w:cs="Times New Roman" w:eastAsia="Times New Roman" w:hAnsi="Times New Roman"/>
          <w:sz w:val="14"/>
          <w:szCs w:val="14"/>
          <w:color w:val="auto"/>
        </w:rPr>
      </w:pPr>
    </w:p>
    <w:p>
      <w:pPr>
        <w:ind w:left="940" w:right="799" w:hanging="337"/>
        <w:spacing w:after="0" w:line="286" w:lineRule="auto"/>
        <w:tabs>
          <w:tab w:leader="none" w:pos="940" w:val="left"/>
        </w:tabs>
        <w:numPr>
          <w:ilvl w:val="0"/>
          <w:numId w:val="2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delete from or revise the conditions, limitations, and restrictions on the authorized amount, terms, or purposes of issue, authentication and delivery of debt securities, as set forth in the indenture;</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24</w:t>
      </w:r>
    </w:p>
    <w:p>
      <w:pPr>
        <w:sectPr>
          <w:pgSz w:w="11900" w:h="16838" w:orient="portrait"/>
          <w:cols w:equalWidth="0" w:num="1">
            <w:col w:w="9019"/>
          </w:cols>
          <w:pgMar w:left="1440" w:top="241" w:right="1440" w:bottom="1440" w:gutter="0" w:footer="0" w:header="0"/>
        </w:sectPr>
      </w:pPr>
    </w:p>
    <w:bookmarkStart w:id="52" w:name="page53"/>
    <w:bookmarkEnd w:id="52"/>
    <w:p>
      <w:pPr>
        <w:ind w:left="940" w:hanging="337"/>
        <w:spacing w:after="0"/>
        <w:tabs>
          <w:tab w:leader="none" w:pos="9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8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to provide for the issuance of and establish the form and terms and conditions of the debt securities of any series as provided under</w:t>
      </w:r>
    </w:p>
    <w:p>
      <w:pPr>
        <w:spacing w:after="0" w:line="22" w:lineRule="exact"/>
        <w:rPr>
          <w:rFonts w:ascii="Times New Roman" w:cs="Times New Roman" w:eastAsia="Times New Roman" w:hAnsi="Times New Roman"/>
          <w:sz w:val="14"/>
          <w:szCs w:val="14"/>
          <w:color w:val="auto"/>
        </w:rPr>
      </w:pPr>
    </w:p>
    <w:p>
      <w:pPr>
        <w:ind w:left="940" w:right="359"/>
        <w:spacing w:after="0" w:line="265" w:lineRule="auto"/>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Description of Debt Securities-General</w:t>
      </w:r>
      <w:r>
        <w:rPr>
          <w:rFonts w:ascii="Times New Roman" w:cs="Times New Roman" w:eastAsia="Times New Roman" w:hAnsi="Times New Roman"/>
          <w:sz w:val="14"/>
          <w:szCs w:val="14"/>
          <w:color w:val="auto"/>
        </w:rPr>
        <w:t>,” to establish the form of any certifications required to be furnished pursuant to the terms of the indenture or any series of debt securities, or to add to the rights of the holders of any series of debt securities;</w:t>
      </w:r>
    </w:p>
    <w:p>
      <w:pPr>
        <w:spacing w:after="0" w:line="6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evidence and provide for the acceptance of appointment hereunder by a successor trustee;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provide for uncertificated debt securities and to make all appropriate changes for such purpose;</w:t>
      </w:r>
    </w:p>
    <w:p>
      <w:pPr>
        <w:spacing w:after="0" w:line="104" w:lineRule="exact"/>
        <w:rPr>
          <w:rFonts w:ascii="Times New Roman" w:cs="Times New Roman" w:eastAsia="Times New Roman" w:hAnsi="Times New Roman"/>
          <w:sz w:val="14"/>
          <w:szCs w:val="14"/>
          <w:color w:val="auto"/>
        </w:rPr>
      </w:pPr>
    </w:p>
    <w:p>
      <w:pPr>
        <w:jc w:val="both"/>
        <w:ind w:left="940" w:right="239" w:hanging="337"/>
        <w:spacing w:after="0" w:line="269" w:lineRule="auto"/>
        <w:tabs>
          <w:tab w:leader="none" w:pos="9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add to our covenants such new covenants, restrictions, conditions or provisions for the benefit of the holders, to make the occurrence, or the occurrence and the continuance, of a default in any such additional covenants, restrictions, conditions or provisions an event of default or to surrender any right or power conferred to us in the indenture; or</w:t>
      </w:r>
    </w:p>
    <w:p>
      <w:pPr>
        <w:spacing w:after="0" w:line="62"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2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change anything that does not materially adversely affect the interests of any holder of debt securities of any series.</w:t>
      </w:r>
    </w:p>
    <w:p>
      <w:pPr>
        <w:spacing w:after="0" w:line="178" w:lineRule="exact"/>
        <w:rPr>
          <w:sz w:val="20"/>
          <w:szCs w:val="20"/>
          <w:color w:val="auto"/>
        </w:rPr>
      </w:pPr>
    </w:p>
    <w:p>
      <w:pPr>
        <w:ind w:left="180" w:right="199"/>
        <w:spacing w:after="0" w:line="261" w:lineRule="auto"/>
        <w:rPr>
          <w:sz w:val="20"/>
          <w:szCs w:val="20"/>
          <w:color w:val="auto"/>
        </w:rPr>
      </w:pPr>
      <w:r>
        <w:rPr>
          <w:rFonts w:ascii="Times New Roman" w:cs="Times New Roman" w:eastAsia="Times New Roman" w:hAnsi="Times New Roman"/>
          <w:sz w:val="14"/>
          <w:szCs w:val="14"/>
          <w:color w:val="auto"/>
        </w:rPr>
        <w:t>In addition, under the indentures, the rights of holders of a series of debt securities may be changed by us and the trustee with the written consent of the holders of at least a majority in aggregate principal amount of the outstanding debt securities of each series that is affected. However, subject to the terms of the indenture for any series of debt securities that we may issue or as otherwise provided in the prospectus supplement or free writing prospectus applicable to a particular series of debt securities, we and the trustee may make the following changes only with the consent of each holder of any outstanding debt securities affected:</w:t>
      </w:r>
    </w:p>
    <w:p>
      <w:pPr>
        <w:spacing w:after="0" w:line="68" w:lineRule="exact"/>
        <w:rPr>
          <w:sz w:val="20"/>
          <w:szCs w:val="20"/>
          <w:color w:val="auto"/>
        </w:rPr>
      </w:pPr>
    </w:p>
    <w:p>
      <w:pPr>
        <w:ind w:left="940" w:hanging="337"/>
        <w:spacing w:after="0"/>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extending the stated maturity of the series of debt securities;</w:t>
      </w:r>
    </w:p>
    <w:p>
      <w:pPr>
        <w:spacing w:after="0" w:line="104" w:lineRule="exact"/>
        <w:rPr>
          <w:rFonts w:ascii="Times New Roman" w:cs="Times New Roman" w:eastAsia="Times New Roman" w:hAnsi="Times New Roman"/>
          <w:sz w:val="14"/>
          <w:szCs w:val="14"/>
          <w:color w:val="auto"/>
        </w:rPr>
      </w:pPr>
    </w:p>
    <w:p>
      <w:pPr>
        <w:ind w:left="940" w:right="399" w:hanging="337"/>
        <w:spacing w:after="0" w:line="286" w:lineRule="auto"/>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principal amount, reducing the rate of or extending the time of payment of interest, or reducing any premium payable upon the redemption or repurchase of any debt securities; or</w:t>
      </w:r>
    </w:p>
    <w:p>
      <w:pPr>
        <w:spacing w:after="0" w:line="50" w:lineRule="exact"/>
        <w:rPr>
          <w:rFonts w:ascii="Times New Roman" w:cs="Times New Roman" w:eastAsia="Times New Roman" w:hAnsi="Times New Roman"/>
          <w:sz w:val="14"/>
          <w:szCs w:val="14"/>
          <w:color w:val="auto"/>
        </w:rPr>
      </w:pPr>
    </w:p>
    <w:p>
      <w:pPr>
        <w:ind w:left="940" w:right="419" w:hanging="337"/>
        <w:spacing w:after="0" w:line="286" w:lineRule="auto"/>
        <w:tabs>
          <w:tab w:leader="none" w:pos="940" w:val="left"/>
        </w:tabs>
        <w:numPr>
          <w:ilvl w:val="0"/>
          <w:numId w:val="2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reducing the percentage of debt securities, the holders of which are required to consent to any amendment, supplement, modification or waiver.</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Discharge</w:t>
      </w:r>
    </w:p>
    <w:p>
      <w:pPr>
        <w:spacing w:after="0" w:line="95" w:lineRule="exact"/>
        <w:rPr>
          <w:sz w:val="20"/>
          <w:szCs w:val="20"/>
          <w:color w:val="auto"/>
        </w:rPr>
      </w:pPr>
    </w:p>
    <w:p>
      <w:pPr>
        <w:jc w:val="both"/>
        <w:ind w:left="180" w:right="399"/>
        <w:spacing w:after="0" w:line="269" w:lineRule="auto"/>
        <w:rPr>
          <w:sz w:val="20"/>
          <w:szCs w:val="20"/>
          <w:color w:val="auto"/>
        </w:rPr>
      </w:pPr>
      <w:r>
        <w:rPr>
          <w:rFonts w:ascii="Times New Roman" w:cs="Times New Roman" w:eastAsia="Times New Roman" w:hAnsi="Times New Roman"/>
          <w:sz w:val="14"/>
          <w:szCs w:val="14"/>
          <w:color w:val="auto"/>
        </w:rPr>
        <w:t>Each indenture provides that, subject to the terms of the indenture and any limitation otherwise provided in the prospectus supplement or free writing prospectus applicable to a particular series of debt securities, we can elect to be discharged from our obligations with respect to one or more series of debt securities, except for specified obligations, including obligations to:</w:t>
      </w:r>
    </w:p>
    <w:p>
      <w:pPr>
        <w:spacing w:after="0" w:line="63" w:lineRule="exact"/>
        <w:rPr>
          <w:sz w:val="20"/>
          <w:szCs w:val="20"/>
          <w:color w:val="auto"/>
        </w:rPr>
      </w:pPr>
    </w:p>
    <w:p>
      <w:pPr>
        <w:ind w:left="940" w:hanging="337"/>
        <w:spacing w:after="0"/>
        <w:tabs>
          <w:tab w:leader="none" w:pos="9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or exchange of debt securities of the series;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replace stolen, lost or mutilated debt securities of the series;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maintain paying agencies;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 monies for payment in trust;</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recover excess money held by the trustee;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compensate and indemnify the trustee; and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0"/>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appoint any successor trustee.</w:t>
      </w:r>
    </w:p>
    <w:p>
      <w:pPr>
        <w:spacing w:after="0" w:line="178" w:lineRule="exact"/>
        <w:rPr>
          <w:sz w:val="20"/>
          <w:szCs w:val="20"/>
          <w:color w:val="auto"/>
        </w:rPr>
      </w:pPr>
    </w:p>
    <w:p>
      <w:pPr>
        <w:ind w:left="180" w:right="299"/>
        <w:spacing w:after="0" w:line="286" w:lineRule="auto"/>
        <w:rPr>
          <w:sz w:val="20"/>
          <w:szCs w:val="20"/>
          <w:color w:val="auto"/>
        </w:rPr>
      </w:pPr>
      <w:r>
        <w:rPr>
          <w:rFonts w:ascii="Times New Roman" w:cs="Times New Roman" w:eastAsia="Times New Roman" w:hAnsi="Times New Roman"/>
          <w:sz w:val="14"/>
          <w:szCs w:val="14"/>
          <w:color w:val="auto"/>
        </w:rPr>
        <w:t>In order to exercise our rights to be discharged, we must deposit with the trustee money or government obligations sufficient to pay all the principal of, any premium and interest on, the debt securities of the series on the dates payments are due.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Form, Exchange and Transfer</w:t>
      </w:r>
    </w:p>
    <w:p>
      <w:pPr>
        <w:spacing w:after="0" w:line="95" w:lineRule="exact"/>
        <w:rPr>
          <w:sz w:val="20"/>
          <w:szCs w:val="20"/>
          <w:color w:val="auto"/>
        </w:rPr>
      </w:pPr>
    </w:p>
    <w:p>
      <w:pPr>
        <w:ind w:left="180" w:right="759"/>
        <w:spacing w:after="0" w:line="286" w:lineRule="auto"/>
        <w:rPr>
          <w:sz w:val="20"/>
          <w:szCs w:val="20"/>
          <w:color w:val="auto"/>
        </w:rPr>
      </w:pPr>
      <w:r>
        <w:rPr>
          <w:rFonts w:ascii="Times New Roman" w:cs="Times New Roman" w:eastAsia="Times New Roman" w:hAnsi="Times New Roman"/>
          <w:sz w:val="14"/>
          <w:szCs w:val="14"/>
          <w:color w:val="auto"/>
        </w:rPr>
        <w:t>We will issue the debt securities of each series only in fully registered form without coupons and, unless we otherwise specify in the applicable prospectus supplement or free writing prospectus, in denominations of $1,000</w:t>
      </w:r>
    </w:p>
    <w:p>
      <w:pPr>
        <w:spacing w:after="0" w:line="72"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25</w:t>
      </w:r>
    </w:p>
    <w:p>
      <w:pPr>
        <w:sectPr>
          <w:pgSz w:w="11900" w:h="16838" w:orient="portrait"/>
          <w:cols w:equalWidth="0" w:num="1">
            <w:col w:w="9019"/>
          </w:cols>
          <w:pgMar w:left="1440" w:top="242" w:right="1440" w:bottom="1440" w:gutter="0" w:footer="0" w:header="0"/>
        </w:sectPr>
      </w:pPr>
    </w:p>
    <w:bookmarkStart w:id="53" w:name="page54"/>
    <w:bookmarkEnd w:id="53"/>
    <w:p>
      <w:pPr>
        <w:ind w:left="180" w:right="19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88">
                      <a:extLst>
                        <a:ext uri="{28A0092B-C50C-407E-A947-70E740481C1C}"/>
                      </a:extLst>
                    </a:blip>
                    <a:srcRect/>
                    <a:stretch>
                      <a:fillRect/>
                    </a:stretch>
                  </pic:blipFill>
                  <pic:spPr bwMode="auto">
                    <a:xfrm>
                      <a:off x="0" y="0"/>
                      <a:ext cx="7200900" cy="33020"/>
                    </a:xfrm>
                    <a:prstGeom prst="rect">
                      <a:avLst/>
                    </a:prstGeom>
                    <a:noFill/>
                  </pic:spPr>
                </pic:pic>
              </a:graphicData>
            </a:graphic>
          </wp:anchor>
        </w:drawing>
        <w:t>and any integral multiple thereof. The indentures provide that we may issue debt securities of a series in temporary or permanent global form and as book-entry securities that will be deposited with, or on behalf of, The Depository Trust Company or another depository named by us and identified in a prospectus supplement or free writing prospectus with respect to that series. At the option of the holder, subject to the terms of the indentures and the limitations applicable to global securities described in the applicable prospectus supplement or free writing prospectus, the holder of the debt securities of any series can exchange the debt securities for other debt securities of the same series, in any authorized denomination and of like tenor and aggregate principal amount.</w:t>
      </w:r>
    </w:p>
    <w:p>
      <w:pPr>
        <w:spacing w:after="0" w:line="145" w:lineRule="exact"/>
        <w:rPr>
          <w:sz w:val="20"/>
          <w:szCs w:val="20"/>
          <w:color w:val="auto"/>
        </w:rPr>
      </w:pPr>
    </w:p>
    <w:p>
      <w:pPr>
        <w:ind w:left="180" w:right="279"/>
        <w:spacing w:after="0" w:line="261" w:lineRule="auto"/>
        <w:rPr>
          <w:sz w:val="20"/>
          <w:szCs w:val="20"/>
          <w:color w:val="auto"/>
        </w:rPr>
      </w:pPr>
      <w:r>
        <w:rPr>
          <w:rFonts w:ascii="Times New Roman" w:cs="Times New Roman" w:eastAsia="Times New Roman" w:hAnsi="Times New Roman"/>
          <w:sz w:val="14"/>
          <w:szCs w:val="14"/>
          <w:color w:val="auto"/>
        </w:rPr>
        <w:t>Subject to the terms of the indentures and the limitations applicable to global securities set forth in the applicable prospectus supplement or free writing prospectus, holders of the debt securities may present the debt securities for exchange or for registration of transfer, duly endorsed or with the form of transfer endorsed thereon duly executed if so required by us or the security registrar, at the office of the security registrar or at the office of any transfer agent designated by us for this purpose. Unless otherwise provided in the debt securities that the holder presents for transfer or exchange, we will make no service charge for any registration of transfer or exchange, but we may require payment of any taxes or other governmental charges.</w:t>
      </w:r>
    </w:p>
    <w:p>
      <w:pPr>
        <w:spacing w:after="0" w:line="142" w:lineRule="exact"/>
        <w:rPr>
          <w:sz w:val="20"/>
          <w:szCs w:val="20"/>
          <w:color w:val="auto"/>
        </w:rPr>
      </w:pPr>
    </w:p>
    <w:p>
      <w:pPr>
        <w:ind w:left="180" w:right="279"/>
        <w:spacing w:after="0" w:line="264" w:lineRule="auto"/>
        <w:rPr>
          <w:sz w:val="20"/>
          <w:szCs w:val="20"/>
          <w:color w:val="auto"/>
        </w:rPr>
      </w:pPr>
      <w:r>
        <w:rPr>
          <w:rFonts w:ascii="Times New Roman" w:cs="Times New Roman" w:eastAsia="Times New Roman" w:hAnsi="Times New Roman"/>
          <w:sz w:val="14"/>
          <w:szCs w:val="14"/>
          <w:color w:val="auto"/>
        </w:rPr>
        <w:t>We will name in the applicable prospectus supplement or free writing prospectus the security registrar, and any transfer agent in addition to the security registrar, that we initially designate for any debt securities. We may at any time designate additional transfer agents or rescind the designation of any transfer agent or approve a change in the office through which any transfer agent acts, except that we will be required to maintain a transfer agent in each place of payment for the debt securities of each series. If we elect to redeem the debt securities of any series, we will not be required to:</w:t>
      </w:r>
    </w:p>
    <w:p>
      <w:pPr>
        <w:spacing w:after="0" w:line="65" w:lineRule="exact"/>
        <w:rPr>
          <w:sz w:val="20"/>
          <w:szCs w:val="20"/>
          <w:color w:val="auto"/>
        </w:rPr>
      </w:pPr>
    </w:p>
    <w:p>
      <w:pPr>
        <w:jc w:val="both"/>
        <w:ind w:left="940" w:right="399" w:hanging="337"/>
        <w:spacing w:after="0" w:line="269" w:lineRule="auto"/>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issue, register the transfer of, or exchange any debt securities of that series during a period beginning at the opening of business 15 days before the day of mailing of a notice of redemption of any debt securities that may be selected for redemption and ending at the close of business on the day of the mailing; or</w:t>
      </w:r>
    </w:p>
    <w:p>
      <w:pPr>
        <w:spacing w:after="0" w:line="62" w:lineRule="exact"/>
        <w:rPr>
          <w:rFonts w:ascii="Times New Roman" w:cs="Times New Roman" w:eastAsia="Times New Roman" w:hAnsi="Times New Roman"/>
          <w:sz w:val="14"/>
          <w:szCs w:val="14"/>
          <w:color w:val="auto"/>
        </w:rPr>
      </w:pPr>
    </w:p>
    <w:p>
      <w:pPr>
        <w:ind w:left="940" w:right="399" w:hanging="337"/>
        <w:spacing w:after="0" w:line="286" w:lineRule="auto"/>
        <w:tabs>
          <w:tab w:leader="none" w:pos="940" w:val="left"/>
        </w:tabs>
        <w:numPr>
          <w:ilvl w:val="0"/>
          <w:numId w:val="31"/>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register the transfer of or exchange any debt securities so selected for redemption, in whole or in part, except the unredeemed portion of any debt securities we are redeeming in part.</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Information Concerning the Trustee</w:t>
      </w:r>
    </w:p>
    <w:p>
      <w:pPr>
        <w:spacing w:after="0" w:line="95" w:lineRule="exact"/>
        <w:rPr>
          <w:sz w:val="20"/>
          <w:szCs w:val="20"/>
          <w:color w:val="auto"/>
        </w:rPr>
      </w:pPr>
    </w:p>
    <w:p>
      <w:pPr>
        <w:jc w:val="both"/>
        <w:ind w:left="180" w:right="299"/>
        <w:spacing w:after="0" w:line="269" w:lineRule="auto"/>
        <w:rPr>
          <w:sz w:val="20"/>
          <w:szCs w:val="20"/>
          <w:color w:val="auto"/>
        </w:rPr>
      </w:pPr>
      <w:r>
        <w:rPr>
          <w:rFonts w:ascii="Times New Roman" w:cs="Times New Roman" w:eastAsia="Times New Roman" w:hAnsi="Times New Roman"/>
          <w:sz w:val="14"/>
          <w:szCs w:val="14"/>
          <w:color w:val="auto"/>
        </w:rPr>
        <w:t>The trustee, other than during the occurrence and continuance of an event of default under an indenture, undertakes to perform only those duties as are specifically set forth in the applicable indenture. Upon an event of default under an indenture, the trustee must use the same degree of care as a prudent person would exercise or use in the conduct of his or her own affairs.</w:t>
      </w:r>
    </w:p>
    <w:p>
      <w:pPr>
        <w:spacing w:after="0" w:line="137" w:lineRule="exact"/>
        <w:rPr>
          <w:sz w:val="20"/>
          <w:szCs w:val="20"/>
          <w:color w:val="auto"/>
        </w:rPr>
      </w:pPr>
    </w:p>
    <w:p>
      <w:pPr>
        <w:ind w:left="180" w:right="359"/>
        <w:spacing w:after="0" w:line="286" w:lineRule="auto"/>
        <w:rPr>
          <w:sz w:val="20"/>
          <w:szCs w:val="20"/>
          <w:color w:val="auto"/>
        </w:rPr>
      </w:pPr>
      <w:r>
        <w:rPr>
          <w:rFonts w:ascii="Times New Roman" w:cs="Times New Roman" w:eastAsia="Times New Roman" w:hAnsi="Times New Roman"/>
          <w:sz w:val="14"/>
          <w:szCs w:val="14"/>
          <w:color w:val="auto"/>
        </w:rPr>
        <w:t>Subject to this provision, the trustee is under no obligation to exercise any of the powers given it by the indentures at the request of any holder of debt securities unless it is offered reasonable security and indemnity against the costs, expenses and liabilities that it might incur.</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Payment and Paying Agents</w:t>
      </w:r>
    </w:p>
    <w:p>
      <w:pPr>
        <w:spacing w:after="0" w:line="95" w:lineRule="exact"/>
        <w:rPr>
          <w:sz w:val="20"/>
          <w:szCs w:val="20"/>
          <w:color w:val="auto"/>
        </w:rPr>
      </w:pPr>
    </w:p>
    <w:p>
      <w:pPr>
        <w:ind w:left="180" w:right="259"/>
        <w:spacing w:after="0" w:line="269" w:lineRule="auto"/>
        <w:rPr>
          <w:sz w:val="20"/>
          <w:szCs w:val="20"/>
          <w:color w:val="auto"/>
        </w:rPr>
      </w:pPr>
      <w:r>
        <w:rPr>
          <w:rFonts w:ascii="Times New Roman" w:cs="Times New Roman" w:eastAsia="Times New Roman" w:hAnsi="Times New Roman"/>
          <w:sz w:val="14"/>
          <w:szCs w:val="14"/>
          <w:color w:val="auto"/>
        </w:rPr>
        <w:t>Unless we otherwise indicate in the applicable prospectus supplement or free writing prospectus, we will make payment of the interest on any debt securities on any interest payment date to the person in whose name the debt securities, or one or more predecessor securities, are registered at the close of business on the regular record date for the interest.</w:t>
      </w:r>
    </w:p>
    <w:p>
      <w:pPr>
        <w:spacing w:after="0" w:line="137" w:lineRule="exact"/>
        <w:rPr>
          <w:sz w:val="20"/>
          <w:szCs w:val="20"/>
          <w:color w:val="auto"/>
        </w:rPr>
      </w:pPr>
    </w:p>
    <w:p>
      <w:pPr>
        <w:jc w:val="both"/>
        <w:ind w:left="180" w:right="379"/>
        <w:spacing w:after="0" w:line="269" w:lineRule="auto"/>
        <w:rPr>
          <w:sz w:val="20"/>
          <w:szCs w:val="20"/>
          <w:color w:val="auto"/>
        </w:rPr>
      </w:pPr>
      <w:r>
        <w:rPr>
          <w:rFonts w:ascii="Times New Roman" w:cs="Times New Roman" w:eastAsia="Times New Roman" w:hAnsi="Times New Roman"/>
          <w:sz w:val="14"/>
          <w:szCs w:val="14"/>
          <w:color w:val="auto"/>
        </w:rPr>
        <w:t>We will pay principal of and any premium and interest on the debt securities of a particular series at the office of the paying agents designated by us, except that unless we otherwise indicate in the applicable prospectus supplement or free writing prospectus, we will make interest payments by check that we will mail to the holder or by wire transfer to certain holders. Unless we otherwise indicate in the applicable prospectus supplement or</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26</w:t>
      </w:r>
    </w:p>
    <w:p>
      <w:pPr>
        <w:sectPr>
          <w:pgSz w:w="11900" w:h="16838" w:orient="portrait"/>
          <w:cols w:equalWidth="0" w:num="1">
            <w:col w:w="9019"/>
          </w:cols>
          <w:pgMar w:left="1440" w:top="241" w:right="1440" w:bottom="1440" w:gutter="0" w:footer="0" w:header="0"/>
        </w:sectPr>
      </w:pPr>
    </w:p>
    <w:bookmarkStart w:id="54" w:name="page55"/>
    <w:bookmarkEnd w:id="54"/>
    <w:p>
      <w:pPr>
        <w:jc w:val="both"/>
        <w:ind w:left="180" w:right="239"/>
        <w:spacing w:after="0" w:line="26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89">
                      <a:extLst>
                        <a:ext uri="{28A0092B-C50C-407E-A947-70E740481C1C}"/>
                      </a:extLst>
                    </a:blip>
                    <a:srcRect/>
                    <a:stretch>
                      <a:fillRect/>
                    </a:stretch>
                  </pic:blipFill>
                  <pic:spPr bwMode="auto">
                    <a:xfrm>
                      <a:off x="0" y="0"/>
                      <a:ext cx="7200900" cy="33020"/>
                    </a:xfrm>
                    <a:prstGeom prst="rect">
                      <a:avLst/>
                    </a:prstGeom>
                    <a:noFill/>
                  </pic:spPr>
                </pic:pic>
              </a:graphicData>
            </a:graphic>
          </wp:anchor>
        </w:drawing>
        <w:t>free writing prospectus, we will designate the corporate trust office of the trustee as our sole paying agent for payments with respect to debt securities of each series. We will name in the applicable prospectus supplement or free writing prospectus any other paying agents that we initially designate for the debt securities of a particular series. We will maintain a paying agent in each place of payment for the debt securities of a particular series.</w:t>
      </w:r>
    </w:p>
    <w:p>
      <w:pPr>
        <w:spacing w:after="0" w:line="137" w:lineRule="exact"/>
        <w:rPr>
          <w:sz w:val="20"/>
          <w:szCs w:val="20"/>
          <w:color w:val="auto"/>
        </w:rPr>
      </w:pPr>
    </w:p>
    <w:p>
      <w:pPr>
        <w:ind w:left="180" w:right="339"/>
        <w:spacing w:after="0" w:line="269" w:lineRule="auto"/>
        <w:rPr>
          <w:sz w:val="20"/>
          <w:szCs w:val="20"/>
          <w:color w:val="auto"/>
        </w:rPr>
      </w:pPr>
      <w:r>
        <w:rPr>
          <w:rFonts w:ascii="Times New Roman" w:cs="Times New Roman" w:eastAsia="Times New Roman" w:hAnsi="Times New Roman"/>
          <w:sz w:val="14"/>
          <w:szCs w:val="14"/>
          <w:color w:val="auto"/>
        </w:rPr>
        <w:t>All money we pay to a paying agent or the trustee for the payment of the principal of or any premium or interest on any debt securities that remains unclaimed at the end of two years after such principal, premium or interest has become due and payable will be repaid to us, and the holder of the debt security thereafter may look only to us for payment thereof.</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Governing Law</w:t>
      </w:r>
    </w:p>
    <w:p>
      <w:pPr>
        <w:spacing w:after="0" w:line="95" w:lineRule="exact"/>
        <w:rPr>
          <w:sz w:val="20"/>
          <w:szCs w:val="20"/>
          <w:color w:val="auto"/>
        </w:rPr>
      </w:pPr>
    </w:p>
    <w:p>
      <w:pPr>
        <w:ind w:left="180" w:right="239"/>
        <w:spacing w:after="0" w:line="286" w:lineRule="auto"/>
        <w:rPr>
          <w:sz w:val="20"/>
          <w:szCs w:val="20"/>
          <w:color w:val="auto"/>
        </w:rPr>
      </w:pPr>
      <w:r>
        <w:rPr>
          <w:rFonts w:ascii="Times New Roman" w:cs="Times New Roman" w:eastAsia="Times New Roman" w:hAnsi="Times New Roman"/>
          <w:sz w:val="14"/>
          <w:szCs w:val="14"/>
          <w:color w:val="auto"/>
        </w:rPr>
        <w:t>The indentures and the debt securities will be governed by and construed in accordance with the laws of the State of New York, except to the extent that the Trust Indenture Act is applicable.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Ranking of Debt Securities</w:t>
      </w:r>
    </w:p>
    <w:p>
      <w:pPr>
        <w:spacing w:after="0" w:line="95" w:lineRule="exact"/>
        <w:rPr>
          <w:sz w:val="20"/>
          <w:szCs w:val="20"/>
          <w:color w:val="auto"/>
        </w:rPr>
      </w:pPr>
    </w:p>
    <w:p>
      <w:pPr>
        <w:jc w:val="both"/>
        <w:ind w:left="180" w:right="419"/>
        <w:spacing w:after="0" w:line="269" w:lineRule="auto"/>
        <w:rPr>
          <w:sz w:val="20"/>
          <w:szCs w:val="20"/>
          <w:color w:val="auto"/>
        </w:rPr>
      </w:pPr>
      <w:r>
        <w:rPr>
          <w:rFonts w:ascii="Times New Roman" w:cs="Times New Roman" w:eastAsia="Times New Roman" w:hAnsi="Times New Roman"/>
          <w:sz w:val="14"/>
          <w:szCs w:val="14"/>
          <w:color w:val="auto"/>
        </w:rPr>
        <w:t>The subordinated debt securities will be subordinate and junior in priority of payment to certain of our other indebtedness to the extent described in a prospectus supplement or free writing prospectus. The subordinated indenture does not limit the amount of subordinated debt securities that we may issue. It also does not limit us from issuing any other secured or unsecured debt.</w:t>
      </w:r>
    </w:p>
    <w:p>
      <w:pPr>
        <w:spacing w:after="0" w:line="137" w:lineRule="exact"/>
        <w:rPr>
          <w:sz w:val="20"/>
          <w:szCs w:val="20"/>
          <w:color w:val="auto"/>
        </w:rPr>
      </w:pPr>
    </w:p>
    <w:p>
      <w:pPr>
        <w:ind w:left="180" w:right="259"/>
        <w:spacing w:after="0" w:line="286" w:lineRule="auto"/>
        <w:rPr>
          <w:sz w:val="20"/>
          <w:szCs w:val="20"/>
          <w:color w:val="auto"/>
        </w:rPr>
      </w:pPr>
      <w:r>
        <w:rPr>
          <w:rFonts w:ascii="Times New Roman" w:cs="Times New Roman" w:eastAsia="Times New Roman" w:hAnsi="Times New Roman"/>
          <w:sz w:val="14"/>
          <w:szCs w:val="14"/>
          <w:color w:val="auto"/>
        </w:rPr>
        <w:t>The senior debt securities will rank equally in right of payment to all our other senior unsecured debt. The senior indenture does not limit the amount of senior debt securities that we may issue. It also does not limit us from issuing any other secured or unsecured debt.</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27</w:t>
      </w:r>
    </w:p>
    <w:p>
      <w:pPr>
        <w:sectPr>
          <w:pgSz w:w="11900" w:h="16838" w:orient="portrait"/>
          <w:cols w:equalWidth="0" w:num="1">
            <w:col w:w="9019"/>
          </w:cols>
          <w:pgMar w:left="1440" w:top="242" w:right="1440" w:bottom="1440" w:gutter="0" w:footer="0" w:header="0"/>
        </w:sectPr>
      </w:pPr>
    </w:p>
    <w:bookmarkStart w:id="55" w:name="page56"/>
    <w:bookmarkEnd w:id="55"/>
    <w:p>
      <w:pPr>
        <w:jc w:val="center"/>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90">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DESCRIPTION OF WARRANTS</w:t>
      </w:r>
    </w:p>
    <w:p>
      <w:pPr>
        <w:spacing w:after="0" w:line="180" w:lineRule="exact"/>
        <w:rPr>
          <w:sz w:val="20"/>
          <w:szCs w:val="20"/>
          <w:color w:val="auto"/>
        </w:rPr>
      </w:pPr>
    </w:p>
    <w:p>
      <w:pPr>
        <w:ind w:left="180" w:right="279"/>
        <w:spacing w:after="0" w:line="259" w:lineRule="auto"/>
        <w:rPr>
          <w:sz w:val="20"/>
          <w:szCs w:val="20"/>
          <w:color w:val="auto"/>
        </w:rPr>
      </w:pPr>
      <w:r>
        <w:rPr>
          <w:rFonts w:ascii="Times New Roman" w:cs="Times New Roman" w:eastAsia="Times New Roman" w:hAnsi="Times New Roman"/>
          <w:sz w:val="14"/>
          <w:szCs w:val="14"/>
          <w:color w:val="auto"/>
        </w:rPr>
        <w:t>The following description, together with the additional information we may include in any applicable prospectus supplements, summarizes the material terms and provisions of the warrants that we may offer under this prospectus and the related warrant agreements and warrant certificates. While the terms summarized below will apply generally to any warrants that we may offer, we will describe the particular terms of any series of warrants in more detail in the applicable prospectus supplement. If we indicate in the prospectus supplement, the terms of any warrants offered under that prospectus supplement may differ from the terms described below. Specific warrant agreements will contain additional important terms and provisions and will be incorporated by reference as an exhibit to the registration statement, which includes this prospectus.</w:t>
      </w: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General</w:t>
      </w:r>
    </w:p>
    <w:p>
      <w:pPr>
        <w:spacing w:after="0" w:line="95" w:lineRule="exact"/>
        <w:rPr>
          <w:sz w:val="20"/>
          <w:szCs w:val="20"/>
          <w:color w:val="auto"/>
        </w:rPr>
      </w:pPr>
    </w:p>
    <w:p>
      <w:pPr>
        <w:ind w:left="180" w:right="679"/>
        <w:spacing w:after="0" w:line="269" w:lineRule="auto"/>
        <w:rPr>
          <w:sz w:val="20"/>
          <w:szCs w:val="20"/>
          <w:color w:val="auto"/>
        </w:rPr>
      </w:pPr>
      <w:r>
        <w:rPr>
          <w:rFonts w:ascii="Times New Roman" w:cs="Times New Roman" w:eastAsia="Times New Roman" w:hAnsi="Times New Roman"/>
          <w:sz w:val="14"/>
          <w:szCs w:val="14"/>
          <w:color w:val="auto"/>
        </w:rPr>
        <w:t>We may issue warrants for the purchase of common stock, preferred stock and/or debt securities in one or more series. We may issue warrants independently or together with common stock, preferred stock and/or debt securities, and the warrants may be attached to or separate from these securities.</w:t>
      </w:r>
    </w:p>
    <w:p>
      <w:pPr>
        <w:spacing w:after="0" w:line="137" w:lineRule="exact"/>
        <w:rPr>
          <w:sz w:val="20"/>
          <w:szCs w:val="20"/>
          <w:color w:val="auto"/>
        </w:rPr>
      </w:pPr>
    </w:p>
    <w:p>
      <w:pPr>
        <w:ind w:left="180" w:right="419"/>
        <w:spacing w:after="0" w:line="269" w:lineRule="auto"/>
        <w:rPr>
          <w:sz w:val="20"/>
          <w:szCs w:val="20"/>
          <w:color w:val="auto"/>
        </w:rPr>
      </w:pPr>
      <w:r>
        <w:rPr>
          <w:rFonts w:ascii="Times New Roman" w:cs="Times New Roman" w:eastAsia="Times New Roman" w:hAnsi="Times New Roman"/>
          <w:sz w:val="14"/>
          <w:szCs w:val="14"/>
          <w:color w:val="auto"/>
        </w:rPr>
        <w:t>We will evidence each series of warrants by warrant certificates that we will issue under a separate warrant agreement. We will enter into the warrant agreement with a warrant agent. We will indicate the name and address of the warrant agent in the applicable prospectus supplement relating to a particular series of warrants.</w:t>
      </w:r>
    </w:p>
    <w:p>
      <w:pPr>
        <w:spacing w:after="0" w:line="13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We will describe in the applicable prospectus supplement the terms of the series of warrants, including:</w:t>
      </w:r>
    </w:p>
    <w:p>
      <w:pPr>
        <w:spacing w:after="0" w:line="104" w:lineRule="exact"/>
        <w:rPr>
          <w:sz w:val="20"/>
          <w:szCs w:val="20"/>
          <w:color w:val="auto"/>
        </w:rPr>
      </w:pPr>
    </w:p>
    <w:p>
      <w:pPr>
        <w:ind w:left="940" w:hanging="337"/>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offering price and aggregate number of warrants offered;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currency for which the warrants may be purchased;</w:t>
      </w:r>
    </w:p>
    <w:p>
      <w:pPr>
        <w:spacing w:after="0" w:line="104" w:lineRule="exact"/>
        <w:rPr>
          <w:rFonts w:ascii="Times New Roman" w:cs="Times New Roman" w:eastAsia="Times New Roman" w:hAnsi="Times New Roman"/>
          <w:sz w:val="14"/>
          <w:szCs w:val="14"/>
          <w:color w:val="auto"/>
        </w:rPr>
      </w:pPr>
    </w:p>
    <w:p>
      <w:pPr>
        <w:ind w:left="940" w:right="379" w:hanging="337"/>
        <w:spacing w:after="0" w:line="286" w:lineRule="auto"/>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designation and terms of the securities with which the warrants are issued and the number of warrants issued with each such security or each principal amount of such security;</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applicable, the date on and after which the warrants and the related securities will be separately transferable;</w:t>
      </w:r>
    </w:p>
    <w:p>
      <w:pPr>
        <w:spacing w:after="0" w:line="104" w:lineRule="exact"/>
        <w:rPr>
          <w:rFonts w:ascii="Times New Roman" w:cs="Times New Roman" w:eastAsia="Times New Roman" w:hAnsi="Times New Roman"/>
          <w:sz w:val="14"/>
          <w:szCs w:val="14"/>
          <w:color w:val="auto"/>
        </w:rPr>
      </w:pPr>
    </w:p>
    <w:p>
      <w:pPr>
        <w:ind w:left="940" w:right="199" w:hanging="337"/>
        <w:spacing w:after="0" w:line="286" w:lineRule="auto"/>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debt securities, the principal amount of debt securities purchasable upon exercise of one warrant and the price at, and currency in which, this principal amount of debt securities may be purchased upon such exercise;</w:t>
      </w:r>
    </w:p>
    <w:p>
      <w:pPr>
        <w:spacing w:after="0" w:line="50" w:lineRule="exact"/>
        <w:rPr>
          <w:rFonts w:ascii="Times New Roman" w:cs="Times New Roman" w:eastAsia="Times New Roman" w:hAnsi="Times New Roman"/>
          <w:sz w:val="14"/>
          <w:szCs w:val="14"/>
          <w:color w:val="auto"/>
        </w:rPr>
      </w:pPr>
    </w:p>
    <w:p>
      <w:pPr>
        <w:ind w:left="940" w:right="239" w:hanging="337"/>
        <w:spacing w:after="0" w:line="286" w:lineRule="auto"/>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the case of warrants to purchase common stock or preferred stock, the number of shares of common stock or preferred stock, as the case may be, purchasable upon the exercise of one warrant and the price at which these shares may be purchased upon such exercise;</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effect of any merger, consolidation, sale or other disposition of our business on the warrant agreement and the warrants;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any rights to redeem or call the warrants;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changes to or adjustments in the exercise price or number of securities issuable upon exercise of the warrants;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periods during which, and places at which, the warrants are exercisable;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of exercise;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dates on which the right to exercise the warrants will commence and expire;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manner in which the warrant agreement and warrants may be modified;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federal income tax consequences of holding or exercising the warrants;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securities issuable upon exercise of the warrants; and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2"/>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specific terms, preferences, rights or limitations of or restrictions on the warrants.</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28</w:t>
      </w:r>
    </w:p>
    <w:p>
      <w:pPr>
        <w:sectPr>
          <w:pgSz w:w="11900" w:h="16838" w:orient="portrait"/>
          <w:cols w:equalWidth="0" w:num="1">
            <w:col w:w="9019"/>
          </w:cols>
          <w:pgMar w:left="1440" w:top="239" w:right="1440" w:bottom="1440" w:gutter="0" w:footer="0" w:header="0"/>
        </w:sectPr>
      </w:pPr>
    </w:p>
    <w:bookmarkStart w:id="56" w:name="page57"/>
    <w:bookmarkEnd w:id="56"/>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91">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DESCRIPTION OF UNITS</w:t>
      </w:r>
    </w:p>
    <w:p>
      <w:pPr>
        <w:spacing w:after="0" w:line="180" w:lineRule="exact"/>
        <w:rPr>
          <w:sz w:val="20"/>
          <w:szCs w:val="20"/>
          <w:color w:val="auto"/>
        </w:rPr>
      </w:pPr>
    </w:p>
    <w:p>
      <w:pPr>
        <w:ind w:left="180" w:right="239"/>
        <w:spacing w:after="0" w:line="257" w:lineRule="auto"/>
        <w:rPr>
          <w:sz w:val="20"/>
          <w:szCs w:val="20"/>
          <w:color w:val="auto"/>
        </w:rPr>
      </w:pPr>
      <w:r>
        <w:rPr>
          <w:rFonts w:ascii="Times New Roman" w:cs="Times New Roman" w:eastAsia="Times New Roman" w:hAnsi="Times New Roman"/>
          <w:sz w:val="14"/>
          <w:szCs w:val="14"/>
          <w:color w:val="auto"/>
        </w:rPr>
        <w:t>We may issue units comprised of shares of common stock, shares of preferred stock, debt securities and warrants in any combination. We may issue units in such amounts and in as many distinct series as we wish. This section outlines certain provisions of the units that we may issue. If we issue units, they will be issued under one or more unit agreements to be entered into between us and a bank or other financial institution, as unit agent. The information described in this section may not be complete in all respects and is qualified entirely by reference to the unit agreement with respect to the units of any particular series. The specific terms of any series of units offered will be described in the applicable prospectus supplement. If so described in a particular supplement, the specific terms of any series of units may differ from the general description of terms presented below. We urge you to read any prospectus supplement related to any series of units we may offer, as well as the complete unit agreement and unit certificate that contain the terms of the units. If we issue units, forms of unit agreements and unit certificates relating to such units will be incorporated by reference as exhibits to the registration statement, which includes this prospectus.</w:t>
      </w:r>
    </w:p>
    <w:p>
      <w:pPr>
        <w:spacing w:after="0" w:line="145" w:lineRule="exact"/>
        <w:rPr>
          <w:sz w:val="20"/>
          <w:szCs w:val="20"/>
          <w:color w:val="auto"/>
        </w:rPr>
      </w:pPr>
    </w:p>
    <w:p>
      <w:pPr>
        <w:ind w:left="180" w:right="219"/>
        <w:spacing w:after="0" w:line="264" w:lineRule="auto"/>
        <w:rPr>
          <w:sz w:val="20"/>
          <w:szCs w:val="20"/>
          <w:color w:val="auto"/>
        </w:rPr>
      </w:pPr>
      <w:r>
        <w:rPr>
          <w:rFonts w:ascii="Times New Roman" w:cs="Times New Roman" w:eastAsia="Times New Roman" w:hAnsi="Times New Roman"/>
          <w:sz w:val="14"/>
          <w:szCs w:val="14"/>
          <w:color w:val="auto"/>
        </w:rPr>
        <w:t>Each unit that we may issue will be issued so that the holder of the unit is also the holder of each security included in the unit. Thus, the holder of a unit will have the rights and obligations of a holder of each included security. The unit agreement under which a unit is issued may provide that the securities included in the unit may not be held or transferred separately, at any time or at any time before a specified date. The applicable prospectus supplement may describe:</w:t>
      </w:r>
    </w:p>
    <w:p>
      <w:pPr>
        <w:spacing w:after="0" w:line="65" w:lineRule="exact"/>
        <w:rPr>
          <w:sz w:val="20"/>
          <w:szCs w:val="20"/>
          <w:color w:val="auto"/>
        </w:rPr>
      </w:pPr>
    </w:p>
    <w:p>
      <w:pPr>
        <w:ind w:left="940" w:right="439" w:hanging="337"/>
        <w:spacing w:after="0" w:line="286" w:lineRule="auto"/>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designation and terms of the units and of the securities comprising the units, including whether and under what circumstances those securities may be held or transferred separately;</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of the governing unit agreement;</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price or prices at which such units will be issued;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applicable United States federal income tax considerations relating to the units;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provisions for the issuance, payment, settlement, transfer or exchange of the units or of the securities comprising the units; and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3"/>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other terms of the units and of the securities comprising the units.</w:t>
      </w:r>
    </w:p>
    <w:p>
      <w:pPr>
        <w:spacing w:after="0" w:line="176"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The provisions described in this section, as well as those described under “</w:t>
      </w:r>
      <w:r>
        <w:rPr>
          <w:rFonts w:ascii="Times New Roman" w:cs="Times New Roman" w:eastAsia="Times New Roman" w:hAnsi="Times New Roman"/>
          <w:sz w:val="14"/>
          <w:szCs w:val="14"/>
          <w:i w:val="1"/>
          <w:iCs w:val="1"/>
          <w:color w:val="auto"/>
        </w:rPr>
        <w:t>Description of Capital Stock</w:t>
      </w:r>
      <w:r>
        <w:rPr>
          <w:rFonts w:ascii="Times New Roman" w:cs="Times New Roman" w:eastAsia="Times New Roman" w:hAnsi="Times New Roman"/>
          <w:sz w:val="14"/>
          <w:szCs w:val="14"/>
          <w:color w:val="auto"/>
        </w:rPr>
        <w:t>,” “</w:t>
      </w:r>
      <w:r>
        <w:rPr>
          <w:rFonts w:ascii="Times New Roman" w:cs="Times New Roman" w:eastAsia="Times New Roman" w:hAnsi="Times New Roman"/>
          <w:sz w:val="14"/>
          <w:szCs w:val="14"/>
          <w:i w:val="1"/>
          <w:iCs w:val="1"/>
          <w:color w:val="auto"/>
        </w:rPr>
        <w:t>Description of Debt Securities”</w:t>
      </w:r>
      <w:r>
        <w:rPr>
          <w:rFonts w:ascii="Times New Roman" w:cs="Times New Roman" w:eastAsia="Times New Roman" w:hAnsi="Times New Roman"/>
          <w:sz w:val="14"/>
          <w:szCs w:val="14"/>
          <w:color w:val="auto"/>
        </w:rPr>
        <w:t xml:space="preserve"> and</w:t>
      </w:r>
    </w:p>
    <w:p>
      <w:pPr>
        <w:spacing w:after="0" w:line="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w:t>
      </w:r>
      <w:r>
        <w:rPr>
          <w:rFonts w:ascii="Times New Roman" w:cs="Times New Roman" w:eastAsia="Times New Roman" w:hAnsi="Times New Roman"/>
          <w:sz w:val="14"/>
          <w:szCs w:val="14"/>
          <w:i w:val="1"/>
          <w:iCs w:val="1"/>
          <w:color w:val="auto"/>
        </w:rPr>
        <w:t>Description of Warrants</w:t>
      </w:r>
      <w:r>
        <w:rPr>
          <w:rFonts w:ascii="Times New Roman" w:cs="Times New Roman" w:eastAsia="Times New Roman" w:hAnsi="Times New Roman"/>
          <w:sz w:val="14"/>
          <w:szCs w:val="14"/>
          <w:color w:val="auto"/>
        </w:rPr>
        <w:t>” will apply to the securities included in each unit, to the extent relevant and as may be updated in any prospectus supplements.</w:t>
      </w:r>
    </w:p>
    <w:p>
      <w:pPr>
        <w:spacing w:after="0" w:line="24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Issuance in Series</w:t>
      </w:r>
    </w:p>
    <w:p>
      <w:pPr>
        <w:spacing w:after="0" w:line="95" w:lineRule="exact"/>
        <w:rPr>
          <w:sz w:val="20"/>
          <w:szCs w:val="20"/>
          <w:color w:val="auto"/>
        </w:rPr>
      </w:pPr>
    </w:p>
    <w:p>
      <w:pPr>
        <w:ind w:left="180" w:right="479"/>
        <w:spacing w:after="0" w:line="286" w:lineRule="auto"/>
        <w:rPr>
          <w:sz w:val="20"/>
          <w:szCs w:val="20"/>
          <w:color w:val="auto"/>
        </w:rPr>
      </w:pPr>
      <w:r>
        <w:rPr>
          <w:rFonts w:ascii="Times New Roman" w:cs="Times New Roman" w:eastAsia="Times New Roman" w:hAnsi="Times New Roman"/>
          <w:sz w:val="14"/>
          <w:szCs w:val="14"/>
          <w:color w:val="auto"/>
        </w:rPr>
        <w:t>We may issue units in such amounts and in as many distinct series as we wish. This section summarizes terms of the units that apply generally to all series. Most of the financial and other specific terms of a particular series of units will be described in the applicable prospectus supplement.</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Unit Agreements</w:t>
      </w:r>
    </w:p>
    <w:p>
      <w:pPr>
        <w:spacing w:after="0" w:line="95" w:lineRule="exact"/>
        <w:rPr>
          <w:sz w:val="20"/>
          <w:szCs w:val="20"/>
          <w:color w:val="auto"/>
        </w:rPr>
      </w:pPr>
    </w:p>
    <w:p>
      <w:pPr>
        <w:jc w:val="both"/>
        <w:ind w:left="180" w:right="279"/>
        <w:spacing w:after="0" w:line="269" w:lineRule="auto"/>
        <w:rPr>
          <w:sz w:val="20"/>
          <w:szCs w:val="20"/>
          <w:color w:val="auto"/>
        </w:rPr>
      </w:pPr>
      <w:r>
        <w:rPr>
          <w:rFonts w:ascii="Times New Roman" w:cs="Times New Roman" w:eastAsia="Times New Roman" w:hAnsi="Times New Roman"/>
          <w:sz w:val="14"/>
          <w:szCs w:val="14"/>
          <w:color w:val="auto"/>
        </w:rPr>
        <w:t>We will issue the units under one or more unit agreements to be entered into between us and a bank or other financial institution, as unit agent. We may add, replace or terminate unit agents from time to time. We will identify the unit agreement under which each series of units will be issued and the unit agent under that agreement in the applicable prospectus supplement.</w:t>
      </w:r>
    </w:p>
    <w:p>
      <w:pPr>
        <w:spacing w:after="0" w:line="8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29</w:t>
      </w:r>
    </w:p>
    <w:p>
      <w:pPr>
        <w:sectPr>
          <w:pgSz w:w="11900" w:h="16838" w:orient="portrait"/>
          <w:cols w:equalWidth="0" w:num="1">
            <w:col w:w="9019"/>
          </w:cols>
          <w:pgMar w:left="1440" w:top="240" w:right="1440" w:bottom="1440" w:gutter="0" w:footer="0" w:header="0"/>
        </w:sectPr>
      </w:pPr>
    </w:p>
    <w:bookmarkStart w:id="57" w:name="page58"/>
    <w:bookmarkEnd w:id="57"/>
    <w:p>
      <w:pPr>
        <w:ind w:left="180"/>
        <w:spacing w:after="0"/>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92">
                      <a:extLst>
                        <a:ext uri="{28A0092B-C50C-407E-A947-70E740481C1C}"/>
                      </a:extLst>
                    </a:blip>
                    <a:srcRect/>
                    <a:stretch>
                      <a:fillRect/>
                    </a:stretch>
                  </pic:blipFill>
                  <pic:spPr bwMode="auto">
                    <a:xfrm>
                      <a:off x="0" y="0"/>
                      <a:ext cx="7200900" cy="33020"/>
                    </a:xfrm>
                    <a:prstGeom prst="rect">
                      <a:avLst/>
                    </a:prstGeom>
                    <a:noFill/>
                  </pic:spPr>
                </pic:pic>
              </a:graphicData>
            </a:graphic>
          </wp:anchor>
        </w:drawing>
        <w:t>The following provisions will generally apply to all unit agreements unless otherwise stated in the applicable prospectus supplement:</w:t>
      </w:r>
    </w:p>
    <w:p>
      <w:pPr>
        <w:spacing w:after="0" w:line="9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Modification without Consent</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We and the applicable unit agent may amend any unit or unit agreement without the consent of any holder:</w:t>
      </w:r>
    </w:p>
    <w:p>
      <w:pPr>
        <w:spacing w:after="0" w:line="104" w:lineRule="exact"/>
        <w:rPr>
          <w:sz w:val="20"/>
          <w:szCs w:val="20"/>
          <w:color w:val="auto"/>
        </w:rPr>
      </w:pPr>
    </w:p>
    <w:p>
      <w:pPr>
        <w:ind w:left="940" w:hanging="337"/>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cure any ambiguity; any provisions of the governing unit agreement that differ from those described below;</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correct or supplement any defective or inconsistent provision; or</w:t>
      </w:r>
    </w:p>
    <w:p>
      <w:pPr>
        <w:spacing w:after="0" w:line="104" w:lineRule="exact"/>
        <w:rPr>
          <w:rFonts w:ascii="Times New Roman" w:cs="Times New Roman" w:eastAsia="Times New Roman" w:hAnsi="Times New Roman"/>
          <w:sz w:val="14"/>
          <w:szCs w:val="14"/>
          <w:color w:val="auto"/>
        </w:rPr>
      </w:pPr>
    </w:p>
    <w:p>
      <w:pPr>
        <w:ind w:left="940" w:right="279" w:hanging="337"/>
        <w:spacing w:after="0" w:line="286" w:lineRule="auto"/>
        <w:tabs>
          <w:tab w:leader="none" w:pos="940" w:val="left"/>
        </w:tabs>
        <w:numPr>
          <w:ilvl w:val="0"/>
          <w:numId w:val="34"/>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to make any other change that we believe is necessary or desirable and will not adversely affect the interests of the affected holders in any material respect.</w:t>
      </w:r>
    </w:p>
    <w:p>
      <w:pPr>
        <w:spacing w:after="0" w:line="125" w:lineRule="exact"/>
        <w:rPr>
          <w:sz w:val="20"/>
          <w:szCs w:val="20"/>
          <w:color w:val="auto"/>
        </w:rPr>
      </w:pPr>
    </w:p>
    <w:p>
      <w:pPr>
        <w:ind w:left="180" w:right="279"/>
        <w:spacing w:after="0" w:line="269" w:lineRule="auto"/>
        <w:rPr>
          <w:sz w:val="20"/>
          <w:szCs w:val="20"/>
          <w:color w:val="auto"/>
        </w:rPr>
      </w:pPr>
      <w:r>
        <w:rPr>
          <w:rFonts w:ascii="Times New Roman" w:cs="Times New Roman" w:eastAsia="Times New Roman" w:hAnsi="Times New Roman"/>
          <w:sz w:val="14"/>
          <w:szCs w:val="14"/>
          <w:color w:val="auto"/>
        </w:rPr>
        <w:t>We do not need any approval to make changes that affect only units to be issued after the changes take effect. We may also make changes that do not adversely affect a particular unit in any material respect, even if they adversely affect other units in a material respect. In those cases, we do not need to obtain the approval of the holder of the unaffected unit; we need only obtain any required approvals from the holders of the affected units.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Modification with Consent</w:t>
      </w:r>
    </w:p>
    <w:p>
      <w:pPr>
        <w:spacing w:after="0" w:line="95" w:lineRule="exact"/>
        <w:rPr>
          <w:sz w:val="20"/>
          <w:szCs w:val="20"/>
          <w:color w:val="auto"/>
        </w:rPr>
      </w:pPr>
    </w:p>
    <w:p>
      <w:pPr>
        <w:ind w:left="180" w:right="379"/>
        <w:spacing w:after="0" w:line="286" w:lineRule="auto"/>
        <w:rPr>
          <w:sz w:val="20"/>
          <w:szCs w:val="20"/>
          <w:color w:val="auto"/>
        </w:rPr>
      </w:pPr>
      <w:r>
        <w:rPr>
          <w:rFonts w:ascii="Times New Roman" w:cs="Times New Roman" w:eastAsia="Times New Roman" w:hAnsi="Times New Roman"/>
          <w:sz w:val="14"/>
          <w:szCs w:val="14"/>
          <w:color w:val="auto"/>
        </w:rPr>
        <w:t>We may not amend any particular unit or a unit agreement with respect to any particular unit unless we obtain the consent of the holder of that unit, if the amendment would:</w:t>
      </w:r>
    </w:p>
    <w:p>
      <w:pPr>
        <w:spacing w:after="0" w:line="51" w:lineRule="exact"/>
        <w:rPr>
          <w:sz w:val="20"/>
          <w:szCs w:val="20"/>
          <w:color w:val="auto"/>
        </w:rPr>
      </w:pPr>
    </w:p>
    <w:p>
      <w:pPr>
        <w:ind w:left="940" w:right="339" w:hanging="337"/>
        <w:spacing w:after="0" w:line="286" w:lineRule="auto"/>
        <w:tabs>
          <w:tab w:leader="none" w:pos="9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impair any right of the holder to exercise or enforce any right under a security included in the unit if the terms of that security require the consent of the holder to any changes that would impair the exercise or enforcement of that right; or</w:t>
      </w:r>
    </w:p>
    <w:p>
      <w:pPr>
        <w:spacing w:after="0" w:line="50" w:lineRule="exact"/>
        <w:rPr>
          <w:rFonts w:ascii="Times New Roman" w:cs="Times New Roman" w:eastAsia="Times New Roman" w:hAnsi="Times New Roman"/>
          <w:sz w:val="14"/>
          <w:szCs w:val="14"/>
          <w:color w:val="auto"/>
        </w:rPr>
      </w:pPr>
    </w:p>
    <w:p>
      <w:pPr>
        <w:ind w:left="940" w:right="359" w:hanging="337"/>
        <w:spacing w:after="0" w:line="286" w:lineRule="auto"/>
        <w:tabs>
          <w:tab w:leader="none" w:pos="940" w:val="left"/>
        </w:tabs>
        <w:numPr>
          <w:ilvl w:val="0"/>
          <w:numId w:val="35"/>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reduce the percentage of outstanding units or any series or class the consent of whose holders is required to amend that series or class, or the applicable unit agreement with respect to that series or class, as described below.</w:t>
      </w:r>
    </w:p>
    <w:p>
      <w:pPr>
        <w:spacing w:after="0" w:line="1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Any other change to a particular unit agreement and the units issued under that agreement would require the following approval:</w:t>
      </w:r>
    </w:p>
    <w:p>
      <w:pPr>
        <w:spacing w:after="0" w:line="104" w:lineRule="exact"/>
        <w:rPr>
          <w:sz w:val="20"/>
          <w:szCs w:val="20"/>
          <w:color w:val="auto"/>
        </w:rPr>
      </w:pPr>
    </w:p>
    <w:p>
      <w:pPr>
        <w:ind w:left="940" w:right="519" w:hanging="337"/>
        <w:spacing w:after="0" w:line="286" w:lineRule="auto"/>
        <w:tabs>
          <w:tab w:leader="none" w:pos="9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only the units of a particular series issued under that agreement, the change must be approved by the holders of a majority of the outstanding units of that series; or</w:t>
      </w:r>
    </w:p>
    <w:p>
      <w:pPr>
        <w:spacing w:after="0" w:line="50" w:lineRule="exact"/>
        <w:rPr>
          <w:rFonts w:ascii="Times New Roman" w:cs="Times New Roman" w:eastAsia="Times New Roman" w:hAnsi="Times New Roman"/>
          <w:sz w:val="14"/>
          <w:szCs w:val="14"/>
          <w:color w:val="auto"/>
        </w:rPr>
      </w:pPr>
    </w:p>
    <w:p>
      <w:pPr>
        <w:jc w:val="both"/>
        <w:ind w:left="940" w:right="319" w:hanging="337"/>
        <w:spacing w:after="0" w:line="286" w:lineRule="auto"/>
        <w:tabs>
          <w:tab w:leader="none" w:pos="940" w:val="left"/>
        </w:tabs>
        <w:numPr>
          <w:ilvl w:val="0"/>
          <w:numId w:val="36"/>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the change affects the units of more than one series issued under that agreement, it must be approved by the holders of a majority of all outstanding units of all series affected by the change, with the units of all the affected series voting together as one class for this purpose.</w:t>
      </w:r>
    </w:p>
    <w:p>
      <w:pPr>
        <w:spacing w:after="0" w:line="125" w:lineRule="exact"/>
        <w:rPr>
          <w:sz w:val="20"/>
          <w:szCs w:val="20"/>
          <w:color w:val="auto"/>
        </w:rPr>
      </w:pPr>
    </w:p>
    <w:p>
      <w:pPr>
        <w:ind w:left="180" w:right="779"/>
        <w:spacing w:after="0" w:line="286" w:lineRule="auto"/>
        <w:rPr>
          <w:sz w:val="20"/>
          <w:szCs w:val="20"/>
          <w:color w:val="auto"/>
        </w:rPr>
      </w:pPr>
      <w:r>
        <w:rPr>
          <w:rFonts w:ascii="Times New Roman" w:cs="Times New Roman" w:eastAsia="Times New Roman" w:hAnsi="Times New Roman"/>
          <w:sz w:val="14"/>
          <w:szCs w:val="14"/>
          <w:color w:val="auto"/>
        </w:rPr>
        <w:t>These provisions regarding changes with majority approval also apply to changes affecting any securities issued under a unit agreement, as the governing document.</w:t>
      </w:r>
    </w:p>
    <w:p>
      <w:pPr>
        <w:spacing w:after="0" w:line="12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 each case, the required approval must be given by written consent.</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Unit Agreements Will Not Be Qualified under Trust Indenture Act</w:t>
      </w:r>
    </w:p>
    <w:p>
      <w:pPr>
        <w:spacing w:after="0" w:line="95" w:lineRule="exact"/>
        <w:rPr>
          <w:sz w:val="20"/>
          <w:szCs w:val="20"/>
          <w:color w:val="auto"/>
        </w:rPr>
      </w:pPr>
    </w:p>
    <w:p>
      <w:pPr>
        <w:ind w:left="180" w:right="299"/>
        <w:spacing w:after="0" w:line="286" w:lineRule="auto"/>
        <w:rPr>
          <w:sz w:val="20"/>
          <w:szCs w:val="20"/>
          <w:color w:val="auto"/>
        </w:rPr>
      </w:pPr>
      <w:r>
        <w:rPr>
          <w:rFonts w:ascii="Times New Roman" w:cs="Times New Roman" w:eastAsia="Times New Roman" w:hAnsi="Times New Roman"/>
          <w:sz w:val="14"/>
          <w:szCs w:val="14"/>
          <w:color w:val="auto"/>
        </w:rPr>
        <w:t>No unit agreement will be qualified as an indenture, and no unit agent will be required to qualify as a trustee, under the Trust Indenture Act. Therefore, holders of units issued under unit agreements will not have the protections of the Trust Indenture Act with respect to their units.</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Mergers and Similar Transactions Permitted; No Restrictive Covenants or Events of Default</w:t>
      </w:r>
    </w:p>
    <w:p>
      <w:pPr>
        <w:spacing w:after="0" w:line="95" w:lineRule="exact"/>
        <w:rPr>
          <w:sz w:val="20"/>
          <w:szCs w:val="20"/>
          <w:color w:val="auto"/>
        </w:rPr>
      </w:pPr>
    </w:p>
    <w:p>
      <w:pPr>
        <w:ind w:left="180" w:right="239"/>
        <w:spacing w:after="0" w:line="286" w:lineRule="auto"/>
        <w:rPr>
          <w:sz w:val="20"/>
          <w:szCs w:val="20"/>
          <w:color w:val="auto"/>
        </w:rPr>
      </w:pPr>
      <w:r>
        <w:rPr>
          <w:rFonts w:ascii="Times New Roman" w:cs="Times New Roman" w:eastAsia="Times New Roman" w:hAnsi="Times New Roman"/>
          <w:sz w:val="14"/>
          <w:szCs w:val="14"/>
          <w:color w:val="auto"/>
        </w:rPr>
        <w:t>The unit agreements will not restrict our ability to merge or consolidate with, or sell our assets to, another corporation or other entity or to engage in any other transactions. If at any time we merge or consolidate with, or</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30</w:t>
      </w:r>
    </w:p>
    <w:p>
      <w:pPr>
        <w:sectPr>
          <w:pgSz w:w="11900" w:h="16838" w:orient="portrait"/>
          <w:cols w:equalWidth="0" w:num="1">
            <w:col w:w="9019"/>
          </w:cols>
          <w:pgMar w:left="1440" w:top="241" w:right="1440" w:bottom="1440" w:gutter="0" w:footer="0" w:header="0"/>
        </w:sectPr>
      </w:pPr>
    </w:p>
    <w:bookmarkStart w:id="58" w:name="page59"/>
    <w:bookmarkEnd w:id="58"/>
    <w:p>
      <w:pPr>
        <w:ind w:left="180" w:right="379"/>
        <w:spacing w:after="0" w:line="286"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93">
                      <a:extLst>
                        <a:ext uri="{28A0092B-C50C-407E-A947-70E740481C1C}"/>
                      </a:extLst>
                    </a:blip>
                    <a:srcRect/>
                    <a:stretch>
                      <a:fillRect/>
                    </a:stretch>
                  </pic:blipFill>
                  <pic:spPr bwMode="auto">
                    <a:xfrm>
                      <a:off x="0" y="0"/>
                      <a:ext cx="7200900" cy="33020"/>
                    </a:xfrm>
                    <a:prstGeom prst="rect">
                      <a:avLst/>
                    </a:prstGeom>
                    <a:noFill/>
                  </pic:spPr>
                </pic:pic>
              </a:graphicData>
            </a:graphic>
          </wp:anchor>
        </w:drawing>
        <w:t>sell our assets substantially as an entirety to, another corporation or other entity, the successor entity will succeed to and assume our obligations under the unit agreements. We will then be relieved of any further obligation under these agreements.</w:t>
      </w:r>
    </w:p>
    <w:p>
      <w:pPr>
        <w:spacing w:after="0" w:line="125" w:lineRule="exact"/>
        <w:rPr>
          <w:sz w:val="20"/>
          <w:szCs w:val="20"/>
          <w:color w:val="auto"/>
        </w:rPr>
      </w:pPr>
    </w:p>
    <w:p>
      <w:pPr>
        <w:ind w:left="180" w:right="279"/>
        <w:spacing w:after="0" w:line="286" w:lineRule="auto"/>
        <w:rPr>
          <w:sz w:val="20"/>
          <w:szCs w:val="20"/>
          <w:color w:val="auto"/>
        </w:rPr>
      </w:pPr>
      <w:r>
        <w:rPr>
          <w:rFonts w:ascii="Times New Roman" w:cs="Times New Roman" w:eastAsia="Times New Roman" w:hAnsi="Times New Roman"/>
          <w:sz w:val="14"/>
          <w:szCs w:val="14"/>
          <w:color w:val="auto"/>
        </w:rPr>
        <w:t>The unit agreements will not include any restrictions on our ability to put liens on our assets, nor will they restrict our ability to sell our assets. The unit agreements also will not provide for any events of default or remedies upon the occurrence of any events of default.</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Governing Law</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The unit agreements and the units will be governed by New York law.</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Form, Exchange and Transfer</w:t>
      </w:r>
    </w:p>
    <w:p>
      <w:pPr>
        <w:spacing w:after="0" w:line="95" w:lineRule="exact"/>
        <w:rPr>
          <w:sz w:val="20"/>
          <w:szCs w:val="20"/>
          <w:color w:val="auto"/>
        </w:rPr>
      </w:pPr>
    </w:p>
    <w:p>
      <w:pPr>
        <w:ind w:left="180" w:right="219"/>
        <w:spacing w:after="0" w:line="261" w:lineRule="auto"/>
        <w:rPr>
          <w:sz w:val="20"/>
          <w:szCs w:val="20"/>
          <w:color w:val="auto"/>
        </w:rPr>
      </w:pPr>
      <w:r>
        <w:rPr>
          <w:rFonts w:ascii="Times New Roman" w:cs="Times New Roman" w:eastAsia="Times New Roman" w:hAnsi="Times New Roman"/>
          <w:sz w:val="14"/>
          <w:szCs w:val="14"/>
          <w:color w:val="auto"/>
        </w:rPr>
        <w:t>We will issue each unit in global, i.e., book-entry, form only. Units in book-entry form will be represented by a global security registered in the name of a depositary, which will be the holder of all the units represented by the global security. Those who own beneficial interests in a unit will do so through participants in the depositary’s system, and the rights of these indirect owners will be governed solely by the applicable procedures of the depositary and its participants. We will describe book-entry securities, and other terms regarding the issuance and registration of the units in the applicable prospectus supplement.</w:t>
      </w:r>
    </w:p>
    <w:p>
      <w:pPr>
        <w:spacing w:after="0" w:line="142"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Each unit and all securities comprising the unit will be issued in the same form.</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If we issue any units in registered, non-global form, the following will apply to them.</w:t>
      </w:r>
    </w:p>
    <w:p>
      <w:pPr>
        <w:spacing w:after="0" w:line="178" w:lineRule="exact"/>
        <w:rPr>
          <w:sz w:val="20"/>
          <w:szCs w:val="20"/>
          <w:color w:val="auto"/>
        </w:rPr>
      </w:pPr>
    </w:p>
    <w:p>
      <w:pPr>
        <w:ind w:left="180" w:right="539"/>
        <w:spacing w:after="0" w:line="286" w:lineRule="auto"/>
        <w:rPr>
          <w:sz w:val="20"/>
          <w:szCs w:val="20"/>
          <w:color w:val="auto"/>
        </w:rPr>
      </w:pPr>
      <w:r>
        <w:rPr>
          <w:rFonts w:ascii="Times New Roman" w:cs="Times New Roman" w:eastAsia="Times New Roman" w:hAnsi="Times New Roman"/>
          <w:sz w:val="14"/>
          <w:szCs w:val="14"/>
          <w:color w:val="auto"/>
        </w:rPr>
        <w:t>The units will be issued in the denominations stated in the applicable prospectus supplement. Holders may exchange their units for units of smaller denominations or combined into fewer units of larger denominations, as long as the total amount is not changed.</w:t>
      </w:r>
    </w:p>
    <w:p>
      <w:pPr>
        <w:spacing w:after="0" w:line="51" w:lineRule="exact"/>
        <w:rPr>
          <w:sz w:val="20"/>
          <w:szCs w:val="20"/>
          <w:color w:val="auto"/>
        </w:rPr>
      </w:pPr>
    </w:p>
    <w:p>
      <w:pPr>
        <w:ind w:left="940" w:right="399" w:hanging="337"/>
        <w:spacing w:after="0" w:line="286" w:lineRule="auto"/>
        <w:tabs>
          <w:tab w:leader="none" w:pos="9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may exchange or transfer their units at the office of the unit agent. Holders may also replace lost, stolen, destroyed or mutilated units at that office. We may appoint another entity to perform these functions or perform them ourselves.</w:t>
      </w:r>
    </w:p>
    <w:p>
      <w:pPr>
        <w:spacing w:after="0" w:line="50" w:lineRule="exact"/>
        <w:rPr>
          <w:rFonts w:ascii="Times New Roman" w:cs="Times New Roman" w:eastAsia="Times New Roman" w:hAnsi="Times New Roman"/>
          <w:sz w:val="14"/>
          <w:szCs w:val="14"/>
          <w:color w:val="auto"/>
        </w:rPr>
      </w:pPr>
    </w:p>
    <w:p>
      <w:pPr>
        <w:ind w:left="940" w:right="199" w:hanging="337"/>
        <w:spacing w:after="0" w:line="264" w:lineRule="auto"/>
        <w:tabs>
          <w:tab w:leader="none" w:pos="9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Holders will not be required to pay a service charge to transfer or exchange their units, but they may be required to pay for any tax or other governmental charge associated with the transfer or exchange. The transfer or exchange, and any replacement, will be made only if our transfer agent is satisfied with the holder’s proof of legal ownership. The transfer agent may also require an indemnity before replacing any units.</w:t>
      </w:r>
    </w:p>
    <w:p>
      <w:pPr>
        <w:spacing w:after="0" w:line="65" w:lineRule="exact"/>
        <w:rPr>
          <w:rFonts w:ascii="Times New Roman" w:cs="Times New Roman" w:eastAsia="Times New Roman" w:hAnsi="Times New Roman"/>
          <w:sz w:val="14"/>
          <w:szCs w:val="14"/>
          <w:color w:val="auto"/>
        </w:rPr>
      </w:pPr>
    </w:p>
    <w:p>
      <w:pPr>
        <w:ind w:left="940" w:right="219" w:hanging="337"/>
        <w:spacing w:after="0" w:line="259" w:lineRule="auto"/>
        <w:tabs>
          <w:tab w:leader="none" w:pos="940" w:val="left"/>
        </w:tabs>
        <w:numPr>
          <w:ilvl w:val="0"/>
          <w:numId w:val="37"/>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If we have the right to redeem, accelerate or settle any units before their maturity, and we exercise our right as to less than all those units or other securities, we may block the exchange or transfer of those units during the period beginning 15 days before the day we mail the notice of exercise and ending on the day of that mailing, in order to freeze the list of holders to prepare the mailing. We may also refuse to register transfers of or exchange any unit selected for early settlement, except that we will continue to permit transfers and exchanges of the unsettled portion of any unit being partially settled. We may also block the transfer or exchange of any unit in this manner if the unit includes securities that are or may be selected for early settlement.</w:t>
      </w:r>
    </w:p>
    <w:p>
      <w:pPr>
        <w:spacing w:after="0" w:line="14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Only the depositary will be entitled to transfer or exchange a unit in global form, since it will be the sole holder of the unit.</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i w:val="1"/>
          <w:iCs w:val="1"/>
          <w:color w:val="auto"/>
        </w:rPr>
        <w:t>Payments and Notices</w:t>
      </w:r>
    </w:p>
    <w:p>
      <w:pPr>
        <w:spacing w:after="0" w:line="95"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In making payments and giving notices with respect to our units, we will follow the procedures as described in the applicable prospectus supplement.</w:t>
      </w:r>
    </w:p>
    <w:p>
      <w:pPr>
        <w:spacing w:after="0" w:line="125"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31</w:t>
      </w:r>
    </w:p>
    <w:p>
      <w:pPr>
        <w:sectPr>
          <w:pgSz w:w="11900" w:h="16838" w:orient="portrait"/>
          <w:cols w:equalWidth="0" w:num="1">
            <w:col w:w="9019"/>
          </w:cols>
          <w:pgMar w:left="1440" w:top="242" w:right="1440" w:bottom="1440" w:gutter="0" w:footer="0" w:header="0"/>
        </w:sectPr>
      </w:pPr>
    </w:p>
    <w:bookmarkStart w:id="59" w:name="page60"/>
    <w:bookmarkEnd w:id="59"/>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94">
                      <a:extLst>
                        <a:ext uri="{28A0092B-C50C-407E-A947-70E740481C1C}"/>
                      </a:extLst>
                    </a:blip>
                    <a:srcRect/>
                    <a:stretch>
                      <a:fillRect/>
                    </a:stretch>
                  </pic:blipFill>
                  <pic:spPr bwMode="auto">
                    <a:xfrm>
                      <a:off x="0" y="0"/>
                      <a:ext cx="7200900" cy="33020"/>
                    </a:xfrm>
                    <a:prstGeom prst="rect">
                      <a:avLst/>
                    </a:prstGeom>
                    <a:noFill/>
                  </pic:spPr>
                </pic:pic>
              </a:graphicData>
            </a:graphic>
          </wp:anchor>
        </w:drawing>
        <w:t>PLAN OF DISTRIBUTION</w:t>
      </w:r>
    </w:p>
    <w:p>
      <w:pPr>
        <w:spacing w:after="0" w:line="180" w:lineRule="exact"/>
        <w:rPr>
          <w:sz w:val="20"/>
          <w:szCs w:val="20"/>
          <w:color w:val="auto"/>
        </w:rPr>
      </w:pPr>
    </w:p>
    <w:p>
      <w:pPr>
        <w:ind w:left="180" w:right="279"/>
        <w:spacing w:after="0" w:line="269" w:lineRule="auto"/>
        <w:rPr>
          <w:sz w:val="20"/>
          <w:szCs w:val="20"/>
          <w:color w:val="auto"/>
        </w:rPr>
      </w:pPr>
      <w:r>
        <w:rPr>
          <w:rFonts w:ascii="Times New Roman" w:cs="Times New Roman" w:eastAsia="Times New Roman" w:hAnsi="Times New Roman"/>
          <w:sz w:val="14"/>
          <w:szCs w:val="14"/>
          <w:color w:val="auto"/>
        </w:rPr>
        <w:t>We may sell the offered securities in and outside the United States (1) through underwriters or dealers, (2) directly to one or more purchasers, including to a limited number of institutional purchasers, to a single purchaser or to our affiliates and stockholders, (3) through agents or (4) through a combination of any of these methods.</w:t>
      </w:r>
    </w:p>
    <w:p>
      <w:pPr>
        <w:spacing w:after="0" w:line="137" w:lineRule="exact"/>
        <w:rPr>
          <w:sz w:val="20"/>
          <w:szCs w:val="20"/>
          <w:color w:val="auto"/>
        </w:rPr>
      </w:pPr>
    </w:p>
    <w:p>
      <w:pPr>
        <w:ind w:left="180" w:right="199"/>
        <w:spacing w:after="0" w:line="286" w:lineRule="auto"/>
        <w:rPr>
          <w:sz w:val="20"/>
          <w:szCs w:val="20"/>
          <w:color w:val="auto"/>
        </w:rPr>
      </w:pPr>
      <w:r>
        <w:rPr>
          <w:rFonts w:ascii="Times New Roman" w:cs="Times New Roman" w:eastAsia="Times New Roman" w:hAnsi="Times New Roman"/>
          <w:sz w:val="14"/>
          <w:szCs w:val="14"/>
          <w:color w:val="auto"/>
        </w:rPr>
        <w:t>If underwriters or dealers are used in the sale, the securities will be acquired by the underwriters or dealers for their own account and may be resold from time to time in one or more transactions, including:</w:t>
      </w:r>
    </w:p>
    <w:p>
      <w:pPr>
        <w:spacing w:after="0" w:line="51" w:lineRule="exact"/>
        <w:rPr>
          <w:sz w:val="20"/>
          <w:szCs w:val="20"/>
          <w:color w:val="auto"/>
        </w:rPr>
      </w:pPr>
    </w:p>
    <w:p>
      <w:pPr>
        <w:ind w:left="940" w:hanging="337"/>
        <w:spacing w:after="0"/>
        <w:tabs>
          <w:tab w:leader="none" w:pos="9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one or more transactions at a fixed price or prices, which may be changed from time to time;</w:t>
      </w:r>
    </w:p>
    <w:p>
      <w:pPr>
        <w:spacing w:after="0" w:line="104" w:lineRule="exact"/>
        <w:rPr>
          <w:rFonts w:ascii="Times New Roman" w:cs="Times New Roman" w:eastAsia="Times New Roman" w:hAnsi="Times New Roman"/>
          <w:sz w:val="14"/>
          <w:szCs w:val="14"/>
          <w:color w:val="auto"/>
        </w:rPr>
      </w:pPr>
    </w:p>
    <w:p>
      <w:pPr>
        <w:ind w:left="940" w:right="339" w:hanging="337"/>
        <w:spacing w:after="0" w:line="286" w:lineRule="auto"/>
        <w:tabs>
          <w:tab w:leader="none" w:pos="9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in “at-the-market offerings,” within the meaning of Rule 415(a)(4) of the Securities Act, to or through a market maker or into an existing trading market, on an exchange or otherwise;</w:t>
      </w:r>
    </w:p>
    <w:p>
      <w:pPr>
        <w:spacing w:after="0" w:line="50"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through a market maker or into an existing trading market on an exchange or otherwise;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prices related to those prevailing market prices; or</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8"/>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at negotiated prices.</w:t>
      </w:r>
    </w:p>
    <w:p>
      <w:pPr>
        <w:spacing w:after="0" w:line="17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color w:val="auto"/>
        </w:rPr>
        <w:t>The applicable prospectus supplement will set forth the following information to the extent applicable:</w:t>
      </w:r>
    </w:p>
    <w:p>
      <w:pPr>
        <w:spacing w:after="0" w:line="104" w:lineRule="exact"/>
        <w:rPr>
          <w:sz w:val="20"/>
          <w:szCs w:val="20"/>
          <w:color w:val="auto"/>
        </w:rPr>
      </w:pPr>
    </w:p>
    <w:p>
      <w:pPr>
        <w:ind w:left="940" w:hanging="337"/>
        <w:spacing w:after="0"/>
        <w:tabs>
          <w:tab w:leader="none" w:pos="9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terms of the offering;</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names of any underwriters, dealers or agents;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name or names of any managing underwriter or underwriters;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purchase price of the securities;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the net proceeds from the sale of the securities;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delayed delivery arrangements;</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underwriting discounts, commissions and other items constituting underwriters’ compensation;</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initial public offering price;</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discounts or concessions allowed or reallowed or paid to dealers; and</w:t>
      </w:r>
    </w:p>
    <w:p>
      <w:pPr>
        <w:spacing w:after="0" w:line="104" w:lineRule="exact"/>
        <w:rPr>
          <w:rFonts w:ascii="Times New Roman" w:cs="Times New Roman" w:eastAsia="Times New Roman" w:hAnsi="Times New Roman"/>
          <w:sz w:val="14"/>
          <w:szCs w:val="14"/>
          <w:color w:val="auto"/>
        </w:rPr>
      </w:pPr>
    </w:p>
    <w:p>
      <w:pPr>
        <w:ind w:left="940" w:hanging="337"/>
        <w:spacing w:after="0"/>
        <w:tabs>
          <w:tab w:leader="none" w:pos="940" w:val="left"/>
        </w:tabs>
        <w:numPr>
          <w:ilvl w:val="0"/>
          <w:numId w:val="39"/>
        </w:numPr>
        <w:rPr>
          <w:rFonts w:ascii="Times New Roman" w:cs="Times New Roman" w:eastAsia="Times New Roman" w:hAnsi="Times New Roman"/>
          <w:sz w:val="14"/>
          <w:szCs w:val="14"/>
          <w:color w:val="auto"/>
        </w:rPr>
      </w:pPr>
      <w:r>
        <w:rPr>
          <w:rFonts w:ascii="Times New Roman" w:cs="Times New Roman" w:eastAsia="Times New Roman" w:hAnsi="Times New Roman"/>
          <w:sz w:val="14"/>
          <w:szCs w:val="14"/>
          <w:color w:val="auto"/>
        </w:rPr>
        <w:t>any commissions paid to agents.</w:t>
      </w:r>
    </w:p>
    <w:p>
      <w:pPr>
        <w:spacing w:after="0" w:line="261"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Sale through Underwriters or Dealers</w:t>
      </w:r>
    </w:p>
    <w:p>
      <w:pPr>
        <w:spacing w:after="0" w:line="95" w:lineRule="exact"/>
        <w:rPr>
          <w:sz w:val="20"/>
          <w:szCs w:val="20"/>
          <w:color w:val="auto"/>
        </w:rPr>
      </w:pPr>
    </w:p>
    <w:p>
      <w:pPr>
        <w:ind w:left="180" w:right="239"/>
        <w:spacing w:after="0" w:line="257" w:lineRule="auto"/>
        <w:rPr>
          <w:sz w:val="20"/>
          <w:szCs w:val="20"/>
          <w:color w:val="auto"/>
        </w:rPr>
      </w:pPr>
      <w:r>
        <w:rPr>
          <w:rFonts w:ascii="Times New Roman" w:cs="Times New Roman" w:eastAsia="Times New Roman" w:hAnsi="Times New Roman"/>
          <w:sz w:val="14"/>
          <w:szCs w:val="14"/>
          <w:color w:val="auto"/>
        </w:rPr>
        <w:t>If any securities are offered through underwriters, the underwriters will acquire the securities for their own account and may resell them from time to time in one or more transactions, including negotiated transactions, at a fixed public offering price or at varying prices determined at the time of sale. Underwriters may offer and sell securities to the public either through underwriting syndicates represented by one or more managing underwriters or directly by one or more firms acting as underwriters. Unless otherwise provided in the applicable prospectus supplement, the obligations of the underwriters to purchase the securities will be subject to certain conditions, and the underwriters will be obligated to purchase all of the offered securities if they purchase any of them. In connection with the sale of securities, underwriters may be deemed to have received compensation from us in the form of underwriting discounts or commissions and dealers may receive compensation from the underwriters in the form of discounts or concessions. The underwriters may change from time to time any initial public offering price and any discounts or concessions allowed or reallowed or paid to dealers.</w:t>
      </w:r>
    </w:p>
    <w:p>
      <w:pPr>
        <w:spacing w:after="0" w:line="317" w:lineRule="exact"/>
        <w:rPr>
          <w:sz w:val="20"/>
          <w:szCs w:val="20"/>
          <w:color w:val="auto"/>
        </w:rPr>
      </w:pPr>
    </w:p>
    <w:p>
      <w:pPr>
        <w:ind w:left="180" w:right="439"/>
        <w:spacing w:after="0" w:line="286" w:lineRule="auto"/>
        <w:rPr>
          <w:sz w:val="20"/>
          <w:szCs w:val="20"/>
          <w:color w:val="auto"/>
        </w:rPr>
      </w:pPr>
      <w:r>
        <w:rPr>
          <w:rFonts w:ascii="Times New Roman" w:cs="Times New Roman" w:eastAsia="Times New Roman" w:hAnsi="Times New Roman"/>
          <w:sz w:val="14"/>
          <w:szCs w:val="14"/>
          <w:color w:val="auto"/>
        </w:rPr>
        <w:t>In order to facilitate the offering of securities, the underwriters may engage in transactions that stabilize, maintain or otherwise affect the price of the securities. Specifically, the underwriters may overallot in connection</w:t>
      </w:r>
    </w:p>
    <w:p>
      <w:pPr>
        <w:spacing w:after="0" w:line="7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32</w:t>
      </w:r>
    </w:p>
    <w:p>
      <w:pPr>
        <w:sectPr>
          <w:pgSz w:w="11900" w:h="16838" w:orient="portrait"/>
          <w:cols w:equalWidth="0" w:num="1">
            <w:col w:w="9019"/>
          </w:cols>
          <w:pgMar w:left="1440" w:top="239" w:right="1440" w:bottom="1440" w:gutter="0" w:footer="0" w:header="0"/>
        </w:sectPr>
      </w:pPr>
    </w:p>
    <w:bookmarkStart w:id="60" w:name="page61"/>
    <w:bookmarkEnd w:id="60"/>
    <w:p>
      <w:pPr>
        <w:ind w:left="180" w:right="219"/>
        <w:spacing w:after="0" w:line="259" w:lineRule="auto"/>
        <w:rPr>
          <w:sz w:val="20"/>
          <w:szCs w:val="20"/>
          <w:color w:val="auto"/>
        </w:rPr>
      </w:pPr>
      <w:r>
        <w:rPr>
          <w:rFonts w:ascii="Times New Roman" w:cs="Times New Roman" w:eastAsia="Times New Roman" w:hAnsi="Times New Roman"/>
          <w:sz w:val="14"/>
          <w:szCs w:val="14"/>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95">
                      <a:extLst>
                        <a:ext uri="{28A0092B-C50C-407E-A947-70E740481C1C}"/>
                      </a:extLst>
                    </a:blip>
                    <a:srcRect/>
                    <a:stretch>
                      <a:fillRect/>
                    </a:stretch>
                  </pic:blipFill>
                  <pic:spPr bwMode="auto">
                    <a:xfrm>
                      <a:off x="0" y="0"/>
                      <a:ext cx="7200900" cy="33020"/>
                    </a:xfrm>
                    <a:prstGeom prst="rect">
                      <a:avLst/>
                    </a:prstGeom>
                    <a:noFill/>
                  </pic:spPr>
                </pic:pic>
              </a:graphicData>
            </a:graphic>
          </wp:anchor>
        </w:drawing>
        <w:t>with the offering, creating a short position in the securities for their account. In addition, to cover overallotments or to stabilize the price of the shares, the underwriters may bid for, and purchase, shares in the open market. Finally, an underwriting syndicate may reclaim selling concessions allowed to an underwriter or a dealer for distributing the securities in the offering if the syndicate repurchases previously distributed shares in transactions to cover syndicate short positions, in stabilization transactions, or otherwise. Any of these activities may stabilize or maintain the market price of the offered securities above independent market levels. The underwriters are not required to engage in these activities, and may discontinue any of these activities at any time.</w:t>
      </w:r>
    </w:p>
    <w:p>
      <w:pPr>
        <w:spacing w:after="0" w:line="145" w:lineRule="exact"/>
        <w:rPr>
          <w:sz w:val="20"/>
          <w:szCs w:val="20"/>
          <w:color w:val="auto"/>
        </w:rPr>
      </w:pPr>
    </w:p>
    <w:p>
      <w:pPr>
        <w:ind w:left="180" w:right="279"/>
        <w:spacing w:after="0" w:line="264" w:lineRule="auto"/>
        <w:rPr>
          <w:sz w:val="20"/>
          <w:szCs w:val="20"/>
          <w:color w:val="auto"/>
        </w:rPr>
      </w:pPr>
      <w:r>
        <w:rPr>
          <w:rFonts w:ascii="Times New Roman" w:cs="Times New Roman" w:eastAsia="Times New Roman" w:hAnsi="Times New Roman"/>
          <w:sz w:val="14"/>
          <w:szCs w:val="14"/>
          <w:color w:val="auto"/>
        </w:rPr>
        <w:t>Some or all of the securities that we offer through this prospectus may be new issues of securities with no established trading market. Any underwriters to whom we sell securities for public offering and sale may make a market in those securities, but they will not be obligated to do so and they may discontinue any market making at any time without notice. Accordingly, we cannot assure you of the liquidity of, or continued trading markets for, any securities offered pursuant to this prospectus.</w:t>
      </w:r>
    </w:p>
    <w:p>
      <w:pPr>
        <w:spacing w:after="0" w:line="140" w:lineRule="exact"/>
        <w:rPr>
          <w:sz w:val="20"/>
          <w:szCs w:val="20"/>
          <w:color w:val="auto"/>
        </w:rPr>
      </w:pPr>
    </w:p>
    <w:p>
      <w:pPr>
        <w:ind w:left="180" w:right="639"/>
        <w:spacing w:after="0" w:line="286" w:lineRule="auto"/>
        <w:rPr>
          <w:sz w:val="20"/>
          <w:szCs w:val="20"/>
          <w:color w:val="auto"/>
        </w:rPr>
      </w:pPr>
      <w:r>
        <w:rPr>
          <w:rFonts w:ascii="Times New Roman" w:cs="Times New Roman" w:eastAsia="Times New Roman" w:hAnsi="Times New Roman"/>
          <w:sz w:val="14"/>
          <w:szCs w:val="14"/>
          <w:color w:val="auto"/>
        </w:rPr>
        <w:t>If any securities are offered through dealers, we will sell the securities to them as principals. They may then resell those securities to the public at varying prices determined by the dealers at the time of resale.</w:t>
      </w:r>
    </w:p>
    <w:p>
      <w:pPr>
        <w:spacing w:after="0" w:line="20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Direct Sales and Sales through Agents</w:t>
      </w:r>
    </w:p>
    <w:p>
      <w:pPr>
        <w:spacing w:after="0" w:line="95" w:lineRule="exact"/>
        <w:rPr>
          <w:sz w:val="20"/>
          <w:szCs w:val="20"/>
          <w:color w:val="auto"/>
        </w:rPr>
      </w:pPr>
    </w:p>
    <w:p>
      <w:pPr>
        <w:ind w:left="180" w:right="199"/>
        <w:spacing w:after="0" w:line="258" w:lineRule="auto"/>
        <w:rPr>
          <w:sz w:val="20"/>
          <w:szCs w:val="20"/>
          <w:color w:val="auto"/>
        </w:rPr>
      </w:pPr>
      <w:r>
        <w:rPr>
          <w:rFonts w:ascii="Times New Roman" w:cs="Times New Roman" w:eastAsia="Times New Roman" w:hAnsi="Times New Roman"/>
          <w:sz w:val="14"/>
          <w:szCs w:val="14"/>
          <w:color w:val="auto"/>
        </w:rPr>
        <w:t>We may sell the securities directly to purchasers. If the securities are sold directly to institutional investors or others who may be deemed to be underwriters within the meaning of the Securities Act with respect to any sale of those securities, we will describe the terms of any such sales in the applicable prospectus supplement. We may also sell the securities through agents designated from time to time. Sales may be made by means of ordinary brokers’ transactions on The Nasdaq Global Market at market prices, in block transactions and such other transactions as agreed by us and any agent. In the applicable prospectus supplement, we will name any agent involved in the offer or sale of the offered securities, and we will describe any commissions payable to the agent. Unless otherwise provided in the applicable prospectus supplement, any agent will agree to use its reasonable best efforts to solicit purchases for the period of its appointment.</w:t>
      </w:r>
    </w:p>
    <w:p>
      <w:pPr>
        <w:spacing w:after="0" w:line="228"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At-the-Market Offerings</w:t>
      </w:r>
    </w:p>
    <w:p>
      <w:pPr>
        <w:spacing w:after="0" w:line="95" w:lineRule="exact"/>
        <w:rPr>
          <w:sz w:val="20"/>
          <w:szCs w:val="20"/>
          <w:color w:val="auto"/>
        </w:rPr>
      </w:pPr>
    </w:p>
    <w:p>
      <w:pPr>
        <w:ind w:left="180" w:right="199"/>
        <w:spacing w:after="0" w:line="257" w:lineRule="auto"/>
        <w:rPr>
          <w:sz w:val="20"/>
          <w:szCs w:val="20"/>
          <w:color w:val="auto"/>
        </w:rPr>
      </w:pPr>
      <w:r>
        <w:rPr>
          <w:rFonts w:ascii="Times New Roman" w:cs="Times New Roman" w:eastAsia="Times New Roman" w:hAnsi="Times New Roman"/>
          <w:sz w:val="14"/>
          <w:szCs w:val="14"/>
          <w:color w:val="auto"/>
        </w:rPr>
        <w:t>To the extent that we make sales through one or more underwriters or agents in at-the-market offerings, we will do so pursuant to the terms of a sales agency financing agreement or other at-the-market offering arrangement between us, on the one hand, and the underwriters or agents, on the other. If we engage in at-the-market sales pursuant to any such agreement, we will issue and sell our securities through one or more underwriters or agents, which may act on an agency basis or a principal basis. During the term of any such agreement, we may sell securities on a daily basis in exchange transactions or otherwise as we agree with the underwriters or agents. Any such agreement will provide that any securities sold will be sold at prices related to the then prevailing market prices for our securities. Therefore, exact figures regarding proceeds that will be raised or commissions to be paid cannot be determined at this time. Pursuant to the terms of the agreement, we may agree to sell, and the relevant underwriters or agents may agree to solicit offers to purchase blocks of our common stock or other securities. The terms of any such agreement will be set forth in more detail in the applicable prospectus supplement.</w:t>
      </w:r>
    </w:p>
    <w:p>
      <w:pPr>
        <w:spacing w:after="0" w:line="227"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Remarketing Arrangements</w:t>
      </w:r>
    </w:p>
    <w:p>
      <w:pPr>
        <w:spacing w:after="0" w:line="95" w:lineRule="exact"/>
        <w:rPr>
          <w:sz w:val="20"/>
          <w:szCs w:val="20"/>
          <w:color w:val="auto"/>
        </w:rPr>
      </w:pPr>
    </w:p>
    <w:p>
      <w:pPr>
        <w:ind w:left="180" w:right="219"/>
        <w:spacing w:after="0" w:line="261" w:lineRule="auto"/>
        <w:rPr>
          <w:sz w:val="20"/>
          <w:szCs w:val="20"/>
          <w:color w:val="auto"/>
        </w:rPr>
      </w:pPr>
      <w:r>
        <w:rPr>
          <w:rFonts w:ascii="Times New Roman" w:cs="Times New Roman" w:eastAsia="Times New Roman" w:hAnsi="Times New Roman"/>
          <w:sz w:val="14"/>
          <w:szCs w:val="14"/>
          <w:color w:val="auto"/>
        </w:rPr>
        <w:t>Offered securities may also be offered and sold, if we so indicate in the applicable prospectus supplement, in connection with a remarketing upon their purchase, in accordance with a redemption or repayment pursuant to their terms, or otherwise, by one or more remarketing firms, acting as principals for their own accounts or as our agents. Any remarketing firm will be identified and the terms of its agreements, if any, with us and its compensation will be described in the applicable prospectus supplement. Remarketing firms may be deemed to be underwriters of the offered securities under the Securities Act.</w:t>
      </w:r>
    </w:p>
    <w:p>
      <w:pPr>
        <w:spacing w:after="0" w:line="8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33</w:t>
      </w:r>
    </w:p>
    <w:p>
      <w:pPr>
        <w:sectPr>
          <w:pgSz w:w="11900" w:h="16838" w:orient="portrait"/>
          <w:cols w:equalWidth="0" w:num="1">
            <w:col w:w="9019"/>
          </w:cols>
          <w:pgMar w:left="1440" w:top="242" w:right="1440" w:bottom="1440" w:gutter="0" w:footer="0" w:header="0"/>
        </w:sectPr>
      </w:pPr>
    </w:p>
    <w:bookmarkStart w:id="61" w:name="page62"/>
    <w:bookmarkEnd w:id="61"/>
    <w:p>
      <w:pPr>
        <w:ind w:left="180"/>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96">
                      <a:extLst>
                        <a:ext uri="{28A0092B-C50C-407E-A947-70E740481C1C}"/>
                      </a:extLst>
                    </a:blip>
                    <a:srcRect/>
                    <a:stretch>
                      <a:fillRect/>
                    </a:stretch>
                  </pic:blipFill>
                  <pic:spPr bwMode="auto">
                    <a:xfrm>
                      <a:off x="0" y="0"/>
                      <a:ext cx="7200900" cy="33020"/>
                    </a:xfrm>
                    <a:prstGeom prst="rect">
                      <a:avLst/>
                    </a:prstGeom>
                    <a:noFill/>
                  </pic:spPr>
                </pic:pic>
              </a:graphicData>
            </a:graphic>
          </wp:anchor>
        </w:drawing>
        <w:t>Delayed Delivery Contracts</w:t>
      </w:r>
    </w:p>
    <w:p>
      <w:pPr>
        <w:spacing w:after="0" w:line="95" w:lineRule="exact"/>
        <w:rPr>
          <w:sz w:val="20"/>
          <w:szCs w:val="20"/>
          <w:color w:val="auto"/>
        </w:rPr>
      </w:pPr>
    </w:p>
    <w:p>
      <w:pPr>
        <w:ind w:left="180" w:right="339"/>
        <w:spacing w:after="0" w:line="269" w:lineRule="auto"/>
        <w:rPr>
          <w:sz w:val="20"/>
          <w:szCs w:val="20"/>
          <w:color w:val="auto"/>
        </w:rPr>
      </w:pPr>
      <w:r>
        <w:rPr>
          <w:rFonts w:ascii="Times New Roman" w:cs="Times New Roman" w:eastAsia="Times New Roman" w:hAnsi="Times New Roman"/>
          <w:sz w:val="14"/>
          <w:szCs w:val="14"/>
          <w:color w:val="auto"/>
        </w:rPr>
        <w:t>If we so indicate in the applicable prospectus supplement, we may authorize agents, underwriters or dealers to solicit offers by certain institutions to purchase securities from us pursuant to contracts providing for payment and delivery on a specified future date. The applicable prospectus supplement will describe the conditions to those contracts and the commission payable for solicitation of those contracts.</w:t>
      </w:r>
    </w:p>
    <w:p>
      <w:pPr>
        <w:spacing w:after="0" w:line="220" w:lineRule="exact"/>
        <w:rPr>
          <w:sz w:val="20"/>
          <w:szCs w:val="20"/>
          <w:color w:val="auto"/>
        </w:rPr>
      </w:pPr>
    </w:p>
    <w:p>
      <w:pPr>
        <w:ind w:left="180"/>
        <w:spacing w:after="0"/>
        <w:rPr>
          <w:sz w:val="20"/>
          <w:szCs w:val="20"/>
          <w:color w:val="auto"/>
        </w:rPr>
      </w:pPr>
      <w:r>
        <w:rPr>
          <w:rFonts w:ascii="Times New Roman" w:cs="Times New Roman" w:eastAsia="Times New Roman" w:hAnsi="Times New Roman"/>
          <w:sz w:val="14"/>
          <w:szCs w:val="14"/>
          <w:b w:val="1"/>
          <w:bCs w:val="1"/>
          <w:color w:val="auto"/>
        </w:rPr>
        <w:t>General Information</w:t>
      </w:r>
    </w:p>
    <w:p>
      <w:pPr>
        <w:spacing w:after="0" w:line="95" w:lineRule="exact"/>
        <w:rPr>
          <w:sz w:val="20"/>
          <w:szCs w:val="20"/>
          <w:color w:val="auto"/>
        </w:rPr>
      </w:pPr>
    </w:p>
    <w:p>
      <w:pPr>
        <w:ind w:left="180" w:right="339"/>
        <w:spacing w:after="0" w:line="264" w:lineRule="auto"/>
        <w:rPr>
          <w:sz w:val="20"/>
          <w:szCs w:val="20"/>
          <w:color w:val="auto"/>
        </w:rPr>
      </w:pPr>
      <w:r>
        <w:rPr>
          <w:rFonts w:ascii="Times New Roman" w:cs="Times New Roman" w:eastAsia="Times New Roman" w:hAnsi="Times New Roman"/>
          <w:sz w:val="14"/>
          <w:szCs w:val="14"/>
          <w:color w:val="auto"/>
        </w:rPr>
        <w:t>We may have agreements with the agents, dealers, underwriters and remarketing firms to indemnify them against certain civil liabilities, including liabilities under the Securities Act, or to contribute with respect to payments that the agents, dealers or underwriters may be required to make. Agents, dealers, underwriters and remarketing firms may be customers of, engage in transactions with or perform services for us in the ordinary course of their businesses.</w:t>
      </w:r>
    </w:p>
    <w:p>
      <w:pPr>
        <w:spacing w:after="0" w:line="140" w:lineRule="exact"/>
        <w:rPr>
          <w:sz w:val="20"/>
          <w:szCs w:val="20"/>
          <w:color w:val="auto"/>
        </w:rPr>
      </w:pPr>
    </w:p>
    <w:p>
      <w:pPr>
        <w:jc w:val="both"/>
        <w:ind w:left="180" w:right="199"/>
        <w:spacing w:after="0" w:line="269" w:lineRule="auto"/>
        <w:rPr>
          <w:sz w:val="20"/>
          <w:szCs w:val="20"/>
          <w:color w:val="auto"/>
        </w:rPr>
      </w:pPr>
      <w:r>
        <w:rPr>
          <w:rFonts w:ascii="Times New Roman" w:cs="Times New Roman" w:eastAsia="Times New Roman" w:hAnsi="Times New Roman"/>
          <w:sz w:val="14"/>
          <w:szCs w:val="14"/>
          <w:color w:val="auto"/>
        </w:rPr>
        <w:t>Each underwriter, dealer and agent participating in the distribution of any of the securities that are issuable in bearer form will agree that it will not offer, sell or deliver, directly or indirectly, securities in bearer form in the United States or to United States persons, other than qualifying financial institutions, during the restricted period, as defined in United States Treasury Regulations Section 1.163-5(c)(2)(i)(D)(7).</w:t>
      </w:r>
    </w:p>
    <w:p>
      <w:pPr>
        <w:spacing w:after="0" w:line="84"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14"/>
          <w:szCs w:val="14"/>
          <w:color w:val="auto"/>
        </w:rPr>
        <w:t>34</w:t>
      </w:r>
    </w:p>
    <w:p>
      <w:pPr>
        <w:sectPr>
          <w:pgSz w:w="11900" w:h="16838" w:orient="portrait"/>
          <w:cols w:equalWidth="0" w:num="1">
            <w:col w:w="9019"/>
          </w:cols>
          <w:pgMar w:left="1440" w:top="239" w:right="1440" w:bottom="1440" w:gutter="0" w:footer="0" w:header="0"/>
        </w:sectPr>
      </w:pPr>
    </w:p>
    <w:bookmarkStart w:id="62" w:name="page63"/>
    <w:bookmarkEnd w:id="62"/>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97">
                      <a:extLst>
                        <a:ext uri="{28A0092B-C50C-407E-A947-70E740481C1C}"/>
                      </a:extLst>
                    </a:blip>
                    <a:srcRect/>
                    <a:stretch>
                      <a:fillRect/>
                    </a:stretch>
                  </pic:blipFill>
                  <pic:spPr bwMode="auto">
                    <a:xfrm>
                      <a:off x="0" y="0"/>
                      <a:ext cx="7200900" cy="33020"/>
                    </a:xfrm>
                    <a:prstGeom prst="rect">
                      <a:avLst/>
                    </a:prstGeom>
                    <a:noFill/>
                  </pic:spPr>
                </pic:pic>
              </a:graphicData>
            </a:graphic>
          </wp:anchor>
        </w:drawing>
        <w:t>LEGAL MATTERS</w:t>
      </w:r>
    </w:p>
    <w:p>
      <w:pPr>
        <w:spacing w:after="0" w:line="180" w:lineRule="exact"/>
        <w:rPr>
          <w:sz w:val="20"/>
          <w:szCs w:val="20"/>
          <w:color w:val="auto"/>
        </w:rPr>
      </w:pPr>
    </w:p>
    <w:p>
      <w:pPr>
        <w:ind w:left="180" w:right="539"/>
        <w:spacing w:after="0" w:line="286" w:lineRule="auto"/>
        <w:rPr>
          <w:sz w:val="20"/>
          <w:szCs w:val="20"/>
          <w:color w:val="auto"/>
        </w:rPr>
      </w:pPr>
      <w:r>
        <w:rPr>
          <w:rFonts w:ascii="Times New Roman" w:cs="Times New Roman" w:eastAsia="Times New Roman" w:hAnsi="Times New Roman"/>
          <w:sz w:val="14"/>
          <w:szCs w:val="14"/>
          <w:color w:val="auto"/>
        </w:rPr>
        <w:t>Certain legal matters in connection with this offering will be passed upon for us by Goodwin Procter LLP, Boston, Massachusetts. Additional legal matters may be passed on for us, or any underwriters, dealers or agents by counsel we will name in the applicable prospectus supplement.</w:t>
      </w:r>
    </w:p>
    <w:p>
      <w:pPr>
        <w:spacing w:after="0" w:line="29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EXPERTS</w:t>
      </w:r>
    </w:p>
    <w:p>
      <w:pPr>
        <w:spacing w:after="0" w:line="180" w:lineRule="exact"/>
        <w:rPr>
          <w:sz w:val="20"/>
          <w:szCs w:val="20"/>
          <w:color w:val="auto"/>
        </w:rPr>
      </w:pPr>
    </w:p>
    <w:p>
      <w:pPr>
        <w:ind w:left="180" w:right="319"/>
        <w:spacing w:after="0" w:line="259" w:lineRule="auto"/>
        <w:rPr>
          <w:sz w:val="20"/>
          <w:szCs w:val="20"/>
          <w:color w:val="auto"/>
        </w:rPr>
      </w:pPr>
      <w:r>
        <w:rPr>
          <w:rFonts w:ascii="Times New Roman" w:cs="Times New Roman" w:eastAsia="Times New Roman" w:hAnsi="Times New Roman"/>
          <w:sz w:val="14"/>
          <w:szCs w:val="14"/>
          <w:color w:val="auto"/>
        </w:rPr>
        <w:t>The consolidated financial statements of Disc Medicine, Inc. appearing in Disc Medicine, Inc.’s Annual Report (Form 10-K) for the year ended December 31, 2023, have been audited by Ernst &amp; Young LLP, independent registered public accounting firm, as set forth in their report thereon, included therein, and incorporated herein by reference. Such consolidated financial statements are, and audited financial statements to be included in subsequently filed documents will be, incorporated herein in reliance upon the report of Ernst &amp; Young LLP pertaining to such financial statements (to the extent covered by consents filed with the Securities and Exchange Commission) given on the authority of such firm as experts in accounting and auditing.</w:t>
      </w:r>
    </w:p>
    <w:p>
      <w:pPr>
        <w:spacing w:after="0" w:line="92"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35</w:t>
      </w:r>
    </w:p>
    <w:p>
      <w:pPr>
        <w:sectPr>
          <w:pgSz w:w="11900" w:h="16838" w:orient="portrait"/>
          <w:cols w:equalWidth="0" w:num="1">
            <w:col w:w="9019"/>
          </w:cols>
          <w:pgMar w:left="1440" w:top="240" w:right="1440" w:bottom="1440" w:gutter="0" w:footer="0" w:header="0"/>
        </w:sectPr>
      </w:pPr>
    </w:p>
    <w:bookmarkStart w:id="63" w:name="page64"/>
    <w:bookmarkEnd w:id="63"/>
    <w:p>
      <w:pPr>
        <w:spacing w:after="0" w:line="200" w:lineRule="exact"/>
        <w:rPr>
          <w:sz w:val="20"/>
          <w:szCs w:val="20"/>
          <w:color w:val="auto"/>
        </w:rPr>
      </w:pPr>
      <w:r>
        <w:rPr>
          <w:sz w:val="20"/>
          <w:szCs w:val="20"/>
          <w:color w:val="auto"/>
        </w:rPr>
        <w:drawing>
          <wp:anchor simplePos="0" relativeHeight="251657728" behindDoc="1" locked="0" layoutInCell="0" allowOverlap="1">
            <wp:simplePos x="0" y="0"/>
            <wp:positionH relativeFrom="page">
              <wp:posOffset>180975</wp:posOffset>
            </wp:positionH>
            <wp:positionV relativeFrom="page">
              <wp:posOffset>88900</wp:posOffset>
            </wp:positionV>
            <wp:extent cx="7200900" cy="33020"/>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98">
                      <a:extLst>
                        <a:ext uri="{28A0092B-C50C-407E-A947-70E740481C1C}"/>
                      </a:extLst>
                    </a:blip>
                    <a:srcRect/>
                    <a:stretch>
                      <a:fillRect/>
                    </a:stretch>
                  </pic:blipFill>
                  <pic:spPr bwMode="auto">
                    <a:xfrm>
                      <a:off x="0" y="0"/>
                      <a:ext cx="7200900" cy="33020"/>
                    </a:xfrm>
                    <a:prstGeom prst="rect">
                      <a:avLst/>
                    </a:prstGeom>
                    <a:noFill/>
                  </pic:spPr>
                </pic:pic>
              </a:graphicData>
            </a:graphic>
          </wp:anchor>
        </w:drawing>
        <w:drawing>
          <wp:anchor simplePos="0" relativeHeight="251657728" behindDoc="1" locked="0" layoutInCell="0" allowOverlap="1">
            <wp:simplePos x="0" y="0"/>
            <wp:positionH relativeFrom="page">
              <wp:posOffset>1028065</wp:posOffset>
            </wp:positionH>
            <wp:positionV relativeFrom="page">
              <wp:posOffset>182880</wp:posOffset>
            </wp:positionV>
            <wp:extent cx="5492750" cy="133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99">
                      <a:extLst>
                        <a:ext uri="{28A0092B-C50C-407E-A947-70E740481C1C}"/>
                      </a:extLst>
                    </a:blip>
                    <a:srcRect/>
                    <a:stretch>
                      <a:fillRect/>
                    </a:stretch>
                  </pic:blipFill>
                  <pic:spPr bwMode="auto">
                    <a:xfrm>
                      <a:off x="0" y="0"/>
                      <a:ext cx="5492750" cy="13335"/>
                    </a:xfrm>
                    <a:prstGeom prst="rect">
                      <a:avLst/>
                    </a:prstGeom>
                    <a:noFill/>
                  </pic:spPr>
                </pic:pic>
              </a:graphicData>
            </a:graphic>
          </wp:anchor>
        </w:drawing>
        <w:drawing>
          <wp:anchor simplePos="0" relativeHeight="251657728" behindDoc="1" locked="0" layoutInCell="0" allowOverlap="1">
            <wp:simplePos x="0" y="0"/>
            <wp:positionH relativeFrom="page">
              <wp:posOffset>1028065</wp:posOffset>
            </wp:positionH>
            <wp:positionV relativeFrom="page">
              <wp:posOffset>223520</wp:posOffset>
            </wp:positionV>
            <wp:extent cx="5492750" cy="69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100">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page">
              <wp:posOffset>2084705</wp:posOffset>
            </wp:positionH>
            <wp:positionV relativeFrom="page">
              <wp:posOffset>567055</wp:posOffset>
            </wp:positionV>
            <wp:extent cx="3378835" cy="51816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101">
                      <a:clrChange>
                        <a:clrFrom>
                          <a:srgbClr val="FFFFFF"/>
                        </a:clrFrom>
                        <a:clrTo>
                          <a:srgbClr val="FFFFFF">
                            <a:alpha val="0"/>
                          </a:srgbClr>
                        </a:clrTo>
                      </a:clrChange>
                      <a:extLst>
                        <a:ext uri="{28A0092B-C50C-407E-A947-70E740481C1C}"/>
                      </a:extLst>
                    </a:blip>
                    <a:srcRect/>
                    <a:stretch>
                      <a:fillRect/>
                    </a:stretch>
                  </pic:blipFill>
                  <pic:spPr bwMode="auto">
                    <a:xfrm>
                      <a:off x="0" y="0"/>
                      <a:ext cx="3378835" cy="518160"/>
                    </a:xfrm>
                    <a:prstGeom prst="rect">
                      <a:avLst/>
                    </a:prstGeom>
                    <a:noFill/>
                  </pic:spPr>
                </pic:pic>
              </a:graphicData>
            </a:graphic>
          </wp:anchor>
        </w:drawing>
      </w:r>
    </w:p>
    <w:p>
      <w:pPr>
        <w:spacing w:after="0" w:line="21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Up to $189,925,765</w:t>
      </w:r>
    </w:p>
    <w:p>
      <w:pPr>
        <w:spacing w:after="0" w:line="17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20"/>
          <w:szCs w:val="20"/>
          <w:b w:val="1"/>
          <w:bCs w:val="1"/>
          <w:color w:val="auto"/>
        </w:rPr>
        <w:t>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440055</wp:posOffset>
            </wp:positionV>
            <wp:extent cx="1157605" cy="69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102">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6"/>
          <w:szCs w:val="16"/>
          <w:b w:val="1"/>
          <w:bCs w:val="1"/>
          <w:color w:val="auto"/>
        </w:rPr>
        <w:t>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194945</wp:posOffset>
            </wp:positionV>
            <wp:extent cx="1157605" cy="69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103">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7"/>
          <w:szCs w:val="17"/>
          <w:b w:val="1"/>
          <w:bCs w:val="1"/>
          <w:color w:val="auto"/>
        </w:rPr>
        <w:t>TD COWEN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2280920</wp:posOffset>
            </wp:positionH>
            <wp:positionV relativeFrom="paragraph">
              <wp:posOffset>692785</wp:posOffset>
            </wp:positionV>
            <wp:extent cx="1157605" cy="69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104">
                      <a:extLst>
                        <a:ext uri="{28A0092B-C50C-407E-A947-70E740481C1C}"/>
                      </a:extLst>
                    </a:blip>
                    <a:srcRect/>
                    <a:stretch>
                      <a:fillRect/>
                    </a:stretch>
                  </pic:blipFill>
                  <pic:spPr bwMode="auto">
                    <a:xfrm>
                      <a:off x="0" y="0"/>
                      <a:ext cx="1157605" cy="698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b w:val="1"/>
          <w:bCs w:val="1"/>
          <w:color w:val="auto"/>
        </w:rPr>
        <w:t>November 5, 2026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113665</wp:posOffset>
            </wp:positionH>
            <wp:positionV relativeFrom="paragraph">
              <wp:posOffset>339090</wp:posOffset>
            </wp:positionV>
            <wp:extent cx="5492750" cy="69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105">
                      <a:extLst>
                        <a:ext uri="{28A0092B-C50C-407E-A947-70E740481C1C}"/>
                      </a:extLst>
                    </a:blip>
                    <a:srcRect/>
                    <a:stretch>
                      <a:fillRect/>
                    </a:stretch>
                  </pic:blipFill>
                  <pic:spPr bwMode="auto">
                    <a:xfrm>
                      <a:off x="0" y="0"/>
                      <a:ext cx="5492750" cy="6985"/>
                    </a:xfrm>
                    <a:prstGeom prst="rect">
                      <a:avLst/>
                    </a:prstGeom>
                    <a:noFill/>
                  </pic:spPr>
                </pic:pic>
              </a:graphicData>
            </a:graphic>
          </wp:anchor>
        </w:drawing>
        <w:drawing>
          <wp:anchor simplePos="0" relativeHeight="251657728" behindDoc="1" locked="0" layoutInCell="0" allowOverlap="1">
            <wp:simplePos x="0" y="0"/>
            <wp:positionH relativeFrom="column">
              <wp:posOffset>113665</wp:posOffset>
            </wp:positionH>
            <wp:positionV relativeFrom="paragraph">
              <wp:posOffset>393065</wp:posOffset>
            </wp:positionV>
            <wp:extent cx="5492750" cy="133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106">
                      <a:extLst>
                        <a:ext uri="{28A0092B-C50C-407E-A947-70E740481C1C}"/>
                      </a:extLst>
                    </a:blip>
                    <a:srcRect/>
                    <a:stretch>
                      <a:fillRect/>
                    </a:stretch>
                  </pic:blipFill>
                  <pic:spPr bwMode="auto">
                    <a:xfrm>
                      <a:off x="0" y="0"/>
                      <a:ext cx="5492750" cy="13335"/>
                    </a:xfrm>
                    <a:prstGeom prst="rect">
                      <a:avLst/>
                    </a:prstGeom>
                    <a:noFill/>
                  </pic:spPr>
                </pic:pic>
              </a:graphicData>
            </a:graphic>
          </wp:anchor>
        </w:drawing>
      </w:r>
    </w:p>
    <w:p>
      <w:pPr>
        <w:sectPr>
          <w:pgSz w:w="11900" w:h="16838" w:orient="portrait"/>
          <w:cols w:equalWidth="0" w:num="1">
            <w:col w:w="9019"/>
          </w:cols>
          <w:pgMar w:left="1440" w:top="1440" w:right="1440" w:bottom="1440" w:gutter="0" w:footer="0" w:header="0"/>
        </w:sectPr>
      </w:pPr>
    </w:p>
    <w:bookmarkStart w:id="64" w:name="page65"/>
    <w:bookmarkEnd w:id="64"/>
    <w:p>
      <w:pPr>
        <w:spacing w:after="0" w:line="9" w:lineRule="exact"/>
        <w:rPr>
          <w:sz w:val="20"/>
          <w:szCs w:val="20"/>
          <w:color w:val="auto"/>
        </w:rPr>
      </w:pPr>
    </w:p>
    <w:p>
      <w:pPr>
        <w:ind w:left="3480"/>
        <w:spacing w:after="0"/>
        <w:rPr>
          <w:sz w:val="20"/>
          <w:szCs w:val="20"/>
          <w:color w:val="auto"/>
        </w:rPr>
      </w:pPr>
      <w:r>
        <w:rPr>
          <w:rFonts w:ascii="Arial" w:cs="Arial" w:eastAsia="Arial" w:hAnsi="Arial"/>
          <w:sz w:val="28"/>
          <w:szCs w:val="28"/>
          <w:b w:val="1"/>
          <w:bCs w:val="1"/>
          <w:color w:val="auto"/>
        </w:rPr>
        <w:t>Calculation of Filing Fee Tables</w:t>
      </w:r>
    </w:p>
    <w:p>
      <w:pPr>
        <w:spacing w:after="0" w:line="176" w:lineRule="exact"/>
        <w:rPr>
          <w:sz w:val="20"/>
          <w:szCs w:val="20"/>
          <w:color w:val="auto"/>
        </w:rPr>
      </w:pPr>
    </w:p>
    <w:p>
      <w:pPr>
        <w:ind w:left="5360"/>
        <w:spacing w:after="0"/>
        <w:rPr>
          <w:sz w:val="20"/>
          <w:szCs w:val="20"/>
          <w:color w:val="auto"/>
        </w:rPr>
      </w:pPr>
      <w:r>
        <w:rPr>
          <w:rFonts w:ascii="Arial" w:cs="Arial" w:eastAsia="Arial" w:hAnsi="Arial"/>
          <w:sz w:val="28"/>
          <w:szCs w:val="28"/>
          <w:b w:val="1"/>
          <w:bCs w:val="1"/>
          <w:color w:val="auto"/>
        </w:rPr>
        <w:t>S-3</w:t>
      </w:r>
    </w:p>
    <w:p>
      <w:pPr>
        <w:spacing w:after="0" w:line="102" w:lineRule="exact"/>
        <w:rPr>
          <w:sz w:val="20"/>
          <w:szCs w:val="20"/>
          <w:color w:val="auto"/>
        </w:rPr>
      </w:pPr>
    </w:p>
    <w:p>
      <w:pPr>
        <w:jc w:val="center"/>
        <w:ind w:right="200"/>
        <w:spacing w:after="0"/>
        <w:rPr>
          <w:sz w:val="20"/>
          <w:szCs w:val="20"/>
          <w:color w:val="auto"/>
        </w:rPr>
      </w:pPr>
      <w:r>
        <w:rPr>
          <w:rFonts w:ascii="Arial" w:cs="Arial" w:eastAsia="Arial" w:hAnsi="Arial"/>
          <w:sz w:val="28"/>
          <w:szCs w:val="28"/>
          <w:b w:val="1"/>
          <w:bCs w:val="1"/>
          <w:color w:val="auto"/>
        </w:rPr>
        <w:t>Disc Medicine, Inc.</w:t>
      </w:r>
    </w:p>
    <w:p>
      <w:pPr>
        <w:spacing w:after="0" w:line="104"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5100" w:type="dxa"/>
            <w:vAlign w:val="bottom"/>
            <w:tcBorders>
              <w:bottom w:val="single" w:sz="8" w:color="auto"/>
            </w:tcBorders>
            <w:gridSpan w:val="13"/>
          </w:tcPr>
          <w:p>
            <w:pPr>
              <w:spacing w:after="0"/>
              <w:rPr>
                <w:sz w:val="20"/>
                <w:szCs w:val="20"/>
                <w:color w:val="auto"/>
              </w:rPr>
            </w:pPr>
            <w:r>
              <w:rPr>
                <w:rFonts w:ascii="Arial" w:cs="Arial" w:eastAsia="Arial" w:hAnsi="Arial"/>
                <w:sz w:val="17"/>
                <w:szCs w:val="17"/>
                <w:b w:val="1"/>
                <w:bCs w:val="1"/>
                <w:color w:val="auto"/>
              </w:rPr>
              <w:t>Table 1: Newly Registered and Carry Forward Securities</w:t>
            </w:r>
          </w:p>
        </w:tc>
        <w:tc>
          <w:tcPr>
            <w:tcW w:w="20" w:type="dxa"/>
            <w:vAlign w:val="bottom"/>
            <w:tcBorders>
              <w:bottom w:val="single" w:sz="8" w:color="auto"/>
            </w:tcBorders>
          </w:tcPr>
          <w:p>
            <w:pPr>
              <w:spacing w:after="0"/>
              <w:rPr>
                <w:sz w:val="24"/>
                <w:szCs w:val="24"/>
                <w:color w:val="auto"/>
              </w:rPr>
            </w:pPr>
          </w:p>
        </w:tc>
        <w:tc>
          <w:tcPr>
            <w:tcW w:w="12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0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7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740" w:type="dxa"/>
            <w:vAlign w:val="bottom"/>
            <w:tcBorders>
              <w:bottom w:val="single" w:sz="8" w:color="auto"/>
            </w:tcBorders>
            <w:gridSpan w:val="3"/>
          </w:tcPr>
          <w:p>
            <w:pPr>
              <w:ind w:left="300"/>
              <w:spacing w:after="0" w:line="196" w:lineRule="exact"/>
              <w:rPr>
                <w:sz w:val="20"/>
                <w:szCs w:val="20"/>
                <w:color w:val="auto"/>
              </w:rPr>
            </w:pPr>
            <w:r>
              <w:rPr>
                <w:rFonts w:ascii="MS PGothic" w:cs="MS PGothic" w:eastAsia="MS PGothic" w:hAnsi="MS PGothic"/>
                <w:sz w:val="17"/>
                <w:szCs w:val="17"/>
                <w:color w:val="auto"/>
                <w:highlight w:val="black"/>
              </w:rPr>
              <w:t>☐</w:t>
            </w:r>
            <w:r>
              <w:rPr>
                <w:rFonts w:ascii="Arial" w:cs="Arial" w:eastAsia="Arial" w:hAnsi="Arial"/>
                <w:sz w:val="17"/>
                <w:szCs w:val="17"/>
                <w:b w:val="1"/>
                <w:bCs w:val="1"/>
                <w:color w:val="auto"/>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0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Filing Fee</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Previously</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Fee</w:t>
            </w: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Proposed</w:t>
            </w: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Paid in</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Carry</w:t>
            </w:r>
          </w:p>
        </w:tc>
        <w:tc>
          <w:tcPr>
            <w:tcW w:w="20" w:type="dxa"/>
            <w:vAlign w:val="bottom"/>
          </w:tcPr>
          <w:p>
            <w:pPr>
              <w:spacing w:after="0"/>
              <w:rPr>
                <w:sz w:val="14"/>
                <w:szCs w:val="14"/>
                <w:color w:val="auto"/>
              </w:rPr>
            </w:pPr>
          </w:p>
        </w:tc>
        <w:tc>
          <w:tcPr>
            <w:tcW w:w="7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Connection</w:t>
            </w: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720" w:type="dxa"/>
            <w:vAlign w:val="bottom"/>
            <w:shd w:val="clear" w:color="auto" w:fill="9ADAF6"/>
          </w:tcPr>
          <w:p>
            <w:pPr>
              <w:ind w:left="20"/>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Calculation</w:t>
            </w:r>
          </w:p>
        </w:tc>
        <w:tc>
          <w:tcPr>
            <w:tcW w:w="20" w:type="dxa"/>
            <w:vAlign w:val="bottom"/>
          </w:tcPr>
          <w:p>
            <w:pPr>
              <w:spacing w:after="0"/>
              <w:rPr>
                <w:sz w:val="16"/>
                <w:szCs w:val="16"/>
                <w:color w:val="auto"/>
              </w:rPr>
            </w:pPr>
          </w:p>
        </w:tc>
        <w:tc>
          <w:tcPr>
            <w:tcW w:w="900" w:type="dxa"/>
            <w:vAlign w:val="bottom"/>
            <w:shd w:val="clear" w:color="auto" w:fill="9ADAF6"/>
          </w:tcPr>
          <w:p>
            <w:pPr>
              <w:jc w:val="right"/>
              <w:ind w:right="55"/>
              <w:spacing w:after="0" w:line="191" w:lineRule="exact"/>
              <w:rPr>
                <w:sz w:val="20"/>
                <w:szCs w:val="20"/>
                <w:color w:val="auto"/>
              </w:rPr>
            </w:pPr>
            <w:r>
              <w:rPr>
                <w:rFonts w:ascii="Arial" w:cs="Arial" w:eastAsia="Arial" w:hAnsi="Arial"/>
                <w:sz w:val="17"/>
                <w:szCs w:val="17"/>
                <w:b w:val="1"/>
                <w:bCs w:val="1"/>
                <w:color w:val="auto"/>
              </w:rPr>
              <w:t>Amount</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12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Maximum</w:t>
            </w:r>
          </w:p>
        </w:tc>
        <w:tc>
          <w:tcPr>
            <w:tcW w:w="20" w:type="dxa"/>
            <w:vAlign w:val="bottom"/>
          </w:tcPr>
          <w:p>
            <w:pPr>
              <w:spacing w:after="0"/>
              <w:rPr>
                <w:sz w:val="16"/>
                <w:szCs w:val="16"/>
                <w:color w:val="auto"/>
              </w:rPr>
            </w:pPr>
          </w:p>
        </w:tc>
        <w:tc>
          <w:tcPr>
            <w:tcW w:w="720" w:type="dxa"/>
            <w:vAlign w:val="bottom"/>
            <w:vMerge w:val="restart"/>
            <w:shd w:val="clear" w:color="auto" w:fill="9ADAF6"/>
          </w:tcPr>
          <w:p>
            <w:pPr>
              <w:spacing w:after="0"/>
              <w:rPr>
                <w:sz w:val="20"/>
                <w:szCs w:val="20"/>
                <w:color w:val="auto"/>
              </w:rPr>
            </w:pPr>
            <w:r>
              <w:rPr>
                <w:rFonts w:ascii="Arial" w:cs="Arial" w:eastAsia="Arial" w:hAnsi="Arial"/>
                <w:sz w:val="17"/>
                <w:szCs w:val="17"/>
                <w:b w:val="1"/>
                <w:bCs w:val="1"/>
                <w:color w:val="auto"/>
                <w:w w:val="98"/>
              </w:rPr>
              <w:t>Fee Rate</w:t>
            </w:r>
          </w:p>
        </w:tc>
        <w:tc>
          <w:tcPr>
            <w:tcW w:w="20" w:type="dxa"/>
            <w:vAlign w:val="bottom"/>
          </w:tcPr>
          <w:p>
            <w:pPr>
              <w:spacing w:after="0"/>
              <w:rPr>
                <w:sz w:val="16"/>
                <w:szCs w:val="16"/>
                <w:color w:val="auto"/>
              </w:rPr>
            </w:pPr>
          </w:p>
        </w:tc>
        <w:tc>
          <w:tcPr>
            <w:tcW w:w="10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Amount of</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Forward</w:t>
            </w:r>
          </w:p>
        </w:tc>
        <w:tc>
          <w:tcPr>
            <w:tcW w:w="20" w:type="dxa"/>
            <w:vAlign w:val="bottom"/>
          </w:tcPr>
          <w:p>
            <w:pPr>
              <w:spacing w:after="0"/>
              <w:rPr>
                <w:sz w:val="16"/>
                <w:szCs w:val="16"/>
                <w:color w:val="auto"/>
              </w:rPr>
            </w:pPr>
          </w:p>
        </w:tc>
        <w:tc>
          <w:tcPr>
            <w:tcW w:w="7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w:t>
            </w: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vMerge w:val="restart"/>
            <w:shd w:val="clear" w:color="auto" w:fill="9ADAF6"/>
          </w:tcPr>
          <w:p>
            <w:pPr>
              <w:ind w:left="160"/>
              <w:spacing w:after="0"/>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0"/>
                <w:szCs w:val="10"/>
                <w:color w:val="auto"/>
              </w:rPr>
            </w:pPr>
          </w:p>
        </w:tc>
        <w:tc>
          <w:tcPr>
            <w:tcW w:w="720" w:type="dxa"/>
            <w:vAlign w:val="bottom"/>
            <w:shd w:val="clear" w:color="auto" w:fill="9ADAF6"/>
          </w:tcPr>
          <w:p>
            <w:pPr>
              <w:ind w:left="140"/>
              <w:spacing w:after="0" w:line="117" w:lineRule="exact"/>
              <w:rPr>
                <w:sz w:val="20"/>
                <w:szCs w:val="20"/>
                <w:color w:val="auto"/>
              </w:rPr>
            </w:pPr>
            <w:r>
              <w:rPr>
                <w:rFonts w:ascii="Arial" w:cs="Arial" w:eastAsia="Arial" w:hAnsi="Arial"/>
                <w:sz w:val="13"/>
                <w:szCs w:val="13"/>
                <w:b w:val="1"/>
                <w:bCs w:val="1"/>
                <w:color w:val="auto"/>
              </w:rPr>
              <w:t>Class</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or Carry</w:t>
            </w:r>
          </w:p>
        </w:tc>
        <w:tc>
          <w:tcPr>
            <w:tcW w:w="20" w:type="dxa"/>
            <w:vAlign w:val="bottom"/>
          </w:tcPr>
          <w:p>
            <w:pPr>
              <w:spacing w:after="0"/>
              <w:rPr>
                <w:sz w:val="10"/>
                <w:szCs w:val="10"/>
                <w:color w:val="auto"/>
              </w:rPr>
            </w:pPr>
          </w:p>
        </w:tc>
        <w:tc>
          <w:tcPr>
            <w:tcW w:w="900" w:type="dxa"/>
            <w:vAlign w:val="bottom"/>
            <w:vMerge w:val="restart"/>
            <w:shd w:val="clear" w:color="auto" w:fill="9ADAF6"/>
          </w:tcPr>
          <w:p>
            <w:pPr>
              <w:jc w:val="right"/>
              <w:spacing w:after="0"/>
              <w:rPr>
                <w:sz w:val="20"/>
                <w:szCs w:val="20"/>
                <w:color w:val="auto"/>
              </w:rPr>
            </w:pPr>
            <w:r>
              <w:rPr>
                <w:rFonts w:ascii="Arial" w:cs="Arial" w:eastAsia="Arial" w:hAnsi="Arial"/>
                <w:sz w:val="17"/>
                <w:szCs w:val="17"/>
                <w:b w:val="1"/>
                <w:bCs w:val="1"/>
                <w:color w:val="auto"/>
                <w:w w:val="97"/>
              </w:rPr>
              <w:t>Registered</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Offering</w:t>
            </w:r>
          </w:p>
        </w:tc>
        <w:tc>
          <w:tcPr>
            <w:tcW w:w="20" w:type="dxa"/>
            <w:vAlign w:val="bottom"/>
          </w:tcPr>
          <w:p>
            <w:pPr>
              <w:spacing w:after="0"/>
              <w:rPr>
                <w:sz w:val="10"/>
                <w:szCs w:val="10"/>
                <w:color w:val="auto"/>
              </w:rPr>
            </w:pPr>
          </w:p>
        </w:tc>
        <w:tc>
          <w:tcPr>
            <w:tcW w:w="12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Aggregate</w:t>
            </w:r>
          </w:p>
        </w:tc>
        <w:tc>
          <w:tcPr>
            <w:tcW w:w="20" w:type="dxa"/>
            <w:vAlign w:val="bottom"/>
          </w:tcPr>
          <w:p>
            <w:pPr>
              <w:spacing w:after="0"/>
              <w:rPr>
                <w:sz w:val="10"/>
                <w:szCs w:val="10"/>
                <w:color w:val="auto"/>
              </w:rPr>
            </w:pPr>
          </w:p>
        </w:tc>
        <w:tc>
          <w:tcPr>
            <w:tcW w:w="720" w:type="dxa"/>
            <w:vAlign w:val="bottom"/>
            <w:vMerge w:val="continue"/>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Registration</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0"/>
                <w:szCs w:val="10"/>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File</w:t>
            </w:r>
          </w:p>
        </w:tc>
        <w:tc>
          <w:tcPr>
            <w:tcW w:w="20" w:type="dxa"/>
            <w:vAlign w:val="bottom"/>
          </w:tcPr>
          <w:p>
            <w:pPr>
              <w:spacing w:after="0"/>
              <w:rPr>
                <w:sz w:val="10"/>
                <w:szCs w:val="10"/>
                <w:color w:val="auto"/>
              </w:rPr>
            </w:pPr>
          </w:p>
        </w:tc>
        <w:tc>
          <w:tcPr>
            <w:tcW w:w="7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Initial</w:t>
            </w:r>
          </w:p>
        </w:tc>
        <w:tc>
          <w:tcPr>
            <w:tcW w:w="20" w:type="dxa"/>
            <w:vAlign w:val="bottom"/>
          </w:tcPr>
          <w:p>
            <w:pPr>
              <w:spacing w:after="0"/>
              <w:rPr>
                <w:sz w:val="10"/>
                <w:szCs w:val="10"/>
                <w:color w:val="auto"/>
              </w:rPr>
            </w:pPr>
          </w:p>
        </w:tc>
        <w:tc>
          <w:tcPr>
            <w:tcW w:w="98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shd w:val="clear" w:color="auto" w:fill="9ADAF6"/>
          </w:tcPr>
          <w:p>
            <w:pPr>
              <w:ind w:left="180"/>
              <w:spacing w:after="0" w:line="170" w:lineRule="exact"/>
              <w:rPr>
                <w:sz w:val="20"/>
                <w:szCs w:val="20"/>
                <w:color w:val="auto"/>
              </w:rPr>
            </w:pPr>
            <w:r>
              <w:rPr>
                <w:rFonts w:ascii="Arial" w:cs="Arial" w:eastAsia="Arial" w:hAnsi="Arial"/>
                <w:sz w:val="17"/>
                <w:szCs w:val="17"/>
                <w:b w:val="1"/>
                <w:bCs w:val="1"/>
                <w:color w:val="auto"/>
              </w:rPr>
              <w:t>Title</w:t>
            </w:r>
          </w:p>
        </w:tc>
        <w:tc>
          <w:tcPr>
            <w:tcW w:w="20" w:type="dxa"/>
            <w:vAlign w:val="bottom"/>
          </w:tcPr>
          <w:p>
            <w:pPr>
              <w:spacing w:after="0"/>
              <w:rPr>
                <w:sz w:val="14"/>
                <w:szCs w:val="14"/>
                <w:color w:val="auto"/>
              </w:rPr>
            </w:pPr>
          </w:p>
        </w:tc>
        <w:tc>
          <w:tcPr>
            <w:tcW w:w="9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Forward</w:t>
            </w:r>
          </w:p>
        </w:tc>
        <w:tc>
          <w:tcPr>
            <w:tcW w:w="20" w:type="dxa"/>
            <w:vAlign w:val="bottom"/>
          </w:tcPr>
          <w:p>
            <w:pPr>
              <w:spacing w:after="0"/>
              <w:rPr>
                <w:sz w:val="14"/>
                <w:szCs w:val="14"/>
                <w:color w:val="auto"/>
              </w:rPr>
            </w:pPr>
          </w:p>
        </w:tc>
        <w:tc>
          <w:tcPr>
            <w:tcW w:w="9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Price Per</w:t>
            </w:r>
          </w:p>
        </w:tc>
        <w:tc>
          <w:tcPr>
            <w:tcW w:w="20" w:type="dxa"/>
            <w:vAlign w:val="bottom"/>
          </w:tcPr>
          <w:p>
            <w:pPr>
              <w:spacing w:after="0"/>
              <w:rPr>
                <w:sz w:val="14"/>
                <w:szCs w:val="14"/>
                <w:color w:val="auto"/>
              </w:rPr>
            </w:pPr>
          </w:p>
        </w:tc>
        <w:tc>
          <w:tcPr>
            <w:tcW w:w="12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9"/>
              </w:rPr>
              <w:t>Offering Price</w:t>
            </w:r>
          </w:p>
        </w:tc>
        <w:tc>
          <w:tcPr>
            <w:tcW w:w="20" w:type="dxa"/>
            <w:vAlign w:val="bottom"/>
          </w:tcPr>
          <w:p>
            <w:pPr>
              <w:spacing w:after="0"/>
              <w:rPr>
                <w:sz w:val="14"/>
                <w:szCs w:val="14"/>
                <w:color w:val="auto"/>
              </w:rPr>
            </w:pPr>
          </w:p>
        </w:tc>
        <w:tc>
          <w:tcPr>
            <w:tcW w:w="72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8"/>
              </w:rPr>
              <w:t>Effective</w:t>
            </w:r>
          </w:p>
        </w:tc>
        <w:tc>
          <w:tcPr>
            <w:tcW w:w="20" w:type="dxa"/>
            <w:vAlign w:val="bottom"/>
          </w:tcPr>
          <w:p>
            <w:pPr>
              <w:spacing w:after="0"/>
              <w:rPr>
                <w:sz w:val="14"/>
                <w:szCs w:val="14"/>
                <w:color w:val="auto"/>
              </w:rPr>
            </w:pPr>
          </w:p>
        </w:tc>
        <w:tc>
          <w:tcPr>
            <w:tcW w:w="980" w:type="dxa"/>
            <w:vAlign w:val="bottom"/>
            <w:tcBorders>
              <w:right w:val="single" w:sz="8" w:color="auto"/>
            </w:tcBorders>
            <w:vMerge w:val="continue"/>
            <w:shd w:val="clear" w:color="auto" w:fill="9ADAF6"/>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Rule</w:t>
            </w:r>
          </w:p>
        </w:tc>
        <w:tc>
          <w:tcPr>
            <w:tcW w:w="20" w:type="dxa"/>
            <w:vAlign w:val="bottom"/>
          </w:tcPr>
          <w:p>
            <w:pPr>
              <w:spacing w:after="0"/>
              <w:rPr>
                <w:sz w:val="10"/>
                <w:szCs w:val="10"/>
                <w:color w:val="auto"/>
              </w:rPr>
            </w:pPr>
          </w:p>
        </w:tc>
        <w:tc>
          <w:tcPr>
            <w:tcW w:w="9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Unit</w:t>
            </w:r>
          </w:p>
        </w:tc>
        <w:tc>
          <w:tcPr>
            <w:tcW w:w="20" w:type="dxa"/>
            <w:vAlign w:val="bottom"/>
          </w:tcPr>
          <w:p>
            <w:pPr>
              <w:spacing w:after="0"/>
              <w:rPr>
                <w:sz w:val="10"/>
                <w:szCs w:val="10"/>
                <w:color w:val="auto"/>
              </w:rPr>
            </w:pPr>
          </w:p>
        </w:tc>
        <w:tc>
          <w:tcPr>
            <w:tcW w:w="12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Type</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7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Securities</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02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74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80" w:type="dxa"/>
            <w:vAlign w:val="bottom"/>
            <w:tcBorders>
              <w:right w:val="single" w:sz="8" w:color="auto"/>
            </w:tcBorders>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to be</w:t>
            </w:r>
          </w:p>
        </w:tc>
        <w:tc>
          <w:tcPr>
            <w:tcW w:w="0" w:type="dxa"/>
            <w:vAlign w:val="bottom"/>
          </w:tcPr>
          <w:p>
            <w:pPr>
              <w:spacing w:after="0"/>
              <w:rPr>
                <w:sz w:val="1"/>
                <w:szCs w:val="1"/>
                <w:color w:val="auto"/>
              </w:rPr>
            </w:pPr>
          </w:p>
        </w:tc>
      </w:tr>
      <w:tr>
        <w:trPr>
          <w:trHeight w:val="55"/>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02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4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80" w:type="dxa"/>
            <w:vAlign w:val="bottom"/>
            <w:tcBorders>
              <w:right w:val="single" w:sz="8" w:color="auto"/>
            </w:tcBorders>
            <w:vMerge w:val="continue"/>
            <w:shd w:val="clear" w:color="auto" w:fill="9ADAF6"/>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Carried</w:t>
            </w: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9ADAF6"/>
          </w:tcPr>
          <w:p>
            <w:pPr>
              <w:jc w:val="center"/>
              <w:spacing w:after="0"/>
              <w:rPr>
                <w:sz w:val="20"/>
                <w:szCs w:val="20"/>
                <w:color w:val="auto"/>
              </w:rPr>
            </w:pPr>
            <w:r>
              <w:rPr>
                <w:rFonts w:ascii="Arial" w:cs="Arial" w:eastAsia="Arial" w:hAnsi="Arial"/>
                <w:sz w:val="17"/>
                <w:szCs w:val="17"/>
                <w:b w:val="1"/>
                <w:bCs w:val="1"/>
                <w:color w:val="auto"/>
              </w:rPr>
              <w:t>Forward</w:t>
            </w: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Newly Registered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w w:val="98"/>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Fees to</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w w:val="84"/>
              </w:rPr>
              <w:t>1</w:t>
            </w:r>
          </w:p>
        </w:tc>
        <w:tc>
          <w:tcPr>
            <w:tcW w:w="20" w:type="dxa"/>
            <w:vAlign w:val="bottom"/>
          </w:tcPr>
          <w:p>
            <w:pPr>
              <w:spacing w:after="0"/>
              <w:rPr>
                <w:sz w:val="8"/>
                <w:szCs w:val="8"/>
                <w:color w:val="auto"/>
              </w:rPr>
            </w:pPr>
          </w:p>
        </w:tc>
        <w:tc>
          <w:tcPr>
            <w:tcW w:w="7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457(o)</w:t>
            </w:r>
          </w:p>
        </w:tc>
        <w:tc>
          <w:tcPr>
            <w:tcW w:w="20" w:type="dxa"/>
            <w:vAlign w:val="bottom"/>
          </w:tcPr>
          <w:p>
            <w:pPr>
              <w:spacing w:after="0"/>
              <w:rPr>
                <w:sz w:val="8"/>
                <w:szCs w:val="8"/>
                <w:color w:val="auto"/>
              </w:rPr>
            </w:pPr>
          </w:p>
        </w:tc>
        <w:tc>
          <w:tcPr>
            <w:tcW w:w="9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2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2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w w:val="95"/>
              </w:rPr>
              <w:t>0.000087</w:t>
            </w:r>
          </w:p>
        </w:tc>
        <w:tc>
          <w:tcPr>
            <w:tcW w:w="20" w:type="dxa"/>
            <w:vAlign w:val="bottom"/>
          </w:tcPr>
          <w:p>
            <w:pPr>
              <w:spacing w:after="0"/>
              <w:rPr>
                <w:sz w:val="8"/>
                <w:szCs w:val="8"/>
                <w:color w:val="auto"/>
              </w:rPr>
            </w:pPr>
          </w:p>
        </w:tc>
        <w:tc>
          <w:tcPr>
            <w:tcW w:w="102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$ 16,523.54</w:t>
            </w: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80" w:type="dxa"/>
            <w:vAlign w:val="bottom"/>
            <w:tcBorders>
              <w:right w:val="single" w:sz="8" w:color="auto"/>
            </w:tcBorders>
            <w:shd w:val="clear" w:color="auto" w:fill="E7E7E2"/>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E7E7E2"/>
          </w:tcPr>
          <w:p>
            <w:pPr>
              <w:spacing w:after="0" w:line="170" w:lineRule="exact"/>
              <w:rPr>
                <w:sz w:val="20"/>
                <w:szCs w:val="20"/>
                <w:color w:val="auto"/>
              </w:rPr>
            </w:pPr>
            <w:r>
              <w:rPr>
                <w:rFonts w:ascii="Arial" w:cs="Arial" w:eastAsia="Arial" w:hAnsi="Arial"/>
                <w:sz w:val="17"/>
                <w:szCs w:val="17"/>
                <w:color w:val="auto"/>
              </w:rPr>
              <w:t>be Paid</w:t>
            </w:r>
          </w:p>
        </w:tc>
        <w:tc>
          <w:tcPr>
            <w:tcW w:w="20" w:type="dxa"/>
            <w:vAlign w:val="bottom"/>
          </w:tcPr>
          <w:p>
            <w:pPr>
              <w:spacing w:after="0"/>
              <w:rPr>
                <w:sz w:val="14"/>
                <w:szCs w:val="14"/>
                <w:color w:val="auto"/>
              </w:rPr>
            </w:pPr>
          </w:p>
        </w:tc>
        <w:tc>
          <w:tcPr>
            <w:tcW w:w="1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2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189,925,765.00</w:t>
            </w:r>
          </w:p>
        </w:tc>
        <w:tc>
          <w:tcPr>
            <w:tcW w:w="20" w:type="dxa"/>
            <w:vAlign w:val="bottom"/>
          </w:tcPr>
          <w:p>
            <w:pPr>
              <w:spacing w:after="0"/>
              <w:rPr>
                <w:sz w:val="14"/>
                <w:szCs w:val="14"/>
                <w:color w:val="auto"/>
              </w:rPr>
            </w:pPr>
          </w:p>
        </w:tc>
        <w:tc>
          <w:tcPr>
            <w:tcW w:w="7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0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80" w:type="dxa"/>
            <w:vAlign w:val="bottom"/>
            <w:tcBorders>
              <w:right w:val="single" w:sz="8" w:color="auto"/>
            </w:tcBorders>
            <w:shd w:val="clear" w:color="auto" w:fill="E7E7E2"/>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ind w:left="20"/>
              <w:spacing w:after="0" w:line="117" w:lineRule="exact"/>
              <w:rPr>
                <w:sz w:val="20"/>
                <w:szCs w:val="20"/>
                <w:color w:val="auto"/>
              </w:rPr>
            </w:pPr>
            <w:r>
              <w:rPr>
                <w:rFonts w:ascii="Arial" w:cs="Arial" w:eastAsia="Arial" w:hAnsi="Arial"/>
                <w:sz w:val="13"/>
                <w:szCs w:val="13"/>
                <w:color w:val="auto"/>
              </w:rPr>
              <w:t>$0.0001</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0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80" w:type="dxa"/>
            <w:vAlign w:val="bottom"/>
            <w:tcBorders>
              <w:right w:val="single" w:sz="8" w:color="auto"/>
            </w:tcBorders>
            <w:shd w:val="clear" w:color="auto" w:fill="E7E7E2"/>
          </w:tcPr>
          <w:p>
            <w:pPr>
              <w:spacing w:after="0"/>
              <w:rPr>
                <w:sz w:val="10"/>
                <w:szCs w:val="10"/>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per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8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Fees</w:t>
            </w:r>
          </w:p>
        </w:tc>
        <w:tc>
          <w:tcPr>
            <w:tcW w:w="20" w:type="dxa"/>
            <w:vAlign w:val="bottom"/>
          </w:tcPr>
          <w:p>
            <w:pPr>
              <w:spacing w:after="0"/>
              <w:rPr>
                <w:sz w:val="15"/>
                <w:szCs w:val="15"/>
                <w:color w:val="auto"/>
              </w:rPr>
            </w:pPr>
          </w:p>
        </w:tc>
        <w:tc>
          <w:tcPr>
            <w:tcW w:w="1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0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80" w:type="dxa"/>
            <w:vAlign w:val="bottom"/>
            <w:tcBorders>
              <w:right w:val="single" w:sz="8" w:color="auto"/>
            </w:tcBorders>
            <w:shd w:val="clear" w:color="auto" w:fill="E7E7E2"/>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w w:val="99"/>
              </w:rPr>
              <w:t>Previously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Paid</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780" w:type="dxa"/>
            <w:vAlign w:val="bottom"/>
            <w:gridSpan w:val="5"/>
          </w:tcPr>
          <w:p>
            <w:pPr>
              <w:jc w:val="center"/>
              <w:spacing w:after="0"/>
              <w:rPr>
                <w:sz w:val="20"/>
                <w:szCs w:val="20"/>
                <w:color w:val="auto"/>
              </w:rPr>
            </w:pPr>
            <w:r>
              <w:rPr>
                <w:rFonts w:ascii="Arial" w:cs="Arial" w:eastAsia="Arial" w:hAnsi="Arial"/>
                <w:sz w:val="17"/>
                <w:szCs w:val="17"/>
                <w:b w:val="1"/>
                <w:bCs w:val="1"/>
                <w:color w:val="auto"/>
                <w:w w:val="99"/>
              </w:rPr>
              <w:t>Carry Forward Securities</w:t>
            </w:r>
          </w:p>
        </w:tc>
        <w:tc>
          <w:tcPr>
            <w:tcW w:w="20" w:type="dxa"/>
            <w:vAlign w:val="bottom"/>
          </w:tcPr>
          <w:p>
            <w:pPr>
              <w:spacing w:after="0"/>
              <w:rPr>
                <w:sz w:val="21"/>
                <w:szCs w:val="21"/>
                <w:color w:val="auto"/>
              </w:rPr>
            </w:pPr>
          </w:p>
        </w:tc>
        <w:tc>
          <w:tcPr>
            <w:tcW w:w="10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8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Carry</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Forward</w:t>
            </w:r>
          </w:p>
        </w:tc>
        <w:tc>
          <w:tcPr>
            <w:tcW w:w="20" w:type="dxa"/>
            <w:vAlign w:val="bottom"/>
          </w:tcPr>
          <w:p>
            <w:pPr>
              <w:spacing w:after="0"/>
              <w:rPr>
                <w:sz w:val="16"/>
                <w:szCs w:val="16"/>
                <w:color w:val="auto"/>
              </w:rPr>
            </w:pPr>
          </w:p>
        </w:tc>
        <w:tc>
          <w:tcPr>
            <w:tcW w:w="1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0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80" w:type="dxa"/>
            <w:vAlign w:val="bottom"/>
            <w:tcBorders>
              <w:right w:val="single" w:sz="8" w:color="auto"/>
            </w:tcBorders>
            <w:shd w:val="clear" w:color="auto" w:fill="E7E7E2"/>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Securities</w:t>
            </w:r>
          </w:p>
        </w:tc>
        <w:tc>
          <w:tcPr>
            <w:tcW w:w="20" w:type="dxa"/>
            <w:vAlign w:val="bottom"/>
          </w:tcPr>
          <w:p>
            <w:pPr>
              <w:spacing w:after="0"/>
              <w:rPr>
                <w:sz w:val="19"/>
                <w:szCs w:val="19"/>
                <w:color w:val="auto"/>
              </w:rPr>
            </w:pPr>
          </w:p>
        </w:tc>
        <w:tc>
          <w:tcPr>
            <w:tcW w:w="1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shd w:val="clear" w:color="auto" w:fill="E7E7E2"/>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0" w:type="dxa"/>
            <w:vAlign w:val="bottom"/>
            <w:tcBorders>
              <w:left w:val="single" w:sz="8" w:color="auto"/>
            </w:tcBorders>
          </w:tcPr>
          <w:p>
            <w:pPr>
              <w:spacing w:after="0"/>
              <w:rPr>
                <w:sz w:val="17"/>
                <w:szCs w:val="17"/>
                <w:color w:val="auto"/>
              </w:rPr>
            </w:pPr>
          </w:p>
        </w:tc>
        <w:tc>
          <w:tcPr>
            <w:tcW w:w="8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Offering Amounts:</w:t>
            </w:r>
          </w:p>
        </w:tc>
        <w:tc>
          <w:tcPr>
            <w:tcW w:w="20" w:type="dxa"/>
            <w:vAlign w:val="bottom"/>
          </w:tcPr>
          <w:p>
            <w:pPr>
              <w:spacing w:after="0"/>
              <w:rPr>
                <w:sz w:val="17"/>
                <w:szCs w:val="17"/>
                <w:color w:val="auto"/>
              </w:rPr>
            </w:pPr>
          </w:p>
        </w:tc>
        <w:tc>
          <w:tcPr>
            <w:tcW w:w="800" w:type="dxa"/>
            <w:vAlign w:val="bottom"/>
          </w:tcPr>
          <w:p>
            <w:pPr>
              <w:spacing w:after="0"/>
              <w:rPr>
                <w:sz w:val="17"/>
                <w:szCs w:val="17"/>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$ 16,523.54</w:t>
            </w: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7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98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223"/>
        </w:trPr>
        <w:tc>
          <w:tcPr>
            <w:tcW w:w="40" w:type="dxa"/>
            <w:vAlign w:val="bottom"/>
            <w:tcBorders>
              <w:left w:val="single" w:sz="8" w:color="auto"/>
            </w:tcBorders>
          </w:tcPr>
          <w:p>
            <w:pPr>
              <w:spacing w:after="0"/>
              <w:rPr>
                <w:sz w:val="19"/>
                <w:szCs w:val="19"/>
                <w:color w:val="auto"/>
              </w:rPr>
            </w:pPr>
          </w:p>
        </w:tc>
        <w:tc>
          <w:tcPr>
            <w:tcW w:w="8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1240" w:type="dxa"/>
            <w:vAlign w:val="bottom"/>
            <w:gridSpan w:val="2"/>
          </w:tcPr>
          <w:p>
            <w:pPr>
              <w:jc w:val="right"/>
              <w:spacing w:after="0"/>
              <w:rPr>
                <w:sz w:val="20"/>
                <w:szCs w:val="20"/>
                <w:color w:val="auto"/>
              </w:rPr>
            </w:pPr>
            <w:r>
              <w:rPr>
                <w:rFonts w:ascii="Arial" w:cs="Arial" w:eastAsia="Arial" w:hAnsi="Arial"/>
                <w:sz w:val="17"/>
                <w:szCs w:val="17"/>
                <w:color w:val="auto"/>
              </w:rPr>
              <w:t>189,925,765.00</w:t>
            </w:r>
          </w:p>
        </w:tc>
        <w:tc>
          <w:tcPr>
            <w:tcW w:w="2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98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0" w:type="dxa"/>
            <w:vAlign w:val="bottom"/>
            <w:gridSpan w:val="5"/>
          </w:tcPr>
          <w:p>
            <w:pPr>
              <w:jc w:val="right"/>
              <w:spacing w:after="0"/>
              <w:rPr>
                <w:sz w:val="20"/>
                <w:szCs w:val="20"/>
                <w:color w:val="auto"/>
              </w:rPr>
            </w:pPr>
            <w:r>
              <w:rPr>
                <w:rFonts w:ascii="Arial" w:cs="Arial" w:eastAsia="Arial" w:hAnsi="Arial"/>
                <w:sz w:val="17"/>
                <w:szCs w:val="17"/>
                <w:color w:val="auto"/>
              </w:rPr>
              <w:t>Total Fees Previously Paid:</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33"/>
        </w:trPr>
        <w:tc>
          <w:tcPr>
            <w:tcW w:w="40" w:type="dxa"/>
            <w:vAlign w:val="bottom"/>
            <w:tcBorders>
              <w:left w:val="single" w:sz="8" w:color="auto"/>
            </w:tcBorders>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860" w:type="dxa"/>
            <w:vAlign w:val="bottom"/>
            <w:gridSpan w:val="3"/>
          </w:tcPr>
          <w:p>
            <w:pPr>
              <w:jc w:val="right"/>
              <w:spacing w:after="0"/>
              <w:rPr>
                <w:sz w:val="20"/>
                <w:szCs w:val="20"/>
                <w:color w:val="auto"/>
              </w:rPr>
            </w:pPr>
            <w:r>
              <w:rPr>
                <w:rFonts w:ascii="Arial" w:cs="Arial" w:eastAsia="Arial" w:hAnsi="Arial"/>
                <w:sz w:val="17"/>
                <w:szCs w:val="17"/>
                <w:color w:val="auto"/>
              </w:rPr>
              <w:t>Total Fee Offsets:</w:t>
            </w:r>
          </w:p>
        </w:tc>
        <w:tc>
          <w:tcPr>
            <w:tcW w:w="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1040" w:type="dxa"/>
            <w:vAlign w:val="bottom"/>
            <w:gridSpan w:val="2"/>
          </w:tcPr>
          <w:p>
            <w:pPr>
              <w:jc w:val="right"/>
              <w:spacing w:after="0"/>
              <w:rPr>
                <w:sz w:val="20"/>
                <w:szCs w:val="20"/>
                <w:color w:val="auto"/>
              </w:rPr>
            </w:pPr>
            <w:r>
              <w:rPr>
                <w:rFonts w:ascii="Arial" w:cs="Arial" w:eastAsia="Arial" w:hAnsi="Arial"/>
                <w:sz w:val="17"/>
                <w:szCs w:val="17"/>
                <w:color w:val="auto"/>
              </w:rPr>
              <w:t>$ 16,523.54</w:t>
            </w: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980" w:type="dxa"/>
            <w:vAlign w:val="bottom"/>
            <w:tcBorders>
              <w:right w:val="single" w:sz="8" w:color="auto"/>
            </w:tcBorders>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40" w:type="dxa"/>
            <w:vAlign w:val="bottom"/>
            <w:tcBorders>
              <w:left w:val="single" w:sz="8" w:color="auto"/>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860" w:type="dxa"/>
            <w:vAlign w:val="bottom"/>
            <w:tcBorders>
              <w:bottom w:val="single" w:sz="8" w:color="auto"/>
            </w:tcBorders>
            <w:gridSpan w:val="3"/>
          </w:tcPr>
          <w:p>
            <w:pPr>
              <w:jc w:val="right"/>
              <w:spacing w:after="0"/>
              <w:rPr>
                <w:sz w:val="20"/>
                <w:szCs w:val="20"/>
                <w:color w:val="auto"/>
              </w:rPr>
            </w:pPr>
            <w:r>
              <w:rPr>
                <w:rFonts w:ascii="Arial" w:cs="Arial" w:eastAsia="Arial" w:hAnsi="Arial"/>
                <w:sz w:val="17"/>
                <w:szCs w:val="17"/>
                <w:color w:val="auto"/>
              </w:rPr>
              <w:t>Net Fee Due:</w:t>
            </w:r>
          </w:p>
        </w:tc>
        <w:tc>
          <w:tcPr>
            <w:tcW w:w="2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20" w:type="dxa"/>
            <w:vAlign w:val="bottom"/>
            <w:tcBorders>
              <w:bottom w:val="single" w:sz="8" w:color="auto"/>
            </w:tcBorders>
          </w:tcPr>
          <w:p>
            <w:pPr>
              <w:spacing w:after="0"/>
              <w:rPr>
                <w:sz w:val="21"/>
                <w:szCs w:val="21"/>
                <w:color w:val="auto"/>
              </w:rPr>
            </w:pPr>
          </w:p>
        </w:tc>
        <w:tc>
          <w:tcPr>
            <w:tcW w:w="104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rPr>
              <w:t>$ 0.00</w:t>
            </w: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0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980" w:type="dxa"/>
            <w:vAlign w:val="bottom"/>
            <w:tcBorders>
              <w:bottom w:val="single" w:sz="8" w:color="auto"/>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Offering Note</w:t>
      </w:r>
    </w:p>
    <w:p>
      <w:pPr>
        <w:spacing w:after="0" w:line="112" w:lineRule="exact"/>
        <w:rPr>
          <w:sz w:val="20"/>
          <w:szCs w:val="20"/>
          <w:color w:val="auto"/>
        </w:rPr>
      </w:pPr>
    </w:p>
    <w:p>
      <w:pPr>
        <w:ind w:left="220" w:right="160" w:hanging="183"/>
        <w:spacing w:after="0" w:line="231" w:lineRule="auto"/>
        <w:tabs>
          <w:tab w:leader="none" w:pos="220" w:val="left"/>
        </w:tabs>
        <w:numPr>
          <w:ilvl w:val="0"/>
          <w:numId w:val="40"/>
        </w:numPr>
        <w:rPr>
          <w:rFonts w:ascii="Arial" w:cs="Arial" w:eastAsia="Arial" w:hAnsi="Arial"/>
          <w:sz w:val="21"/>
          <w:szCs w:val="21"/>
          <w:color w:val="auto"/>
          <w:vertAlign w:val="superscript"/>
        </w:rPr>
      </w:pPr>
      <w:r>
        <w:rPr>
          <w:rFonts w:ascii="Arial" w:cs="Arial" w:eastAsia="Arial" w:hAnsi="Arial"/>
          <w:sz w:val="17"/>
          <w:szCs w:val="17"/>
          <w:color w:val="auto"/>
        </w:rPr>
        <w:t>The registration fee is calculated in accordance with Rule 457(o) under the Securities Act of 1933, as amended (the "Securities Act"), based on the proposed maximum aggregate offering price, and Rule 457(r) under the Securities Act. In accordance with Rules 456(b) and 457(r) under the Securities Act, the registrant initially deferred payment of all of the registration fee for its Registration Statement on Form S-3ASR (Registration No. 333-281359), which was filed with the Securities and Exchange Commission on August 8, 2024. Pursuant to Rule 457(p) under the Securities Act, the registrant hereby applies $16,523.54 of the registration fee previously paid in connection with the Prior Prospectus Supplement (as defined below) to offset the registration fees that are payable in connection with the registration of securities on this prospectus supplement.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63500</wp:posOffset>
            </wp:positionV>
            <wp:extent cx="714692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107">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33"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3700" w:type="dxa"/>
            <w:vAlign w:val="bottom"/>
            <w:tcBorders>
              <w:bottom w:val="single" w:sz="8" w:color="auto"/>
            </w:tcBorders>
            <w:gridSpan w:val="9"/>
          </w:tcPr>
          <w:p>
            <w:pPr>
              <w:spacing w:after="0"/>
              <w:rPr>
                <w:sz w:val="20"/>
                <w:szCs w:val="20"/>
                <w:color w:val="auto"/>
              </w:rPr>
            </w:pPr>
            <w:r>
              <w:rPr>
                <w:rFonts w:ascii="Arial" w:cs="Arial" w:eastAsia="Arial" w:hAnsi="Arial"/>
                <w:sz w:val="17"/>
                <w:szCs w:val="17"/>
                <w:b w:val="1"/>
                <w:bCs w:val="1"/>
                <w:color w:val="auto"/>
              </w:rPr>
              <w:t>Table 2: Fee Offset Claims and Sources</w:t>
            </w:r>
          </w:p>
        </w:tc>
        <w:tc>
          <w:tcPr>
            <w:tcW w:w="2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8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4"/>
          </w:tcPr>
          <w:p>
            <w:pPr>
              <w:ind w:left="70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3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5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7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2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9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Unsold</w:t>
            </w:r>
          </w:p>
        </w:tc>
        <w:tc>
          <w:tcPr>
            <w:tcW w:w="20" w:type="dxa"/>
            <w:vAlign w:val="bottom"/>
          </w:tcPr>
          <w:p>
            <w:pPr>
              <w:spacing w:after="0"/>
              <w:rPr>
                <w:sz w:val="17"/>
                <w:szCs w:val="17"/>
                <w:color w:val="auto"/>
              </w:rPr>
            </w:pPr>
          </w:p>
        </w:tc>
        <w:tc>
          <w:tcPr>
            <w:tcW w:w="800" w:type="dxa"/>
            <w:vAlign w:val="bottom"/>
            <w:shd w:val="clear" w:color="auto" w:fill="9ADAF6"/>
          </w:tcPr>
          <w:p>
            <w:pPr>
              <w:spacing w:after="0"/>
              <w:rPr>
                <w:sz w:val="17"/>
                <w:szCs w:val="17"/>
                <w:color w:val="auto"/>
              </w:rPr>
            </w:pPr>
          </w:p>
        </w:tc>
        <w:tc>
          <w:tcPr>
            <w:tcW w:w="40" w:type="dxa"/>
            <w:vAlign w:val="bottom"/>
            <w:tcBorders>
              <w:right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Security</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Unsold</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Aggregate</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8"/>
              </w:rPr>
              <w:t>Form</w:t>
            </w: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5"/>
              </w:rPr>
              <w:t>Fee</w:t>
            </w: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Title</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w:t>
            </w:r>
          </w:p>
        </w:tc>
        <w:tc>
          <w:tcPr>
            <w:tcW w:w="20" w:type="dxa"/>
            <w:vAlign w:val="bottom"/>
          </w:tcPr>
          <w:p>
            <w:pPr>
              <w:spacing w:after="0"/>
              <w:rPr>
                <w:sz w:val="16"/>
                <w:szCs w:val="16"/>
                <w:color w:val="auto"/>
              </w:rPr>
            </w:pPr>
          </w:p>
        </w:tc>
        <w:tc>
          <w:tcPr>
            <w:tcW w:w="8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Fee Paid</w:t>
            </w: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restart"/>
            <w:shd w:val="clear" w:color="auto" w:fill="9ADAF6"/>
          </w:tcPr>
          <w:p>
            <w:pPr>
              <w:ind w:left="80"/>
              <w:spacing w:after="0"/>
              <w:rPr>
                <w:sz w:val="20"/>
                <w:szCs w:val="20"/>
                <w:color w:val="auto"/>
              </w:rPr>
            </w:pPr>
            <w:r>
              <w:rPr>
                <w:rFonts w:ascii="Arial" w:cs="Arial" w:eastAsia="Arial" w:hAnsi="Arial"/>
                <w:sz w:val="17"/>
                <w:szCs w:val="17"/>
                <w:b w:val="1"/>
                <w:bCs w:val="1"/>
                <w:color w:val="auto"/>
              </w:rPr>
              <w:t>Registrant or</w:t>
            </w:r>
          </w:p>
        </w:tc>
        <w:tc>
          <w:tcPr>
            <w:tcW w:w="20" w:type="dxa"/>
            <w:vAlign w:val="bottom"/>
          </w:tcPr>
          <w:p>
            <w:pPr>
              <w:spacing w:after="0"/>
              <w:rPr>
                <w:sz w:val="8"/>
                <w:szCs w:val="8"/>
                <w:color w:val="auto"/>
              </w:rPr>
            </w:pPr>
          </w:p>
        </w:tc>
        <w:tc>
          <w:tcPr>
            <w:tcW w:w="5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3"/>
              </w:rPr>
              <w:t>or</w:t>
            </w:r>
          </w:p>
        </w:tc>
        <w:tc>
          <w:tcPr>
            <w:tcW w:w="20" w:type="dxa"/>
            <w:vAlign w:val="bottom"/>
          </w:tcPr>
          <w:p>
            <w:pPr>
              <w:spacing w:after="0"/>
              <w:rPr>
                <w:sz w:val="8"/>
                <w:szCs w:val="8"/>
                <w:color w:val="auto"/>
              </w:rPr>
            </w:pPr>
          </w:p>
        </w:tc>
        <w:tc>
          <w:tcPr>
            <w:tcW w:w="7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File</w:t>
            </w:r>
          </w:p>
        </w:tc>
        <w:tc>
          <w:tcPr>
            <w:tcW w:w="20" w:type="dxa"/>
            <w:vAlign w:val="bottom"/>
          </w:tcPr>
          <w:p>
            <w:pPr>
              <w:spacing w:after="0"/>
              <w:rPr>
                <w:sz w:val="8"/>
                <w:szCs w:val="8"/>
                <w:color w:val="auto"/>
              </w:rPr>
            </w:pPr>
          </w:p>
        </w:tc>
        <w:tc>
          <w:tcPr>
            <w:tcW w:w="8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6"/>
              </w:rPr>
              <w:t>Filing</w:t>
            </w:r>
          </w:p>
        </w:tc>
        <w:tc>
          <w:tcPr>
            <w:tcW w:w="20" w:type="dxa"/>
            <w:vAlign w:val="bottom"/>
          </w:tcPr>
          <w:p>
            <w:pPr>
              <w:spacing w:after="0"/>
              <w:rPr>
                <w:sz w:val="8"/>
                <w:szCs w:val="8"/>
                <w:color w:val="auto"/>
              </w:rPr>
            </w:pPr>
          </w:p>
        </w:tc>
        <w:tc>
          <w:tcPr>
            <w:tcW w:w="8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Associated</w:t>
            </w: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94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Associated</w:t>
            </w:r>
          </w:p>
        </w:tc>
        <w:tc>
          <w:tcPr>
            <w:tcW w:w="20" w:type="dxa"/>
            <w:vAlign w:val="bottom"/>
          </w:tcPr>
          <w:p>
            <w:pPr>
              <w:spacing w:after="0"/>
              <w:rPr>
                <w:sz w:val="8"/>
                <w:szCs w:val="8"/>
                <w:color w:val="auto"/>
              </w:rPr>
            </w:pPr>
          </w:p>
        </w:tc>
        <w:tc>
          <w:tcPr>
            <w:tcW w:w="12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Amount</w:t>
            </w:r>
          </w:p>
        </w:tc>
        <w:tc>
          <w:tcPr>
            <w:tcW w:w="20" w:type="dxa"/>
            <w:vAlign w:val="bottom"/>
          </w:tcPr>
          <w:p>
            <w:pPr>
              <w:spacing w:after="0"/>
              <w:rPr>
                <w:sz w:val="8"/>
                <w:szCs w:val="8"/>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with Fee</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5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8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rPr>
              <w:t>Filing</w:t>
            </w:r>
          </w:p>
        </w:tc>
        <w:tc>
          <w:tcPr>
            <w:tcW w:w="20" w:type="dxa"/>
            <w:vAlign w:val="bottom"/>
          </w:tcPr>
          <w:p>
            <w:pPr>
              <w:spacing w:after="0"/>
              <w:rPr>
                <w:sz w:val="14"/>
                <w:szCs w:val="14"/>
                <w:color w:val="auto"/>
              </w:rPr>
            </w:pPr>
          </w:p>
        </w:tc>
        <w:tc>
          <w:tcPr>
            <w:tcW w:w="86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9ADAF6"/>
          </w:tcPr>
          <w:p>
            <w:pPr>
              <w:jc w:val="center"/>
              <w:spacing w:after="0" w:line="170"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4"/>
                <w:szCs w:val="14"/>
                <w:color w:val="auto"/>
              </w:rPr>
            </w:pPr>
          </w:p>
        </w:tc>
        <w:tc>
          <w:tcPr>
            <w:tcW w:w="92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vMerge w:val="continue"/>
            <w:shd w:val="clear" w:color="auto" w:fill="9ADAF6"/>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vMerge w:val="continue"/>
            <w:shd w:val="clear" w:color="auto" w:fill="9ADAF6"/>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380" w:type="dxa"/>
            <w:vAlign w:val="bottom"/>
            <w:shd w:val="clear" w:color="auto" w:fill="9ADAF6"/>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9ADAF6"/>
          </w:tcPr>
          <w:p>
            <w:pPr>
              <w:ind w:left="160"/>
              <w:spacing w:after="0" w:line="117" w:lineRule="exact"/>
              <w:rPr>
                <w:sz w:val="20"/>
                <w:szCs w:val="20"/>
                <w:color w:val="auto"/>
              </w:rPr>
            </w:pPr>
            <w:r>
              <w:rPr>
                <w:rFonts w:ascii="Arial" w:cs="Arial" w:eastAsia="Arial" w:hAnsi="Arial"/>
                <w:sz w:val="13"/>
                <w:szCs w:val="13"/>
                <w:b w:val="1"/>
                <w:bCs w:val="1"/>
                <w:color w:val="auto"/>
              </w:rPr>
              <w:t>Filer Name</w:t>
            </w:r>
          </w:p>
        </w:tc>
        <w:tc>
          <w:tcPr>
            <w:tcW w:w="20" w:type="dxa"/>
            <w:vAlign w:val="bottom"/>
          </w:tcPr>
          <w:p>
            <w:pPr>
              <w:spacing w:after="0"/>
              <w:rPr>
                <w:sz w:val="10"/>
                <w:szCs w:val="10"/>
                <w:color w:val="auto"/>
              </w:rPr>
            </w:pPr>
          </w:p>
        </w:tc>
        <w:tc>
          <w:tcPr>
            <w:tcW w:w="5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Filing</w:t>
            </w:r>
          </w:p>
        </w:tc>
        <w:tc>
          <w:tcPr>
            <w:tcW w:w="20" w:type="dxa"/>
            <w:vAlign w:val="bottom"/>
          </w:tcPr>
          <w:p>
            <w:pPr>
              <w:spacing w:after="0"/>
              <w:rPr>
                <w:sz w:val="10"/>
                <w:szCs w:val="10"/>
                <w:color w:val="auto"/>
              </w:rPr>
            </w:pPr>
          </w:p>
        </w:tc>
        <w:tc>
          <w:tcPr>
            <w:tcW w:w="7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Number</w:t>
            </w:r>
          </w:p>
        </w:tc>
        <w:tc>
          <w:tcPr>
            <w:tcW w:w="20" w:type="dxa"/>
            <w:vAlign w:val="bottom"/>
          </w:tcPr>
          <w:p>
            <w:pPr>
              <w:spacing w:after="0"/>
              <w:rPr>
                <w:sz w:val="10"/>
                <w:szCs w:val="10"/>
                <w:color w:val="auto"/>
              </w:rPr>
            </w:pPr>
          </w:p>
        </w:tc>
        <w:tc>
          <w:tcPr>
            <w:tcW w:w="88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Date</w:t>
            </w:r>
          </w:p>
        </w:tc>
        <w:tc>
          <w:tcPr>
            <w:tcW w:w="20" w:type="dxa"/>
            <w:vAlign w:val="bottom"/>
          </w:tcPr>
          <w:p>
            <w:pPr>
              <w:spacing w:after="0"/>
              <w:rPr>
                <w:sz w:val="10"/>
                <w:szCs w:val="10"/>
                <w:color w:val="auto"/>
              </w:rPr>
            </w:pPr>
          </w:p>
        </w:tc>
        <w:tc>
          <w:tcPr>
            <w:tcW w:w="86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Date</w:t>
            </w:r>
          </w:p>
        </w:tc>
        <w:tc>
          <w:tcPr>
            <w:tcW w:w="20" w:type="dxa"/>
            <w:vAlign w:val="bottom"/>
          </w:tcPr>
          <w:p>
            <w:pPr>
              <w:spacing w:after="0"/>
              <w:rPr>
                <w:sz w:val="10"/>
                <w:szCs w:val="10"/>
                <w:color w:val="auto"/>
              </w:rPr>
            </w:pPr>
          </w:p>
        </w:tc>
        <w:tc>
          <w:tcPr>
            <w:tcW w:w="8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0"/>
                <w:szCs w:val="10"/>
                <w:color w:val="auto"/>
              </w:rPr>
            </w:pPr>
          </w:p>
        </w:tc>
        <w:tc>
          <w:tcPr>
            <w:tcW w:w="92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94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with Fee</w:t>
            </w:r>
          </w:p>
        </w:tc>
        <w:tc>
          <w:tcPr>
            <w:tcW w:w="20" w:type="dxa"/>
            <w:vAlign w:val="bottom"/>
          </w:tcPr>
          <w:p>
            <w:pPr>
              <w:spacing w:after="0"/>
              <w:rPr>
                <w:sz w:val="10"/>
                <w:szCs w:val="10"/>
                <w:color w:val="auto"/>
              </w:rPr>
            </w:pPr>
          </w:p>
        </w:tc>
        <w:tc>
          <w:tcPr>
            <w:tcW w:w="12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Associated</w:t>
            </w:r>
          </w:p>
        </w:tc>
        <w:tc>
          <w:tcPr>
            <w:tcW w:w="20" w:type="dxa"/>
            <w:vAlign w:val="bottom"/>
          </w:tcPr>
          <w:p>
            <w:pPr>
              <w:spacing w:after="0"/>
              <w:rPr>
                <w:sz w:val="10"/>
                <w:szCs w:val="10"/>
                <w:color w:val="auto"/>
              </w:rPr>
            </w:pPr>
          </w:p>
        </w:tc>
        <w:tc>
          <w:tcPr>
            <w:tcW w:w="800" w:type="dxa"/>
            <w:vAlign w:val="bottom"/>
            <w:shd w:val="clear" w:color="auto" w:fill="9ADAF6"/>
          </w:tcPr>
          <w:p>
            <w:pPr>
              <w:jc w:val="center"/>
              <w:spacing w:after="0" w:line="117" w:lineRule="exact"/>
              <w:rPr>
                <w:sz w:val="20"/>
                <w:szCs w:val="20"/>
                <w:color w:val="auto"/>
              </w:rPr>
            </w:pPr>
            <w:r>
              <w:rPr>
                <w:rFonts w:ascii="Arial" w:cs="Arial" w:eastAsia="Arial" w:hAnsi="Arial"/>
                <w:sz w:val="13"/>
                <w:szCs w:val="13"/>
                <w:b w:val="1"/>
                <w:bCs w:val="1"/>
                <w:color w:val="auto"/>
              </w:rPr>
              <w:t>Offset</w:t>
            </w: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8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3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5"/>
              </w:rPr>
              <w:t>Type</w:t>
            </w:r>
          </w:p>
        </w:tc>
        <w:tc>
          <w:tcPr>
            <w:tcW w:w="20" w:type="dxa"/>
            <w:vAlign w:val="bottom"/>
          </w:tcPr>
          <w:p>
            <w:pPr>
              <w:spacing w:after="0"/>
              <w:rPr>
                <w:sz w:val="11"/>
                <w:szCs w:val="11"/>
                <w:color w:val="auto"/>
              </w:rPr>
            </w:pPr>
          </w:p>
        </w:tc>
        <w:tc>
          <w:tcPr>
            <w:tcW w:w="70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1"/>
                <w:szCs w:val="11"/>
                <w:color w:val="auto"/>
              </w:rPr>
            </w:pPr>
          </w:p>
        </w:tc>
        <w:tc>
          <w:tcPr>
            <w:tcW w:w="94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1"/>
                <w:szCs w:val="11"/>
                <w:color w:val="auto"/>
              </w:rPr>
            </w:pPr>
          </w:p>
        </w:tc>
        <w:tc>
          <w:tcPr>
            <w:tcW w:w="94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Offset</w:t>
            </w:r>
          </w:p>
        </w:tc>
        <w:tc>
          <w:tcPr>
            <w:tcW w:w="20" w:type="dxa"/>
            <w:vAlign w:val="bottom"/>
          </w:tcPr>
          <w:p>
            <w:pPr>
              <w:spacing w:after="0"/>
              <w:rPr>
                <w:sz w:val="11"/>
                <w:szCs w:val="11"/>
                <w:color w:val="auto"/>
              </w:rPr>
            </w:pPr>
          </w:p>
        </w:tc>
        <w:tc>
          <w:tcPr>
            <w:tcW w:w="120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with Fee</w:t>
            </w:r>
          </w:p>
        </w:tc>
        <w:tc>
          <w:tcPr>
            <w:tcW w:w="20" w:type="dxa"/>
            <w:vAlign w:val="bottom"/>
          </w:tcPr>
          <w:p>
            <w:pPr>
              <w:spacing w:after="0"/>
              <w:rPr>
                <w:sz w:val="11"/>
                <w:szCs w:val="11"/>
                <w:color w:val="auto"/>
              </w:rPr>
            </w:pPr>
          </w:p>
        </w:tc>
        <w:tc>
          <w:tcPr>
            <w:tcW w:w="80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Source</w:t>
            </w: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55"/>
        </w:trPr>
        <w:tc>
          <w:tcPr>
            <w:tcW w:w="40" w:type="dxa"/>
            <w:vAlign w:val="bottom"/>
            <w:tcBorders>
              <w:left w:val="single" w:sz="8" w:color="auto"/>
            </w:tcBorders>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3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54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7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8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6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2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94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1200" w:type="dxa"/>
            <w:vAlign w:val="bottom"/>
            <w:vMerge w:val="continue"/>
            <w:shd w:val="clear" w:color="auto" w:fill="9ADAF6"/>
          </w:tcPr>
          <w:p>
            <w:pPr>
              <w:spacing w:after="0"/>
              <w:rPr>
                <w:sz w:val="4"/>
                <w:szCs w:val="4"/>
                <w:color w:val="auto"/>
              </w:rPr>
            </w:pPr>
          </w:p>
        </w:tc>
        <w:tc>
          <w:tcPr>
            <w:tcW w:w="20" w:type="dxa"/>
            <w:vAlign w:val="bottom"/>
          </w:tcPr>
          <w:p>
            <w:pPr>
              <w:spacing w:after="0"/>
              <w:rPr>
                <w:sz w:val="4"/>
                <w:szCs w:val="4"/>
                <w:color w:val="auto"/>
              </w:rPr>
            </w:pPr>
          </w:p>
        </w:tc>
        <w:tc>
          <w:tcPr>
            <w:tcW w:w="800" w:type="dxa"/>
            <w:vAlign w:val="bottom"/>
            <w:vMerge w:val="continue"/>
            <w:shd w:val="clear" w:color="auto" w:fill="9ADAF6"/>
          </w:tcPr>
          <w:p>
            <w:pPr>
              <w:spacing w:after="0"/>
              <w:rPr>
                <w:sz w:val="4"/>
                <w:szCs w:val="4"/>
                <w:color w:val="auto"/>
              </w:rPr>
            </w:pPr>
          </w:p>
        </w:tc>
        <w:tc>
          <w:tcPr>
            <w:tcW w:w="40" w:type="dxa"/>
            <w:vAlign w:val="bottom"/>
            <w:tcBorders>
              <w:right w:val="single" w:sz="8" w:color="auto"/>
            </w:tcBorders>
          </w:tcPr>
          <w:p>
            <w:pPr>
              <w:spacing w:after="0"/>
              <w:rPr>
                <w:sz w:val="4"/>
                <w:szCs w:val="4"/>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94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6"/>
                <w:szCs w:val="16"/>
                <w:color w:val="auto"/>
              </w:rPr>
            </w:pPr>
          </w:p>
        </w:tc>
        <w:tc>
          <w:tcPr>
            <w:tcW w:w="1200" w:type="dxa"/>
            <w:vAlign w:val="bottom"/>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7"/>
              </w:rPr>
              <w:t>Offset</w:t>
            </w:r>
          </w:p>
        </w:tc>
        <w:tc>
          <w:tcPr>
            <w:tcW w:w="20" w:type="dxa"/>
            <w:vAlign w:val="bottom"/>
          </w:tcPr>
          <w:p>
            <w:pPr>
              <w:spacing w:after="0"/>
              <w:rPr>
                <w:sz w:val="16"/>
                <w:szCs w:val="16"/>
                <w:color w:val="auto"/>
              </w:rPr>
            </w:pPr>
          </w:p>
        </w:tc>
        <w:tc>
          <w:tcPr>
            <w:tcW w:w="800" w:type="dxa"/>
            <w:vAlign w:val="bottom"/>
            <w:shd w:val="clear" w:color="auto" w:fill="9ADAF6"/>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9ADAF6"/>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w w:val="99"/>
              </w:rPr>
              <w:t>Claimed</w:t>
            </w:r>
          </w:p>
        </w:tc>
        <w:tc>
          <w:tcPr>
            <w:tcW w:w="20" w:type="dxa"/>
            <w:vAlign w:val="bottom"/>
          </w:tcPr>
          <w:p>
            <w:pPr>
              <w:spacing w:after="0"/>
              <w:rPr>
                <w:sz w:val="19"/>
                <w:szCs w:val="19"/>
                <w:color w:val="auto"/>
              </w:rPr>
            </w:pPr>
          </w:p>
        </w:tc>
        <w:tc>
          <w:tcPr>
            <w:tcW w:w="800" w:type="dxa"/>
            <w:vAlign w:val="bottom"/>
            <w:shd w:val="clear" w:color="auto" w:fill="9ADAF6"/>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520" w:type="dxa"/>
            <w:vAlign w:val="bottom"/>
            <w:gridSpan w:val="7"/>
          </w:tcPr>
          <w:p>
            <w:pPr>
              <w:ind w:left="800"/>
              <w:spacing w:after="0"/>
              <w:rPr>
                <w:sz w:val="20"/>
                <w:szCs w:val="20"/>
                <w:color w:val="auto"/>
              </w:rPr>
            </w:pPr>
            <w:r>
              <w:rPr>
                <w:rFonts w:ascii="Arial" w:cs="Arial" w:eastAsia="Arial" w:hAnsi="Arial"/>
                <w:sz w:val="17"/>
                <w:szCs w:val="17"/>
                <w:b w:val="1"/>
                <w:bCs w:val="1"/>
                <w:color w:val="auto"/>
              </w:rPr>
              <w:t>Rules 457(b) and 0-11(a)(2)</w:t>
            </w: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86" w:lineRule="exact"/>
              <w:rPr>
                <w:sz w:val="20"/>
                <w:szCs w:val="20"/>
                <w:color w:val="auto"/>
              </w:rPr>
            </w:pPr>
            <w:r>
              <w:rPr>
                <w:rFonts w:ascii="Arial" w:cs="Arial" w:eastAsia="Arial" w:hAnsi="Arial"/>
                <w:sz w:val="17"/>
                <w:szCs w:val="17"/>
                <w:color w:val="auto"/>
              </w:rPr>
              <w:t>Fee</w:t>
            </w: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Offset</w:t>
            </w: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Claims</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w:t>
            </w: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Offset</w:t>
            </w: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48"/>
        </w:trPr>
        <w:tc>
          <w:tcPr>
            <w:tcW w:w="40" w:type="dxa"/>
            <w:vAlign w:val="bottom"/>
            <w:tcBorders>
              <w:left w:val="single" w:sz="8" w:color="auto"/>
            </w:tcBorders>
          </w:tcPr>
          <w:p>
            <w:pPr>
              <w:spacing w:after="0"/>
              <w:rPr>
                <w:sz w:val="21"/>
                <w:szCs w:val="21"/>
                <w:color w:val="auto"/>
              </w:rPr>
            </w:pPr>
          </w:p>
        </w:tc>
        <w:tc>
          <w:tcPr>
            <w:tcW w:w="8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80" w:type="dxa"/>
            <w:vAlign w:val="bottom"/>
            <w:gridSpan w:val="3"/>
          </w:tcPr>
          <w:p>
            <w:pPr>
              <w:jc w:val="right"/>
              <w:ind w:right="155"/>
              <w:spacing w:after="0"/>
              <w:rPr>
                <w:sz w:val="20"/>
                <w:szCs w:val="20"/>
                <w:color w:val="auto"/>
              </w:rPr>
            </w:pPr>
            <w:r>
              <w:rPr>
                <w:rFonts w:ascii="Arial" w:cs="Arial" w:eastAsia="Arial" w:hAnsi="Arial"/>
                <w:sz w:val="17"/>
                <w:szCs w:val="17"/>
                <w:b w:val="1"/>
                <w:bCs w:val="1"/>
                <w:color w:val="auto"/>
              </w:rPr>
              <w:t>Rule 457(p)</w:t>
            </w:r>
          </w:p>
        </w:tc>
        <w:tc>
          <w:tcPr>
            <w:tcW w:w="2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40" w:type="dxa"/>
            <w:vAlign w:val="bottom"/>
            <w:tcBorders>
              <w:right w:val="single" w:sz="8" w:color="auto"/>
            </w:tcBorders>
          </w:tcPr>
          <w:p>
            <w:pPr>
              <w:spacing w:after="0"/>
              <w:rPr>
                <w:sz w:val="21"/>
                <w:szCs w:val="21"/>
                <w:color w:val="auto"/>
              </w:rPr>
            </w:pPr>
          </w:p>
        </w:tc>
        <w:tc>
          <w:tcPr>
            <w:tcW w:w="0" w:type="dxa"/>
            <w:vAlign w:val="bottom"/>
          </w:tcPr>
          <w:p>
            <w:pPr>
              <w:spacing w:after="0"/>
              <w:rPr>
                <w:sz w:val="1"/>
                <w:szCs w:val="1"/>
                <w:color w:val="auto"/>
              </w:rPr>
            </w:pPr>
          </w:p>
        </w:tc>
      </w:tr>
      <w:tr>
        <w:trPr>
          <w:trHeight w:val="186"/>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86" w:lineRule="exact"/>
              <w:rPr>
                <w:sz w:val="20"/>
                <w:szCs w:val="20"/>
                <w:color w:val="auto"/>
              </w:rPr>
            </w:pPr>
            <w:r>
              <w:rPr>
                <w:rFonts w:ascii="Arial" w:cs="Arial" w:eastAsia="Arial" w:hAnsi="Arial"/>
                <w:sz w:val="17"/>
                <w:szCs w:val="17"/>
                <w:color w:val="auto"/>
              </w:rPr>
              <w:t>Common</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91"/>
        </w:trPr>
        <w:tc>
          <w:tcPr>
            <w:tcW w:w="40" w:type="dxa"/>
            <w:vAlign w:val="bottom"/>
            <w:tcBorders>
              <w:left w:val="single" w:sz="8" w:color="auto"/>
            </w:tcBorders>
          </w:tcPr>
          <w:p>
            <w:pPr>
              <w:spacing w:after="0"/>
              <w:rPr>
                <w:sz w:val="16"/>
                <w:szCs w:val="16"/>
                <w:color w:val="auto"/>
              </w:rPr>
            </w:pPr>
          </w:p>
        </w:tc>
        <w:tc>
          <w:tcPr>
            <w:tcW w:w="800" w:type="dxa"/>
            <w:vAlign w:val="bottom"/>
            <w:shd w:val="clear" w:color="auto" w:fill="E7E7E2"/>
          </w:tcPr>
          <w:p>
            <w:pPr>
              <w:spacing w:after="0" w:line="191" w:lineRule="exact"/>
              <w:rPr>
                <w:sz w:val="20"/>
                <w:szCs w:val="20"/>
                <w:color w:val="auto"/>
              </w:rPr>
            </w:pPr>
            <w:r>
              <w:rPr>
                <w:rFonts w:ascii="Arial" w:cs="Arial" w:eastAsia="Arial" w:hAnsi="Arial"/>
                <w:sz w:val="17"/>
                <w:szCs w:val="17"/>
                <w:color w:val="auto"/>
              </w:rPr>
              <w:t>Fee</w:t>
            </w:r>
          </w:p>
        </w:tc>
        <w:tc>
          <w:tcPr>
            <w:tcW w:w="20" w:type="dxa"/>
            <w:vAlign w:val="bottom"/>
          </w:tcPr>
          <w:p>
            <w:pPr>
              <w:spacing w:after="0"/>
              <w:rPr>
                <w:sz w:val="16"/>
                <w:szCs w:val="16"/>
                <w:color w:val="auto"/>
              </w:rPr>
            </w:pPr>
          </w:p>
        </w:tc>
        <w:tc>
          <w:tcPr>
            <w:tcW w:w="3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Disc Medicine,</w:t>
            </w:r>
          </w:p>
        </w:tc>
        <w:tc>
          <w:tcPr>
            <w:tcW w:w="20" w:type="dxa"/>
            <w:vAlign w:val="bottom"/>
          </w:tcPr>
          <w:p>
            <w:pPr>
              <w:spacing w:after="0"/>
              <w:rPr>
                <w:sz w:val="16"/>
                <w:szCs w:val="16"/>
                <w:color w:val="auto"/>
              </w:rPr>
            </w:pPr>
          </w:p>
        </w:tc>
        <w:tc>
          <w:tcPr>
            <w:tcW w:w="5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6"/>
                <w:szCs w:val="16"/>
                <w:color w:val="auto"/>
              </w:rPr>
            </w:pPr>
          </w:p>
        </w:tc>
        <w:tc>
          <w:tcPr>
            <w:tcW w:w="88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6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92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940" w:type="dxa"/>
            <w:vAlign w:val="bottom"/>
            <w:shd w:val="clear" w:color="auto" w:fill="E7E7E2"/>
          </w:tcPr>
          <w:p>
            <w:pPr>
              <w:ind w:left="20"/>
              <w:spacing w:after="0" w:line="191" w:lineRule="exact"/>
              <w:rPr>
                <w:sz w:val="20"/>
                <w:szCs w:val="20"/>
                <w:color w:val="auto"/>
              </w:rPr>
            </w:pPr>
            <w:r>
              <w:rPr>
                <w:rFonts w:ascii="Arial" w:cs="Arial" w:eastAsia="Arial" w:hAnsi="Arial"/>
                <w:sz w:val="17"/>
                <w:szCs w:val="17"/>
                <w:color w:val="auto"/>
              </w:rPr>
              <w:t>Stock, par</w:t>
            </w:r>
          </w:p>
        </w:tc>
        <w:tc>
          <w:tcPr>
            <w:tcW w:w="20" w:type="dxa"/>
            <w:vAlign w:val="bottom"/>
          </w:tcPr>
          <w:p>
            <w:pPr>
              <w:spacing w:after="0"/>
              <w:rPr>
                <w:sz w:val="16"/>
                <w:szCs w:val="16"/>
                <w:color w:val="auto"/>
              </w:rPr>
            </w:pPr>
          </w:p>
        </w:tc>
        <w:tc>
          <w:tcPr>
            <w:tcW w:w="940" w:type="dxa"/>
            <w:vAlign w:val="bottom"/>
            <w:shd w:val="clear" w:color="auto" w:fill="E7E7E2"/>
          </w:tcPr>
          <w:p>
            <w:pPr>
              <w:spacing w:after="0"/>
              <w:rPr>
                <w:sz w:val="16"/>
                <w:szCs w:val="16"/>
                <w:color w:val="auto"/>
              </w:rPr>
            </w:pPr>
          </w:p>
        </w:tc>
        <w:tc>
          <w:tcPr>
            <w:tcW w:w="20" w:type="dxa"/>
            <w:vAlign w:val="bottom"/>
          </w:tcPr>
          <w:p>
            <w:pPr>
              <w:spacing w:after="0"/>
              <w:rPr>
                <w:sz w:val="16"/>
                <w:szCs w:val="16"/>
                <w:color w:val="auto"/>
              </w:rPr>
            </w:pPr>
          </w:p>
        </w:tc>
        <w:tc>
          <w:tcPr>
            <w:tcW w:w="12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20" w:type="dxa"/>
            <w:vAlign w:val="bottom"/>
          </w:tcPr>
          <w:p>
            <w:pPr>
              <w:spacing w:after="0"/>
              <w:rPr>
                <w:sz w:val="16"/>
                <w:szCs w:val="16"/>
                <w:color w:val="auto"/>
              </w:rPr>
            </w:pPr>
          </w:p>
        </w:tc>
        <w:tc>
          <w:tcPr>
            <w:tcW w:w="800" w:type="dxa"/>
            <w:vAlign w:val="bottom"/>
            <w:shd w:val="clear" w:color="auto" w:fill="E7E7E2"/>
          </w:tcPr>
          <w:p>
            <w:pPr>
              <w:spacing w:after="0"/>
              <w:rPr>
                <w:sz w:val="16"/>
                <w:szCs w:val="16"/>
                <w:color w:val="auto"/>
              </w:rPr>
            </w:pPr>
          </w:p>
        </w:tc>
        <w:tc>
          <w:tcPr>
            <w:tcW w:w="40" w:type="dxa"/>
            <w:vAlign w:val="bottom"/>
            <w:tcBorders>
              <w:right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Offset</w:t>
            </w:r>
          </w:p>
        </w:tc>
        <w:tc>
          <w:tcPr>
            <w:tcW w:w="20" w:type="dxa"/>
            <w:vAlign w:val="bottom"/>
          </w:tcPr>
          <w:p>
            <w:pPr>
              <w:spacing w:after="0"/>
              <w:rPr>
                <w:sz w:val="8"/>
                <w:szCs w:val="8"/>
                <w:color w:val="auto"/>
              </w:rPr>
            </w:pPr>
          </w:p>
        </w:tc>
        <w:tc>
          <w:tcPr>
            <w:tcW w:w="380" w:type="dxa"/>
            <w:vAlign w:val="bottom"/>
            <w:vMerge w:val="restart"/>
            <w:shd w:val="clear" w:color="auto" w:fill="E7E7E2"/>
          </w:tcPr>
          <w:p>
            <w:pPr>
              <w:jc w:val="right"/>
              <w:ind w:right="55"/>
              <w:spacing w:after="0"/>
              <w:rPr>
                <w:sz w:val="20"/>
                <w:szCs w:val="20"/>
                <w:color w:val="auto"/>
              </w:rPr>
            </w:pPr>
            <w:r>
              <w:rPr>
                <w:rFonts w:ascii="Arial" w:cs="Arial" w:eastAsia="Arial" w:hAnsi="Arial"/>
                <w:sz w:val="17"/>
                <w:szCs w:val="17"/>
                <w:color w:val="auto"/>
              </w:rPr>
              <w:t>1</w:t>
            </w: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08/08/2024</w:t>
            </w: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Equity</w:t>
            </w:r>
          </w:p>
        </w:tc>
        <w:tc>
          <w:tcPr>
            <w:tcW w:w="20" w:type="dxa"/>
            <w:vAlign w:val="bottom"/>
          </w:tcPr>
          <w:p>
            <w:pPr>
              <w:spacing w:after="0"/>
              <w:rPr>
                <w:sz w:val="8"/>
                <w:szCs w:val="8"/>
                <w:color w:val="auto"/>
              </w:rPr>
            </w:pPr>
          </w:p>
        </w:tc>
        <w:tc>
          <w:tcPr>
            <w:tcW w:w="94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value</w:t>
            </w: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69"/>
        </w:trPr>
        <w:tc>
          <w:tcPr>
            <w:tcW w:w="40" w:type="dxa"/>
            <w:vAlign w:val="bottom"/>
            <w:tcBorders>
              <w:left w:val="single" w:sz="8" w:color="auto"/>
            </w:tcBorders>
          </w:tcPr>
          <w:p>
            <w:pPr>
              <w:spacing w:after="0"/>
              <w:rPr>
                <w:sz w:val="14"/>
                <w:szCs w:val="14"/>
                <w:color w:val="auto"/>
              </w:rPr>
            </w:pPr>
          </w:p>
        </w:tc>
        <w:tc>
          <w:tcPr>
            <w:tcW w:w="80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3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ind w:left="20"/>
              <w:spacing w:after="0" w:line="170" w:lineRule="exact"/>
              <w:rPr>
                <w:sz w:val="20"/>
                <w:szCs w:val="20"/>
                <w:color w:val="auto"/>
              </w:rPr>
            </w:pPr>
            <w:r>
              <w:rPr>
                <w:rFonts w:ascii="Arial" w:cs="Arial" w:eastAsia="Arial" w:hAnsi="Arial"/>
                <w:sz w:val="17"/>
                <w:szCs w:val="17"/>
                <w:color w:val="auto"/>
              </w:rPr>
              <w:t>Inc.</w:t>
            </w:r>
          </w:p>
        </w:tc>
        <w:tc>
          <w:tcPr>
            <w:tcW w:w="20" w:type="dxa"/>
            <w:vAlign w:val="bottom"/>
          </w:tcPr>
          <w:p>
            <w:pPr>
              <w:spacing w:after="0"/>
              <w:rPr>
                <w:sz w:val="14"/>
                <w:szCs w:val="14"/>
                <w:color w:val="auto"/>
              </w:rPr>
            </w:pPr>
          </w:p>
        </w:tc>
        <w:tc>
          <w:tcPr>
            <w:tcW w:w="5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700" w:type="dxa"/>
            <w:vAlign w:val="bottom"/>
            <w:shd w:val="clear" w:color="auto" w:fill="E7E7E2"/>
          </w:tcPr>
          <w:p>
            <w:pPr>
              <w:jc w:val="center"/>
              <w:spacing w:after="0" w:line="170" w:lineRule="exact"/>
              <w:rPr>
                <w:sz w:val="20"/>
                <w:szCs w:val="20"/>
                <w:color w:val="auto"/>
              </w:rPr>
            </w:pPr>
            <w:r>
              <w:rPr>
                <w:rFonts w:ascii="Arial" w:cs="Arial" w:eastAsia="Arial" w:hAnsi="Arial"/>
                <w:sz w:val="17"/>
                <w:szCs w:val="17"/>
                <w:color w:val="auto"/>
              </w:rPr>
              <w:t>281359</w:t>
            </w:r>
          </w:p>
        </w:tc>
        <w:tc>
          <w:tcPr>
            <w:tcW w:w="20" w:type="dxa"/>
            <w:vAlign w:val="bottom"/>
          </w:tcPr>
          <w:p>
            <w:pPr>
              <w:spacing w:after="0"/>
              <w:rPr>
                <w:sz w:val="14"/>
                <w:szCs w:val="14"/>
                <w:color w:val="auto"/>
              </w:rPr>
            </w:pPr>
          </w:p>
        </w:tc>
        <w:tc>
          <w:tcPr>
            <w:tcW w:w="88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6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80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rPr>
              <w:t>16,523.54</w:t>
            </w:r>
          </w:p>
        </w:tc>
        <w:tc>
          <w:tcPr>
            <w:tcW w:w="20" w:type="dxa"/>
            <w:vAlign w:val="bottom"/>
          </w:tcPr>
          <w:p>
            <w:pPr>
              <w:spacing w:after="0"/>
              <w:rPr>
                <w:sz w:val="14"/>
                <w:szCs w:val="14"/>
                <w:color w:val="auto"/>
              </w:rPr>
            </w:pPr>
          </w:p>
        </w:tc>
        <w:tc>
          <w:tcPr>
            <w:tcW w:w="92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vMerge w:val="continue"/>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940" w:type="dxa"/>
            <w:vAlign w:val="bottom"/>
            <w:shd w:val="clear" w:color="auto" w:fill="E7E7E2"/>
          </w:tcPr>
          <w:p>
            <w:pPr>
              <w:spacing w:after="0"/>
              <w:rPr>
                <w:sz w:val="14"/>
                <w:szCs w:val="14"/>
                <w:color w:val="auto"/>
              </w:rPr>
            </w:pPr>
          </w:p>
        </w:tc>
        <w:tc>
          <w:tcPr>
            <w:tcW w:w="20" w:type="dxa"/>
            <w:vAlign w:val="bottom"/>
          </w:tcPr>
          <w:p>
            <w:pPr>
              <w:spacing w:after="0"/>
              <w:rPr>
                <w:sz w:val="14"/>
                <w:szCs w:val="14"/>
                <w:color w:val="auto"/>
              </w:rPr>
            </w:pPr>
          </w:p>
        </w:tc>
        <w:tc>
          <w:tcPr>
            <w:tcW w:w="1200" w:type="dxa"/>
            <w:vAlign w:val="bottom"/>
            <w:shd w:val="clear" w:color="auto" w:fill="E7E7E2"/>
          </w:tcPr>
          <w:p>
            <w:pPr>
              <w:jc w:val="right"/>
              <w:spacing w:after="0" w:line="170" w:lineRule="exact"/>
              <w:rPr>
                <w:sz w:val="20"/>
                <w:szCs w:val="20"/>
                <w:color w:val="auto"/>
              </w:rPr>
            </w:pPr>
            <w:r>
              <w:rPr>
                <w:rFonts w:ascii="Arial" w:cs="Arial" w:eastAsia="Arial" w:hAnsi="Arial"/>
                <w:sz w:val="17"/>
                <w:szCs w:val="17"/>
                <w:color w:val="auto"/>
                <w:w w:val="99"/>
              </w:rPr>
              <w:t>189,925,765.25</w:t>
            </w:r>
          </w:p>
        </w:tc>
        <w:tc>
          <w:tcPr>
            <w:tcW w:w="20" w:type="dxa"/>
            <w:vAlign w:val="bottom"/>
          </w:tcPr>
          <w:p>
            <w:pPr>
              <w:spacing w:after="0"/>
              <w:rPr>
                <w:sz w:val="14"/>
                <w:szCs w:val="14"/>
                <w:color w:val="auto"/>
              </w:rPr>
            </w:pPr>
          </w:p>
        </w:tc>
        <w:tc>
          <w:tcPr>
            <w:tcW w:w="800" w:type="dxa"/>
            <w:vAlign w:val="bottom"/>
            <w:shd w:val="clear" w:color="auto" w:fill="E7E7E2"/>
          </w:tcPr>
          <w:p>
            <w:pPr>
              <w:spacing w:after="0"/>
              <w:rPr>
                <w:sz w:val="14"/>
                <w:szCs w:val="14"/>
                <w:color w:val="auto"/>
              </w:rPr>
            </w:pPr>
          </w:p>
        </w:tc>
        <w:tc>
          <w:tcPr>
            <w:tcW w:w="40" w:type="dxa"/>
            <w:vAlign w:val="bottom"/>
            <w:tcBorders>
              <w:right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117"/>
        </w:trPr>
        <w:tc>
          <w:tcPr>
            <w:tcW w:w="40" w:type="dxa"/>
            <w:vAlign w:val="bottom"/>
            <w:tcBorders>
              <w:left w:val="single" w:sz="8" w:color="auto"/>
            </w:tcBorders>
          </w:tcPr>
          <w:p>
            <w:pPr>
              <w:spacing w:after="0"/>
              <w:rPr>
                <w:sz w:val="10"/>
                <w:szCs w:val="10"/>
                <w:color w:val="auto"/>
              </w:rPr>
            </w:pPr>
          </w:p>
        </w:tc>
        <w:tc>
          <w:tcPr>
            <w:tcW w:w="800" w:type="dxa"/>
            <w:vAlign w:val="bottom"/>
            <w:shd w:val="clear" w:color="auto" w:fill="E7E7E2"/>
          </w:tcPr>
          <w:p>
            <w:pPr>
              <w:spacing w:after="0" w:line="117" w:lineRule="exact"/>
              <w:rPr>
                <w:sz w:val="20"/>
                <w:szCs w:val="20"/>
                <w:color w:val="auto"/>
              </w:rPr>
            </w:pPr>
            <w:r>
              <w:rPr>
                <w:rFonts w:ascii="Arial" w:cs="Arial" w:eastAsia="Arial" w:hAnsi="Arial"/>
                <w:sz w:val="13"/>
                <w:szCs w:val="13"/>
                <w:color w:val="auto"/>
              </w:rPr>
              <w:t>Claims</w:t>
            </w:r>
          </w:p>
        </w:tc>
        <w:tc>
          <w:tcPr>
            <w:tcW w:w="20" w:type="dxa"/>
            <w:vAlign w:val="bottom"/>
          </w:tcPr>
          <w:p>
            <w:pPr>
              <w:spacing w:after="0"/>
              <w:rPr>
                <w:sz w:val="10"/>
                <w:szCs w:val="10"/>
                <w:color w:val="auto"/>
              </w:rPr>
            </w:pPr>
          </w:p>
        </w:tc>
        <w:tc>
          <w:tcPr>
            <w:tcW w:w="3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5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7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8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6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2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940" w:type="dxa"/>
            <w:vAlign w:val="bottom"/>
            <w:shd w:val="clear" w:color="auto" w:fill="E7E7E2"/>
          </w:tcPr>
          <w:p>
            <w:pPr>
              <w:jc w:val="center"/>
              <w:spacing w:after="0" w:line="117" w:lineRule="exact"/>
              <w:rPr>
                <w:sz w:val="20"/>
                <w:szCs w:val="20"/>
                <w:color w:val="auto"/>
              </w:rPr>
            </w:pPr>
            <w:r>
              <w:rPr>
                <w:rFonts w:ascii="Arial" w:cs="Arial" w:eastAsia="Arial" w:hAnsi="Arial"/>
                <w:sz w:val="13"/>
                <w:szCs w:val="13"/>
                <w:color w:val="auto"/>
              </w:rPr>
              <w:t>$0.0001 per</w:t>
            </w:r>
          </w:p>
        </w:tc>
        <w:tc>
          <w:tcPr>
            <w:tcW w:w="20" w:type="dxa"/>
            <w:vAlign w:val="bottom"/>
          </w:tcPr>
          <w:p>
            <w:pPr>
              <w:spacing w:after="0"/>
              <w:rPr>
                <w:sz w:val="10"/>
                <w:szCs w:val="10"/>
                <w:color w:val="auto"/>
              </w:rPr>
            </w:pPr>
          </w:p>
        </w:tc>
        <w:tc>
          <w:tcPr>
            <w:tcW w:w="94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1200" w:type="dxa"/>
            <w:vAlign w:val="bottom"/>
            <w:shd w:val="clear" w:color="auto" w:fill="E7E7E2"/>
          </w:tcPr>
          <w:p>
            <w:pPr>
              <w:spacing w:after="0"/>
              <w:rPr>
                <w:sz w:val="10"/>
                <w:szCs w:val="10"/>
                <w:color w:val="auto"/>
              </w:rPr>
            </w:pPr>
          </w:p>
        </w:tc>
        <w:tc>
          <w:tcPr>
            <w:tcW w:w="20" w:type="dxa"/>
            <w:vAlign w:val="bottom"/>
          </w:tcPr>
          <w:p>
            <w:pPr>
              <w:spacing w:after="0"/>
              <w:rPr>
                <w:sz w:val="10"/>
                <w:szCs w:val="10"/>
                <w:color w:val="auto"/>
              </w:rPr>
            </w:pPr>
          </w:p>
        </w:tc>
        <w:tc>
          <w:tcPr>
            <w:tcW w:w="800" w:type="dxa"/>
            <w:vAlign w:val="bottom"/>
            <w:shd w:val="clear" w:color="auto" w:fill="E7E7E2"/>
          </w:tcPr>
          <w:p>
            <w:pPr>
              <w:spacing w:after="0"/>
              <w:rPr>
                <w:sz w:val="10"/>
                <w:szCs w:val="10"/>
                <w:color w:val="auto"/>
              </w:rPr>
            </w:pPr>
          </w:p>
        </w:tc>
        <w:tc>
          <w:tcPr>
            <w:tcW w:w="40" w:type="dxa"/>
            <w:vAlign w:val="bottom"/>
            <w:tcBorders>
              <w:right w:val="single" w:sz="8" w:color="auto"/>
            </w:tcBorders>
          </w:tcPr>
          <w:p>
            <w:pPr>
              <w:spacing w:after="0"/>
              <w:rPr>
                <w:sz w:val="10"/>
                <w:szCs w:val="10"/>
                <w:color w:val="auto"/>
              </w:rPr>
            </w:pPr>
          </w:p>
        </w:tc>
        <w:tc>
          <w:tcPr>
            <w:tcW w:w="0" w:type="dxa"/>
            <w:vAlign w:val="bottom"/>
          </w:tcPr>
          <w:p>
            <w:pPr>
              <w:spacing w:after="0"/>
              <w:rPr>
                <w:sz w:val="1"/>
                <w:szCs w:val="1"/>
                <w:color w:val="auto"/>
              </w:rPr>
            </w:pPr>
          </w:p>
        </w:tc>
      </w:tr>
      <w:tr>
        <w:trPr>
          <w:trHeight w:val="222"/>
        </w:trPr>
        <w:tc>
          <w:tcPr>
            <w:tcW w:w="40" w:type="dxa"/>
            <w:vAlign w:val="bottom"/>
            <w:tcBorders>
              <w:left w:val="single" w:sz="8" w:color="auto"/>
            </w:tcBorders>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3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5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7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8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6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2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940" w:type="dxa"/>
            <w:vAlign w:val="bottom"/>
            <w:shd w:val="clear" w:color="auto" w:fill="E7E7E2"/>
          </w:tcPr>
          <w:p>
            <w:pPr>
              <w:ind w:left="20"/>
              <w:spacing w:after="0"/>
              <w:rPr>
                <w:sz w:val="20"/>
                <w:szCs w:val="20"/>
                <w:color w:val="auto"/>
              </w:rPr>
            </w:pPr>
            <w:r>
              <w:rPr>
                <w:rFonts w:ascii="Arial" w:cs="Arial" w:eastAsia="Arial" w:hAnsi="Arial"/>
                <w:sz w:val="17"/>
                <w:szCs w:val="17"/>
                <w:color w:val="auto"/>
              </w:rPr>
              <w:t>share</w:t>
            </w:r>
          </w:p>
        </w:tc>
        <w:tc>
          <w:tcPr>
            <w:tcW w:w="20" w:type="dxa"/>
            <w:vAlign w:val="bottom"/>
          </w:tcPr>
          <w:p>
            <w:pPr>
              <w:spacing w:after="0"/>
              <w:rPr>
                <w:sz w:val="19"/>
                <w:szCs w:val="19"/>
                <w:color w:val="auto"/>
              </w:rPr>
            </w:pPr>
          </w:p>
        </w:tc>
        <w:tc>
          <w:tcPr>
            <w:tcW w:w="94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1200" w:type="dxa"/>
            <w:vAlign w:val="bottom"/>
            <w:shd w:val="clear" w:color="auto" w:fill="E7E7E2"/>
          </w:tcPr>
          <w:p>
            <w:pPr>
              <w:spacing w:after="0"/>
              <w:rPr>
                <w:sz w:val="19"/>
                <w:szCs w:val="19"/>
                <w:color w:val="auto"/>
              </w:rPr>
            </w:pPr>
          </w:p>
        </w:tc>
        <w:tc>
          <w:tcPr>
            <w:tcW w:w="20" w:type="dxa"/>
            <w:vAlign w:val="bottom"/>
          </w:tcPr>
          <w:p>
            <w:pPr>
              <w:spacing w:after="0"/>
              <w:rPr>
                <w:sz w:val="19"/>
                <w:szCs w:val="19"/>
                <w:color w:val="auto"/>
              </w:rPr>
            </w:pPr>
          </w:p>
        </w:tc>
        <w:tc>
          <w:tcPr>
            <w:tcW w:w="800" w:type="dxa"/>
            <w:vAlign w:val="bottom"/>
            <w:shd w:val="clear" w:color="auto" w:fill="E7E7E2"/>
          </w:tcPr>
          <w:p>
            <w:pPr>
              <w:spacing w:after="0"/>
              <w:rPr>
                <w:sz w:val="19"/>
                <w:szCs w:val="19"/>
                <w:color w:val="auto"/>
              </w:rPr>
            </w:pPr>
          </w:p>
        </w:tc>
        <w:tc>
          <w:tcPr>
            <w:tcW w:w="40" w:type="dxa"/>
            <w:vAlign w:val="bottom"/>
            <w:tcBorders>
              <w:right w:val="single" w:sz="8" w:color="auto"/>
            </w:tcBorders>
          </w:tcPr>
          <w:p>
            <w:pPr>
              <w:spacing w:after="0"/>
              <w:rPr>
                <w:sz w:val="19"/>
                <w:szCs w:val="19"/>
                <w:color w:val="auto"/>
              </w:rPr>
            </w:pPr>
          </w:p>
        </w:tc>
        <w:tc>
          <w:tcPr>
            <w:tcW w:w="0" w:type="dxa"/>
            <w:vAlign w:val="bottom"/>
          </w:tcPr>
          <w:p>
            <w:pPr>
              <w:spacing w:after="0"/>
              <w:rPr>
                <w:sz w:val="1"/>
                <w:szCs w:val="1"/>
                <w:color w:val="auto"/>
              </w:rPr>
            </w:pPr>
          </w:p>
        </w:tc>
      </w:tr>
      <w:tr>
        <w:trPr>
          <w:trHeight w:val="21"/>
        </w:trPr>
        <w:tc>
          <w:tcPr>
            <w:tcW w:w="40" w:type="dxa"/>
            <w:vAlign w:val="bottom"/>
            <w:tcBorders>
              <w:left w:val="single" w:sz="8" w:color="auto"/>
            </w:tcBorders>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40" w:type="dxa"/>
            <w:vAlign w:val="bottom"/>
            <w:tcBorders>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 w:type="dxa"/>
            <w:vAlign w:val="bottom"/>
            <w:tcBorders>
              <w:left w:val="single" w:sz="8" w:color="auto"/>
            </w:tcBorders>
          </w:tcPr>
          <w:p>
            <w:pPr>
              <w:spacing w:after="0"/>
              <w:rPr>
                <w:sz w:val="15"/>
                <w:szCs w:val="15"/>
                <w:color w:val="auto"/>
              </w:rPr>
            </w:pPr>
          </w:p>
        </w:tc>
        <w:tc>
          <w:tcPr>
            <w:tcW w:w="800" w:type="dxa"/>
            <w:vAlign w:val="bottom"/>
            <w:shd w:val="clear" w:color="auto" w:fill="E7E7E2"/>
          </w:tcPr>
          <w:p>
            <w:pPr>
              <w:spacing w:after="0" w:line="180" w:lineRule="exact"/>
              <w:rPr>
                <w:sz w:val="20"/>
                <w:szCs w:val="20"/>
                <w:color w:val="auto"/>
              </w:rPr>
            </w:pPr>
            <w:r>
              <w:rPr>
                <w:rFonts w:ascii="Arial" w:cs="Arial" w:eastAsia="Arial" w:hAnsi="Arial"/>
                <w:sz w:val="17"/>
                <w:szCs w:val="17"/>
                <w:color w:val="auto"/>
              </w:rPr>
              <w:t>Fee</w:t>
            </w:r>
          </w:p>
        </w:tc>
        <w:tc>
          <w:tcPr>
            <w:tcW w:w="20" w:type="dxa"/>
            <w:vAlign w:val="bottom"/>
          </w:tcPr>
          <w:p>
            <w:pPr>
              <w:spacing w:after="0"/>
              <w:rPr>
                <w:sz w:val="15"/>
                <w:szCs w:val="15"/>
                <w:color w:val="auto"/>
              </w:rPr>
            </w:pPr>
          </w:p>
        </w:tc>
        <w:tc>
          <w:tcPr>
            <w:tcW w:w="3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Disc Medicine,</w:t>
            </w:r>
          </w:p>
        </w:tc>
        <w:tc>
          <w:tcPr>
            <w:tcW w:w="20" w:type="dxa"/>
            <w:vAlign w:val="bottom"/>
          </w:tcPr>
          <w:p>
            <w:pPr>
              <w:spacing w:after="0"/>
              <w:rPr>
                <w:sz w:val="15"/>
                <w:szCs w:val="15"/>
                <w:color w:val="auto"/>
              </w:rPr>
            </w:pPr>
          </w:p>
        </w:tc>
        <w:tc>
          <w:tcPr>
            <w:tcW w:w="5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w w:val="99"/>
              </w:rPr>
              <w:t>333-</w:t>
            </w:r>
          </w:p>
        </w:tc>
        <w:tc>
          <w:tcPr>
            <w:tcW w:w="20" w:type="dxa"/>
            <w:vAlign w:val="bottom"/>
          </w:tcPr>
          <w:p>
            <w:pPr>
              <w:spacing w:after="0"/>
              <w:rPr>
                <w:sz w:val="15"/>
                <w:szCs w:val="15"/>
                <w:color w:val="auto"/>
              </w:rPr>
            </w:pPr>
          </w:p>
        </w:tc>
        <w:tc>
          <w:tcPr>
            <w:tcW w:w="88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6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2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94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1200" w:type="dxa"/>
            <w:vAlign w:val="bottom"/>
            <w:shd w:val="clear" w:color="auto" w:fill="E7E7E2"/>
          </w:tcPr>
          <w:p>
            <w:pPr>
              <w:spacing w:after="0"/>
              <w:rPr>
                <w:sz w:val="15"/>
                <w:szCs w:val="15"/>
                <w:color w:val="auto"/>
              </w:rPr>
            </w:pPr>
          </w:p>
        </w:tc>
        <w:tc>
          <w:tcPr>
            <w:tcW w:w="20" w:type="dxa"/>
            <w:vAlign w:val="bottom"/>
          </w:tcPr>
          <w:p>
            <w:pPr>
              <w:spacing w:after="0"/>
              <w:rPr>
                <w:sz w:val="15"/>
                <w:szCs w:val="15"/>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w:t>
            </w:r>
          </w:p>
        </w:tc>
        <w:tc>
          <w:tcPr>
            <w:tcW w:w="40" w:type="dxa"/>
            <w:vAlign w:val="bottom"/>
            <w:tcBorders>
              <w:right w:val="single" w:sz="8" w:color="auto"/>
            </w:tcBorders>
          </w:tcPr>
          <w:p>
            <w:pPr>
              <w:spacing w:after="0"/>
              <w:rPr>
                <w:sz w:val="15"/>
                <w:szCs w:val="15"/>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restart"/>
            <w:shd w:val="clear" w:color="auto" w:fill="E7E7E2"/>
          </w:tcPr>
          <w:p>
            <w:pPr>
              <w:spacing w:after="0" w:line="191" w:lineRule="exact"/>
              <w:rPr>
                <w:sz w:val="20"/>
                <w:szCs w:val="20"/>
                <w:color w:val="auto"/>
              </w:rPr>
            </w:pPr>
            <w:r>
              <w:rPr>
                <w:rFonts w:ascii="Arial" w:cs="Arial" w:eastAsia="Arial" w:hAnsi="Arial"/>
                <w:sz w:val="17"/>
                <w:szCs w:val="17"/>
                <w:color w:val="auto"/>
              </w:rPr>
              <w:t>Offset</w:t>
            </w:r>
          </w:p>
        </w:tc>
        <w:tc>
          <w:tcPr>
            <w:tcW w:w="20" w:type="dxa"/>
            <w:vAlign w:val="bottom"/>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vMerge w:val="restart"/>
            <w:shd w:val="clear" w:color="auto" w:fill="E7E7E2"/>
          </w:tcPr>
          <w:p>
            <w:pPr>
              <w:jc w:val="center"/>
              <w:spacing w:after="0" w:line="191" w:lineRule="exact"/>
              <w:rPr>
                <w:sz w:val="20"/>
                <w:szCs w:val="20"/>
                <w:color w:val="auto"/>
              </w:rPr>
            </w:pPr>
            <w:r>
              <w:rPr>
                <w:rFonts w:ascii="Arial" w:cs="Arial" w:eastAsia="Arial" w:hAnsi="Arial"/>
                <w:sz w:val="17"/>
                <w:szCs w:val="17"/>
                <w:color w:val="auto"/>
                <w:w w:val="98"/>
              </w:rPr>
              <w:t>S-3</w:t>
            </w:r>
          </w:p>
        </w:tc>
        <w:tc>
          <w:tcPr>
            <w:tcW w:w="20" w:type="dxa"/>
            <w:vAlign w:val="bottom"/>
          </w:tcPr>
          <w:p>
            <w:pPr>
              <w:spacing w:after="0"/>
              <w:rPr>
                <w:sz w:val="8"/>
                <w:szCs w:val="8"/>
                <w:color w:val="auto"/>
              </w:rPr>
            </w:pPr>
          </w:p>
        </w:tc>
        <w:tc>
          <w:tcPr>
            <w:tcW w:w="7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restart"/>
            <w:shd w:val="clear" w:color="auto" w:fill="E7E7E2"/>
          </w:tcPr>
          <w:p>
            <w:pPr>
              <w:jc w:val="center"/>
              <w:spacing w:after="0" w:line="191" w:lineRule="exact"/>
              <w:rPr>
                <w:sz w:val="20"/>
                <w:szCs w:val="20"/>
                <w:color w:val="auto"/>
              </w:rPr>
            </w:pPr>
            <w:r>
              <w:rPr>
                <w:rFonts w:ascii="Arial" w:cs="Arial" w:eastAsia="Arial" w:hAnsi="Arial"/>
                <w:sz w:val="17"/>
                <w:szCs w:val="17"/>
                <w:color w:val="auto"/>
                <w:w w:val="98"/>
              </w:rPr>
              <w:t>11/20/2023</w:t>
            </w: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vMerge w:val="restart"/>
            <w:shd w:val="clear" w:color="auto" w:fill="E7E7E2"/>
          </w:tcPr>
          <w:p>
            <w:pPr>
              <w:ind w:left="20"/>
              <w:spacing w:after="0"/>
              <w:rPr>
                <w:sz w:val="20"/>
                <w:szCs w:val="20"/>
                <w:color w:val="auto"/>
              </w:rPr>
            </w:pPr>
            <w:r>
              <w:rPr>
                <w:rFonts w:ascii="Arial" w:cs="Arial" w:eastAsia="Arial" w:hAnsi="Arial"/>
                <w:sz w:val="17"/>
                <w:szCs w:val="17"/>
                <w:color w:val="auto"/>
              </w:rPr>
              <w:t>Inc.</w:t>
            </w:r>
          </w:p>
        </w:tc>
        <w:tc>
          <w:tcPr>
            <w:tcW w:w="20" w:type="dxa"/>
            <w:vAlign w:val="bottom"/>
          </w:tcPr>
          <w:p>
            <w:pPr>
              <w:spacing w:after="0"/>
              <w:rPr>
                <w:sz w:val="8"/>
                <w:szCs w:val="8"/>
                <w:color w:val="auto"/>
              </w:rPr>
            </w:pPr>
          </w:p>
        </w:tc>
        <w:tc>
          <w:tcPr>
            <w:tcW w:w="54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vMerge w:val="restart"/>
            <w:shd w:val="clear" w:color="auto" w:fill="E7E7E2"/>
          </w:tcPr>
          <w:p>
            <w:pPr>
              <w:jc w:val="center"/>
              <w:spacing w:after="0"/>
              <w:rPr>
                <w:sz w:val="20"/>
                <w:szCs w:val="20"/>
                <w:color w:val="auto"/>
              </w:rPr>
            </w:pPr>
            <w:r>
              <w:rPr>
                <w:rFonts w:ascii="Arial" w:cs="Arial" w:eastAsia="Arial" w:hAnsi="Arial"/>
                <w:sz w:val="17"/>
                <w:szCs w:val="17"/>
                <w:color w:val="auto"/>
              </w:rPr>
              <w:t>275652</w:t>
            </w: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vMerge w:val="restart"/>
            <w:shd w:val="clear" w:color="auto" w:fill="E7E7E2"/>
          </w:tcPr>
          <w:p>
            <w:pPr>
              <w:jc w:val="right"/>
              <w:spacing w:after="0"/>
              <w:rPr>
                <w:sz w:val="20"/>
                <w:szCs w:val="20"/>
                <w:color w:val="auto"/>
              </w:rPr>
            </w:pPr>
            <w:r>
              <w:rPr>
                <w:rFonts w:ascii="Arial" w:cs="Arial" w:eastAsia="Arial" w:hAnsi="Arial"/>
                <w:sz w:val="17"/>
                <w:szCs w:val="17"/>
                <w:color w:val="auto"/>
              </w:rPr>
              <w:t>59,040.00</w:t>
            </w: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128"/>
        </w:trPr>
        <w:tc>
          <w:tcPr>
            <w:tcW w:w="40" w:type="dxa"/>
            <w:vAlign w:val="bottom"/>
            <w:tcBorders>
              <w:left w:val="single" w:sz="8" w:color="auto"/>
            </w:tcBorders>
          </w:tcPr>
          <w:p>
            <w:pPr>
              <w:spacing w:after="0"/>
              <w:rPr>
                <w:sz w:val="11"/>
                <w:szCs w:val="11"/>
                <w:color w:val="auto"/>
              </w:rPr>
            </w:pPr>
          </w:p>
        </w:tc>
        <w:tc>
          <w:tcPr>
            <w:tcW w:w="800" w:type="dxa"/>
            <w:vAlign w:val="bottom"/>
            <w:vMerge w:val="restart"/>
            <w:shd w:val="clear" w:color="auto" w:fill="E7E7E2"/>
          </w:tcPr>
          <w:p>
            <w:pPr>
              <w:spacing w:after="0"/>
              <w:rPr>
                <w:sz w:val="20"/>
                <w:szCs w:val="20"/>
                <w:color w:val="auto"/>
              </w:rPr>
            </w:pPr>
            <w:r>
              <w:rPr>
                <w:rFonts w:ascii="Arial" w:cs="Arial" w:eastAsia="Arial" w:hAnsi="Arial"/>
                <w:sz w:val="17"/>
                <w:szCs w:val="17"/>
                <w:color w:val="auto"/>
              </w:rPr>
              <w:t>Sources</w:t>
            </w:r>
          </w:p>
        </w:tc>
        <w:tc>
          <w:tcPr>
            <w:tcW w:w="20" w:type="dxa"/>
            <w:vAlign w:val="bottom"/>
          </w:tcPr>
          <w:p>
            <w:pPr>
              <w:spacing w:after="0"/>
              <w:rPr>
                <w:sz w:val="11"/>
                <w:szCs w:val="11"/>
                <w:color w:val="auto"/>
              </w:rPr>
            </w:pPr>
          </w:p>
        </w:tc>
        <w:tc>
          <w:tcPr>
            <w:tcW w:w="3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5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700" w:type="dxa"/>
            <w:vAlign w:val="bottom"/>
            <w:vMerge w:val="continue"/>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8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6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2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94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1200" w:type="dxa"/>
            <w:vAlign w:val="bottom"/>
            <w:shd w:val="clear" w:color="auto" w:fill="E7E7E2"/>
          </w:tcPr>
          <w:p>
            <w:pPr>
              <w:spacing w:after="0"/>
              <w:rPr>
                <w:sz w:val="11"/>
                <w:szCs w:val="11"/>
                <w:color w:val="auto"/>
              </w:rPr>
            </w:pPr>
          </w:p>
        </w:tc>
        <w:tc>
          <w:tcPr>
            <w:tcW w:w="20" w:type="dxa"/>
            <w:vAlign w:val="bottom"/>
          </w:tcPr>
          <w:p>
            <w:pPr>
              <w:spacing w:after="0"/>
              <w:rPr>
                <w:sz w:val="11"/>
                <w:szCs w:val="11"/>
                <w:color w:val="auto"/>
              </w:rPr>
            </w:pPr>
          </w:p>
        </w:tc>
        <w:tc>
          <w:tcPr>
            <w:tcW w:w="800" w:type="dxa"/>
            <w:vAlign w:val="bottom"/>
            <w:vMerge w:val="continue"/>
            <w:shd w:val="clear" w:color="auto" w:fill="E7E7E2"/>
          </w:tcPr>
          <w:p>
            <w:pPr>
              <w:spacing w:after="0"/>
              <w:rPr>
                <w:sz w:val="11"/>
                <w:szCs w:val="11"/>
                <w:color w:val="auto"/>
              </w:rPr>
            </w:pPr>
          </w:p>
        </w:tc>
        <w:tc>
          <w:tcPr>
            <w:tcW w:w="40" w:type="dxa"/>
            <w:vAlign w:val="bottom"/>
            <w:tcBorders>
              <w:right w:val="single" w:sz="8" w:color="auto"/>
            </w:tcBorders>
          </w:tcPr>
          <w:p>
            <w:pPr>
              <w:spacing w:after="0"/>
              <w:rPr>
                <w:sz w:val="11"/>
                <w:szCs w:val="11"/>
                <w:color w:val="auto"/>
              </w:rPr>
            </w:pPr>
          </w:p>
        </w:tc>
        <w:tc>
          <w:tcPr>
            <w:tcW w:w="0" w:type="dxa"/>
            <w:vAlign w:val="bottom"/>
          </w:tcPr>
          <w:p>
            <w:pPr>
              <w:spacing w:after="0"/>
              <w:rPr>
                <w:sz w:val="1"/>
                <w:szCs w:val="1"/>
                <w:color w:val="auto"/>
              </w:rPr>
            </w:pPr>
          </w:p>
        </w:tc>
      </w:tr>
      <w:tr>
        <w:trPr>
          <w:trHeight w:val="94"/>
        </w:trPr>
        <w:tc>
          <w:tcPr>
            <w:tcW w:w="40" w:type="dxa"/>
            <w:vAlign w:val="bottom"/>
            <w:tcBorders>
              <w:left w:val="single" w:sz="8" w:color="auto"/>
            </w:tcBorders>
          </w:tcPr>
          <w:p>
            <w:pPr>
              <w:spacing w:after="0"/>
              <w:rPr>
                <w:sz w:val="8"/>
                <w:szCs w:val="8"/>
                <w:color w:val="auto"/>
              </w:rPr>
            </w:pPr>
          </w:p>
        </w:tc>
        <w:tc>
          <w:tcPr>
            <w:tcW w:w="800" w:type="dxa"/>
            <w:vAlign w:val="bottom"/>
            <w:vMerge w:val="continue"/>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3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5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7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8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6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2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94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1200" w:type="dxa"/>
            <w:vAlign w:val="bottom"/>
            <w:shd w:val="clear" w:color="auto" w:fill="E7E7E2"/>
          </w:tcPr>
          <w:p>
            <w:pPr>
              <w:spacing w:after="0"/>
              <w:rPr>
                <w:sz w:val="8"/>
                <w:szCs w:val="8"/>
                <w:color w:val="auto"/>
              </w:rPr>
            </w:pPr>
          </w:p>
        </w:tc>
        <w:tc>
          <w:tcPr>
            <w:tcW w:w="20" w:type="dxa"/>
            <w:vAlign w:val="bottom"/>
          </w:tcPr>
          <w:p>
            <w:pPr>
              <w:spacing w:after="0"/>
              <w:rPr>
                <w:sz w:val="8"/>
                <w:szCs w:val="8"/>
                <w:color w:val="auto"/>
              </w:rPr>
            </w:pPr>
          </w:p>
        </w:tc>
        <w:tc>
          <w:tcPr>
            <w:tcW w:w="800" w:type="dxa"/>
            <w:vAlign w:val="bottom"/>
            <w:shd w:val="clear" w:color="auto" w:fill="E7E7E2"/>
          </w:tcPr>
          <w:p>
            <w:pPr>
              <w:spacing w:after="0"/>
              <w:rPr>
                <w:sz w:val="8"/>
                <w:szCs w:val="8"/>
                <w:color w:val="auto"/>
              </w:rPr>
            </w:pPr>
          </w:p>
        </w:tc>
        <w:tc>
          <w:tcPr>
            <w:tcW w:w="40" w:type="dxa"/>
            <w:vAlign w:val="bottom"/>
            <w:tcBorders>
              <w:right w:val="single" w:sz="8" w:color="auto"/>
            </w:tcBorders>
          </w:tcPr>
          <w:p>
            <w:pPr>
              <w:spacing w:after="0"/>
              <w:rPr>
                <w:sz w:val="8"/>
                <w:szCs w:val="8"/>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3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7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9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0"/>
        <w:spacing w:after="0"/>
        <w:rPr>
          <w:sz w:val="20"/>
          <w:szCs w:val="20"/>
          <w:color w:val="auto"/>
        </w:rPr>
      </w:pPr>
      <w:r>
        <w:rPr>
          <w:rFonts w:ascii="Arial" w:cs="Arial" w:eastAsia="Arial" w:hAnsi="Arial"/>
          <w:sz w:val="17"/>
          <w:szCs w:val="17"/>
          <w:b w:val="1"/>
          <w:bCs w:val="1"/>
          <w:color w:val="auto"/>
        </w:rPr>
        <w:t>Rule 457(p) Statement of Withdrawal, Termination, or Completion:</w:t>
      </w:r>
    </w:p>
    <w:p>
      <w:pPr>
        <w:spacing w:after="0" w:line="112" w:lineRule="exact"/>
        <w:rPr>
          <w:sz w:val="20"/>
          <w:szCs w:val="20"/>
          <w:color w:val="auto"/>
        </w:rPr>
      </w:pPr>
    </w:p>
    <w:p>
      <w:pPr>
        <w:ind w:left="220" w:right="180" w:hanging="183"/>
        <w:spacing w:after="0" w:line="245" w:lineRule="auto"/>
        <w:tabs>
          <w:tab w:leader="none" w:pos="220" w:val="left"/>
        </w:tabs>
        <w:numPr>
          <w:ilvl w:val="0"/>
          <w:numId w:val="41"/>
        </w:numPr>
        <w:rPr>
          <w:rFonts w:ascii="Arial" w:cs="Arial" w:eastAsia="Arial" w:hAnsi="Arial"/>
          <w:sz w:val="20"/>
          <w:szCs w:val="20"/>
          <w:color w:val="auto"/>
          <w:vertAlign w:val="superscript"/>
        </w:rPr>
      </w:pPr>
      <w:r>
        <w:rPr>
          <w:rFonts w:ascii="Arial" w:cs="Arial" w:eastAsia="Arial" w:hAnsi="Arial"/>
          <w:sz w:val="16"/>
          <w:szCs w:val="16"/>
          <w:color w:val="auto"/>
        </w:rPr>
        <w:t>On August 8, 2024, the registrant filed a registration statement on Form S-3ASR (File No. 333-281359) and on November 15, 2024, the registrant filed a sales agreement prospectus supplement covering the offering, issuance and sale by the registrant of up to an aggregate of $200,000,000 of its common stock pursuant to its "at-the-market" offering program with Cantor Fitzgerald &amp; Co. (the "Prior Prospectus Supplement"). The registrant incurred a filing fee in the amount of $30,620 in connection with the Prior Prospectus Supplement, which fee was calculated pursuant to Rule</w:t>
      </w:r>
    </w:p>
    <w:p>
      <w:pPr>
        <w:sectPr>
          <w:pgSz w:w="11900" w:h="16848" w:orient="portrait"/>
          <w:cols w:equalWidth="0" w:num="1">
            <w:col w:w="11360"/>
          </w:cols>
          <w:pgMar w:left="300" w:top="142" w:right="239" w:bottom="0" w:gutter="0" w:footer="0" w:header="0"/>
        </w:sectPr>
      </w:pPr>
    </w:p>
    <w:bookmarkStart w:id="65" w:name="page66"/>
    <w:bookmarkEnd w:id="65"/>
    <w:p>
      <w:pPr>
        <w:ind w:left="220"/>
        <w:spacing w:after="0"/>
        <w:rPr>
          <w:sz w:val="20"/>
          <w:szCs w:val="20"/>
          <w:color w:val="auto"/>
        </w:rPr>
      </w:pPr>
      <w:r>
        <w:rPr>
          <w:rFonts w:ascii="Arial" w:cs="Arial" w:eastAsia="Arial" w:hAnsi="Arial"/>
          <w:sz w:val="17"/>
          <w:szCs w:val="17"/>
          <w:color w:val="auto"/>
        </w:rPr>
        <w:t>457(o) under the Securities Act. Of this amount, $25,144.84 was offset pursuant to Rule 457(p) under the Securities Act by previously paid</w:t>
      </w:r>
    </w:p>
    <w:p>
      <w:pPr>
        <w:spacing w:after="0" w:line="8" w:lineRule="exact"/>
        <w:rPr>
          <w:sz w:val="20"/>
          <w:szCs w:val="20"/>
          <w:color w:val="auto"/>
        </w:rPr>
      </w:pPr>
    </w:p>
    <w:p>
      <w:pPr>
        <w:ind w:left="220"/>
        <w:spacing w:after="0"/>
        <w:rPr>
          <w:sz w:val="20"/>
          <w:szCs w:val="20"/>
          <w:color w:val="auto"/>
        </w:rPr>
      </w:pPr>
      <w:r>
        <w:rPr>
          <w:rFonts w:ascii="Arial" w:cs="Arial" w:eastAsia="Arial" w:hAnsi="Arial"/>
          <w:sz w:val="17"/>
          <w:szCs w:val="17"/>
          <w:color w:val="auto"/>
        </w:rPr>
        <w:t>registration fees attributable to unsold securities under the registrant's prior "at-the-market" offering with Jefferies LLC, registered pursuant to the</w:t>
      </w:r>
    </w:p>
    <w:p>
      <w:pPr>
        <w:ind w:left="220"/>
        <w:spacing w:after="0" w:line="234" w:lineRule="auto"/>
        <w:rPr>
          <w:sz w:val="20"/>
          <w:szCs w:val="20"/>
          <w:color w:val="auto"/>
        </w:rPr>
      </w:pPr>
      <w:r>
        <w:rPr>
          <w:rFonts w:ascii="Arial" w:cs="Arial" w:eastAsia="Arial" w:hAnsi="Arial"/>
          <w:sz w:val="17"/>
          <w:szCs w:val="17"/>
          <w:color w:val="auto"/>
        </w:rPr>
        <w:t>registrant's registration statement on Form S-3 filed on November 20, 2023 (File No. 333-275652) (the "Source Registration Statement"). The</w:t>
      </w:r>
    </w:p>
    <w:p>
      <w:pPr>
        <w:ind w:left="220"/>
        <w:spacing w:after="0" w:line="234" w:lineRule="auto"/>
        <w:rPr>
          <w:sz w:val="20"/>
          <w:szCs w:val="20"/>
          <w:color w:val="auto"/>
        </w:rPr>
      </w:pPr>
      <w:r>
        <w:rPr>
          <w:rFonts w:ascii="Arial" w:cs="Arial" w:eastAsia="Arial" w:hAnsi="Arial"/>
          <w:sz w:val="17"/>
          <w:szCs w:val="17"/>
          <w:color w:val="auto"/>
        </w:rPr>
        <w:t>registrant previously paid an aggregate registration fee of $59,040 in connection with the Source Registration Statement (based on the filing fee</w:t>
      </w:r>
    </w:p>
    <w:p>
      <w:pPr>
        <w:ind w:left="220"/>
        <w:spacing w:after="0" w:line="234" w:lineRule="auto"/>
        <w:rPr>
          <w:sz w:val="20"/>
          <w:szCs w:val="20"/>
          <w:color w:val="auto"/>
        </w:rPr>
      </w:pPr>
      <w:r>
        <w:rPr>
          <w:rFonts w:ascii="Arial" w:cs="Arial" w:eastAsia="Arial" w:hAnsi="Arial"/>
          <w:sz w:val="17"/>
          <w:szCs w:val="17"/>
          <w:color w:val="auto"/>
        </w:rPr>
        <w:t>rate in effect at the time of the filing of the Source Registration Statement). As of the date of filing of this prospectus supplement, $189,925,765.25</w:t>
      </w:r>
    </w:p>
    <w:p>
      <w:pPr>
        <w:ind w:left="220"/>
        <w:spacing w:after="0" w:line="235" w:lineRule="auto"/>
        <w:rPr>
          <w:sz w:val="20"/>
          <w:szCs w:val="20"/>
          <w:color w:val="auto"/>
        </w:rPr>
      </w:pPr>
      <w:r>
        <w:rPr>
          <w:rFonts w:ascii="Arial" w:cs="Arial" w:eastAsia="Arial" w:hAnsi="Arial"/>
          <w:sz w:val="17"/>
          <w:szCs w:val="17"/>
          <w:color w:val="auto"/>
        </w:rPr>
        <w:t>of shares of the registrant's common stock (the "Unsold Securities") remained unsold under the Prior Prospectus Supplement, representing</w:t>
      </w:r>
    </w:p>
    <w:p>
      <w:pPr>
        <w:ind w:left="220"/>
        <w:spacing w:after="0" w:line="234" w:lineRule="auto"/>
        <w:rPr>
          <w:sz w:val="20"/>
          <w:szCs w:val="20"/>
          <w:color w:val="auto"/>
        </w:rPr>
      </w:pPr>
      <w:r>
        <w:rPr>
          <w:rFonts w:ascii="Arial" w:cs="Arial" w:eastAsia="Arial" w:hAnsi="Arial"/>
          <w:sz w:val="17"/>
          <w:szCs w:val="17"/>
          <w:color w:val="auto"/>
        </w:rPr>
        <w:t>$29,077.63 in registration fees attributable to such Unsold Securities under the Prior Prospectus Supplement. Pursuant to Rule 457(p) under the</w:t>
      </w:r>
    </w:p>
    <w:p>
      <w:pPr>
        <w:ind w:left="220"/>
        <w:spacing w:after="0" w:line="234" w:lineRule="auto"/>
        <w:rPr>
          <w:sz w:val="20"/>
          <w:szCs w:val="20"/>
          <w:color w:val="auto"/>
        </w:rPr>
      </w:pPr>
      <w:r>
        <w:rPr>
          <w:rFonts w:ascii="Arial" w:cs="Arial" w:eastAsia="Arial" w:hAnsi="Arial"/>
          <w:sz w:val="17"/>
          <w:szCs w:val="17"/>
          <w:color w:val="auto"/>
        </w:rPr>
        <w:t>Securities Act, filing fees in the amount of $16,523.54 relating to a portion of the Unsold Securities are being carried forward, and the offering</w:t>
      </w:r>
    </w:p>
    <w:p>
      <w:pPr>
        <w:ind w:left="220"/>
        <w:spacing w:after="0"/>
        <w:rPr>
          <w:sz w:val="20"/>
          <w:szCs w:val="20"/>
          <w:color w:val="auto"/>
        </w:rPr>
      </w:pPr>
      <w:r>
        <w:rPr>
          <w:rFonts w:ascii="Arial" w:cs="Arial" w:eastAsia="Arial" w:hAnsi="Arial"/>
          <w:sz w:val="17"/>
          <w:szCs w:val="17"/>
          <w:color w:val="auto"/>
        </w:rPr>
        <w:t>pursuant to the Prior Prospectus Supplement is deemed terminated.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10795</wp:posOffset>
            </wp:positionH>
            <wp:positionV relativeFrom="paragraph">
              <wp:posOffset>68580</wp:posOffset>
            </wp:positionV>
            <wp:extent cx="714692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108">
                      <a:extLst>
                        <a:ext uri="{28A0092B-C50C-407E-A947-70E740481C1C}"/>
                      </a:extLst>
                    </a:blip>
                    <a:srcRect/>
                    <a:stretch>
                      <a:fillRect/>
                    </a:stretch>
                  </pic:blipFill>
                  <pic:spPr bwMode="auto">
                    <a:xfrm>
                      <a:off x="0" y="0"/>
                      <a:ext cx="7146925" cy="38735"/>
                    </a:xfrm>
                    <a:prstGeom prst="rect">
                      <a:avLst/>
                    </a:prstGeom>
                    <a:noFill/>
                  </pic:spPr>
                </pic:pic>
              </a:graphicData>
            </a:graphic>
          </wp:anchor>
        </w:drawing>
      </w:r>
    </w:p>
    <w:p>
      <w:pPr>
        <w:spacing w:after="0" w:line="200" w:lineRule="exact"/>
        <w:rPr>
          <w:sz w:val="20"/>
          <w:szCs w:val="20"/>
          <w:color w:val="auto"/>
        </w:rPr>
      </w:pPr>
    </w:p>
    <w:p>
      <w:pPr>
        <w:spacing w:after="0" w:line="241" w:lineRule="exact"/>
        <w:rPr>
          <w:sz w:val="20"/>
          <w:szCs w:val="20"/>
          <w:color w:val="auto"/>
        </w:rPr>
      </w:pPr>
    </w:p>
    <w:tbl>
      <w:tblPr>
        <w:tblLayout w:type="fixed"/>
        <w:tblInd w:w="10" w:type="dxa"/>
        <w:tblCellMar>
          <w:top w:w="0" w:type="dxa"/>
          <w:left w:w="0" w:type="dxa"/>
          <w:bottom w:w="0" w:type="dxa"/>
          <w:right w:w="0" w:type="dxa"/>
        </w:tblCellMar>
      </w:tblPr>
      <w:tr>
        <w:trPr>
          <w:trHeight w:val="277"/>
        </w:trPr>
        <w:tc>
          <w:tcPr>
            <w:tcW w:w="40" w:type="dxa"/>
            <w:vAlign w:val="bottom"/>
            <w:tcBorders>
              <w:bottom w:val="single" w:sz="8" w:color="auto"/>
            </w:tcBorders>
          </w:tcPr>
          <w:p>
            <w:pPr>
              <w:spacing w:after="0"/>
              <w:rPr>
                <w:sz w:val="24"/>
                <w:szCs w:val="24"/>
                <w:color w:val="auto"/>
              </w:rPr>
            </w:pPr>
          </w:p>
        </w:tc>
        <w:tc>
          <w:tcPr>
            <w:tcW w:w="2660" w:type="dxa"/>
            <w:vAlign w:val="bottom"/>
            <w:tcBorders>
              <w:bottom w:val="single" w:sz="8" w:color="auto"/>
            </w:tcBorders>
            <w:gridSpan w:val="5"/>
          </w:tcPr>
          <w:p>
            <w:pPr>
              <w:spacing w:after="0"/>
              <w:rPr>
                <w:sz w:val="20"/>
                <w:szCs w:val="20"/>
                <w:color w:val="auto"/>
              </w:rPr>
            </w:pPr>
            <w:r>
              <w:rPr>
                <w:rFonts w:ascii="Arial" w:cs="Arial" w:eastAsia="Arial" w:hAnsi="Arial"/>
                <w:sz w:val="17"/>
                <w:szCs w:val="17"/>
                <w:b w:val="1"/>
                <w:bCs w:val="1"/>
                <w:color w:val="auto"/>
                <w:w w:val="98"/>
              </w:rPr>
              <w:t>Table 3: Combined Prospectuses</w:t>
            </w:r>
          </w:p>
        </w:tc>
        <w:tc>
          <w:tcPr>
            <w:tcW w:w="21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15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0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680" w:type="dxa"/>
            <w:vAlign w:val="bottom"/>
            <w:tcBorders>
              <w:bottom w:val="single" w:sz="8" w:color="auto"/>
            </w:tcBorders>
          </w:tcPr>
          <w:p>
            <w:pPr>
              <w:spacing w:after="0"/>
              <w:rPr>
                <w:sz w:val="24"/>
                <w:szCs w:val="24"/>
                <w:color w:val="auto"/>
              </w:rPr>
            </w:pPr>
          </w:p>
        </w:tc>
        <w:tc>
          <w:tcPr>
            <w:tcW w:w="20" w:type="dxa"/>
            <w:vAlign w:val="bottom"/>
            <w:tcBorders>
              <w:bottom w:val="single" w:sz="8" w:color="auto"/>
            </w:tcBorders>
          </w:tcPr>
          <w:p>
            <w:pPr>
              <w:spacing w:after="0"/>
              <w:rPr>
                <w:sz w:val="24"/>
                <w:szCs w:val="24"/>
                <w:color w:val="auto"/>
              </w:rPr>
            </w:pPr>
          </w:p>
        </w:tc>
        <w:tc>
          <w:tcPr>
            <w:tcW w:w="2060" w:type="dxa"/>
            <w:vAlign w:val="bottom"/>
            <w:tcBorders>
              <w:bottom w:val="single" w:sz="8" w:color="auto"/>
            </w:tcBorders>
            <w:gridSpan w:val="3"/>
          </w:tcPr>
          <w:p>
            <w:pPr>
              <w:ind w:left="700"/>
              <w:spacing w:after="0" w:line="196" w:lineRule="exact"/>
              <w:rPr>
                <w:sz w:val="20"/>
                <w:szCs w:val="20"/>
                <w:color w:val="auto"/>
              </w:rPr>
            </w:pPr>
            <w:r>
              <w:rPr>
                <w:rFonts w:ascii="MS PGothic" w:cs="MS PGothic" w:eastAsia="MS PGothic" w:hAnsi="MS PGothic"/>
                <w:sz w:val="17"/>
                <w:szCs w:val="17"/>
                <w:color w:val="auto"/>
                <w:highlight w:val="black"/>
                <w:w w:val="97"/>
              </w:rPr>
              <w:t>☑</w:t>
            </w:r>
            <w:r>
              <w:rPr>
                <w:rFonts w:ascii="Arial" w:cs="Arial" w:eastAsia="Arial" w:hAnsi="Arial"/>
                <w:sz w:val="17"/>
                <w:szCs w:val="17"/>
                <w:b w:val="1"/>
                <w:bCs w:val="1"/>
                <w:color w:val="auto"/>
                <w:w w:val="97"/>
              </w:rPr>
              <w:t>Not Applicable</w:t>
            </w:r>
          </w:p>
        </w:tc>
        <w:tc>
          <w:tcPr>
            <w:tcW w:w="0" w:type="dxa"/>
            <w:vAlign w:val="bottom"/>
          </w:tcPr>
          <w:p>
            <w:pPr>
              <w:spacing w:after="0"/>
              <w:rPr>
                <w:sz w:val="1"/>
                <w:szCs w:val="1"/>
                <w:color w:val="auto"/>
              </w:rPr>
            </w:pPr>
          </w:p>
        </w:tc>
      </w:tr>
      <w:tr>
        <w:trPr>
          <w:trHeight w:val="197"/>
        </w:trPr>
        <w:tc>
          <w:tcPr>
            <w:tcW w:w="40" w:type="dxa"/>
            <w:vAlign w:val="bottom"/>
            <w:tcBorders>
              <w:left w:val="single" w:sz="8" w:color="auto"/>
            </w:tcBorders>
          </w:tcPr>
          <w:p>
            <w:pPr>
              <w:spacing w:after="0"/>
              <w:rPr>
                <w:sz w:val="17"/>
                <w:szCs w:val="17"/>
                <w:color w:val="auto"/>
              </w:rPr>
            </w:pPr>
          </w:p>
        </w:tc>
        <w:tc>
          <w:tcPr>
            <w:tcW w:w="44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6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shd w:val="clear" w:color="auto" w:fill="9ADAF6"/>
          </w:tcPr>
          <w:p>
            <w:pPr>
              <w:spacing w:after="0"/>
              <w:rPr>
                <w:sz w:val="17"/>
                <w:szCs w:val="17"/>
                <w:color w:val="auto"/>
              </w:rPr>
            </w:pPr>
          </w:p>
        </w:tc>
        <w:tc>
          <w:tcPr>
            <w:tcW w:w="21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580" w:type="dxa"/>
            <w:vAlign w:val="bottom"/>
            <w:shd w:val="clear" w:color="auto" w:fill="9ADAF6"/>
          </w:tcPr>
          <w:p>
            <w:pPr>
              <w:ind w:left="360"/>
              <w:spacing w:after="0"/>
              <w:rPr>
                <w:sz w:val="20"/>
                <w:szCs w:val="20"/>
                <w:color w:val="auto"/>
              </w:rPr>
            </w:pPr>
            <w:r>
              <w:rPr>
                <w:rFonts w:ascii="Arial" w:cs="Arial" w:eastAsia="Arial" w:hAnsi="Arial"/>
                <w:sz w:val="17"/>
                <w:szCs w:val="17"/>
                <w:b w:val="1"/>
                <w:bCs w:val="1"/>
                <w:color w:val="auto"/>
              </w:rPr>
              <w:t>Amount of</w:t>
            </w:r>
          </w:p>
        </w:tc>
        <w:tc>
          <w:tcPr>
            <w:tcW w:w="20" w:type="dxa"/>
            <w:vAlign w:val="bottom"/>
          </w:tcPr>
          <w:p>
            <w:pPr>
              <w:spacing w:after="0"/>
              <w:rPr>
                <w:sz w:val="17"/>
                <w:szCs w:val="17"/>
                <w:color w:val="auto"/>
              </w:rPr>
            </w:pPr>
          </w:p>
        </w:tc>
        <w:tc>
          <w:tcPr>
            <w:tcW w:w="2000" w:type="dxa"/>
            <w:vAlign w:val="bottom"/>
            <w:shd w:val="clear" w:color="auto" w:fill="9ADAF6"/>
          </w:tcPr>
          <w:p>
            <w:pPr>
              <w:jc w:val="center"/>
              <w:spacing w:after="0"/>
              <w:rPr>
                <w:sz w:val="20"/>
                <w:szCs w:val="20"/>
                <w:color w:val="auto"/>
              </w:rPr>
            </w:pPr>
            <w:r>
              <w:rPr>
                <w:rFonts w:ascii="Arial" w:cs="Arial" w:eastAsia="Arial" w:hAnsi="Arial"/>
                <w:sz w:val="17"/>
                <w:szCs w:val="17"/>
                <w:b w:val="1"/>
                <w:bCs w:val="1"/>
                <w:color w:val="auto"/>
              </w:rPr>
              <w:t>Maximum Aggregate</w:t>
            </w:r>
          </w:p>
        </w:tc>
        <w:tc>
          <w:tcPr>
            <w:tcW w:w="20" w:type="dxa"/>
            <w:vAlign w:val="bottom"/>
          </w:tcPr>
          <w:p>
            <w:pPr>
              <w:spacing w:after="0"/>
              <w:rPr>
                <w:sz w:val="17"/>
                <w:szCs w:val="17"/>
                <w:color w:val="auto"/>
              </w:rPr>
            </w:pPr>
          </w:p>
        </w:tc>
        <w:tc>
          <w:tcPr>
            <w:tcW w:w="680" w:type="dxa"/>
            <w:vAlign w:val="bottom"/>
            <w:shd w:val="clear" w:color="auto" w:fill="9ADAF6"/>
          </w:tcPr>
          <w:p>
            <w:pPr>
              <w:spacing w:after="0"/>
              <w:rPr>
                <w:sz w:val="17"/>
                <w:szCs w:val="17"/>
                <w:color w:val="auto"/>
              </w:rPr>
            </w:pPr>
          </w:p>
        </w:tc>
        <w:tc>
          <w:tcPr>
            <w:tcW w:w="20" w:type="dxa"/>
            <w:vAlign w:val="bottom"/>
          </w:tcPr>
          <w:p>
            <w:pPr>
              <w:spacing w:after="0"/>
              <w:rPr>
                <w:sz w:val="17"/>
                <w:szCs w:val="17"/>
                <w:color w:val="auto"/>
              </w:rPr>
            </w:pPr>
          </w:p>
        </w:tc>
        <w:tc>
          <w:tcPr>
            <w:tcW w:w="1100" w:type="dxa"/>
            <w:vAlign w:val="bottom"/>
            <w:shd w:val="clear" w:color="auto" w:fill="9ADAF6"/>
          </w:tcPr>
          <w:p>
            <w:pPr>
              <w:spacing w:after="0"/>
              <w:rPr>
                <w:sz w:val="17"/>
                <w:szCs w:val="17"/>
                <w:color w:val="auto"/>
              </w:rPr>
            </w:pPr>
          </w:p>
        </w:tc>
        <w:tc>
          <w:tcPr>
            <w:tcW w:w="40" w:type="dxa"/>
            <w:vAlign w:val="bottom"/>
          </w:tcPr>
          <w:p>
            <w:pPr>
              <w:spacing w:after="0"/>
              <w:rPr>
                <w:sz w:val="17"/>
                <w:szCs w:val="17"/>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8"/>
              </w:rPr>
              <w:t>Initial</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380"/>
              <w:spacing w:after="0" w:line="191" w:lineRule="exact"/>
              <w:rPr>
                <w:sz w:val="20"/>
                <w:szCs w:val="20"/>
                <w:color w:val="auto"/>
              </w:rPr>
            </w:pPr>
            <w:r>
              <w:rPr>
                <w:rFonts w:ascii="Arial" w:cs="Arial" w:eastAsia="Arial" w:hAnsi="Arial"/>
                <w:sz w:val="17"/>
                <w:szCs w:val="17"/>
                <w:b w:val="1"/>
                <w:bCs w:val="1"/>
                <w:color w:val="auto"/>
              </w:rPr>
              <w:t>Securities</w:t>
            </w:r>
          </w:p>
        </w:tc>
        <w:tc>
          <w:tcPr>
            <w:tcW w:w="20" w:type="dxa"/>
            <w:vAlign w:val="bottom"/>
          </w:tcPr>
          <w:p>
            <w:pPr>
              <w:spacing w:after="0"/>
              <w:rPr>
                <w:sz w:val="8"/>
                <w:szCs w:val="8"/>
                <w:color w:val="auto"/>
              </w:rPr>
            </w:pPr>
          </w:p>
        </w:tc>
        <w:tc>
          <w:tcPr>
            <w:tcW w:w="200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Offering Price of</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20"/>
              <w:spacing w:after="0" w:line="191" w:lineRule="exact"/>
              <w:rPr>
                <w:sz w:val="20"/>
                <w:szCs w:val="20"/>
                <w:color w:val="auto"/>
              </w:rPr>
            </w:pPr>
            <w:r>
              <w:rPr>
                <w:rFonts w:ascii="Arial" w:cs="Arial" w:eastAsia="Arial" w:hAnsi="Arial"/>
                <w:sz w:val="17"/>
                <w:szCs w:val="17"/>
                <w:b w:val="1"/>
                <w:bCs w:val="1"/>
                <w:color w:val="auto"/>
              </w:rPr>
              <w:t>Form</w:t>
            </w: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restart"/>
            <w:shd w:val="clear" w:color="auto" w:fill="9ADAF6"/>
          </w:tcPr>
          <w:p>
            <w:pPr>
              <w:ind w:left="220"/>
              <w:spacing w:after="0" w:line="191" w:lineRule="exact"/>
              <w:rPr>
                <w:sz w:val="20"/>
                <w:szCs w:val="20"/>
                <w:color w:val="auto"/>
              </w:rPr>
            </w:pPr>
            <w:r>
              <w:rPr>
                <w:rFonts w:ascii="Arial" w:cs="Arial" w:eastAsia="Arial" w:hAnsi="Arial"/>
                <w:sz w:val="17"/>
                <w:szCs w:val="17"/>
                <w:b w:val="1"/>
                <w:bCs w:val="1"/>
                <w:color w:val="auto"/>
              </w:rPr>
              <w:t>Security Type</w:t>
            </w: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vMerge w:val="restart"/>
            <w:shd w:val="clear" w:color="auto" w:fill="9ADAF6"/>
          </w:tcPr>
          <w:p>
            <w:pPr>
              <w:spacing w:after="0" w:line="191" w:lineRule="exact"/>
              <w:rPr>
                <w:sz w:val="20"/>
                <w:szCs w:val="20"/>
                <w:color w:val="auto"/>
              </w:rPr>
            </w:pPr>
            <w:r>
              <w:rPr>
                <w:rFonts w:ascii="Arial" w:cs="Arial" w:eastAsia="Arial" w:hAnsi="Arial"/>
                <w:sz w:val="17"/>
                <w:szCs w:val="17"/>
                <w:b w:val="1"/>
                <w:bCs w:val="1"/>
                <w:color w:val="auto"/>
              </w:rPr>
              <w:t>Security Class Title</w:t>
            </w: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vMerge w:val="restart"/>
            <w:shd w:val="clear" w:color="auto" w:fill="9ADAF6"/>
          </w:tcPr>
          <w:p>
            <w:pPr>
              <w:ind w:left="60"/>
              <w:spacing w:after="0" w:line="191" w:lineRule="exact"/>
              <w:rPr>
                <w:sz w:val="20"/>
                <w:szCs w:val="20"/>
                <w:color w:val="auto"/>
              </w:rPr>
            </w:pPr>
            <w:r>
              <w:rPr>
                <w:rFonts w:ascii="Arial" w:cs="Arial" w:eastAsia="Arial" w:hAnsi="Arial"/>
                <w:sz w:val="17"/>
                <w:szCs w:val="17"/>
                <w:b w:val="1"/>
                <w:bCs w:val="1"/>
                <w:color w:val="auto"/>
              </w:rPr>
              <w:t>File Number</w:t>
            </w:r>
          </w:p>
        </w:tc>
        <w:tc>
          <w:tcPr>
            <w:tcW w:w="4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rPr>
              <w:t>Effective</w:t>
            </w: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restart"/>
            <w:shd w:val="clear" w:color="auto" w:fill="9ADAF6"/>
          </w:tcPr>
          <w:p>
            <w:pPr>
              <w:ind w:left="360"/>
              <w:spacing w:after="0" w:line="191" w:lineRule="exact"/>
              <w:rPr>
                <w:sz w:val="20"/>
                <w:szCs w:val="20"/>
                <w:color w:val="auto"/>
              </w:rPr>
            </w:pPr>
            <w:r>
              <w:rPr>
                <w:rFonts w:ascii="Arial" w:cs="Arial" w:eastAsia="Arial" w:hAnsi="Arial"/>
                <w:sz w:val="17"/>
                <w:szCs w:val="17"/>
                <w:b w:val="1"/>
                <w:bCs w:val="1"/>
                <w:color w:val="auto"/>
              </w:rPr>
              <w:t>Previously</w:t>
            </w:r>
          </w:p>
        </w:tc>
        <w:tc>
          <w:tcPr>
            <w:tcW w:w="20" w:type="dxa"/>
            <w:vAlign w:val="bottom"/>
          </w:tcPr>
          <w:p>
            <w:pPr>
              <w:spacing w:after="0"/>
              <w:rPr>
                <w:sz w:val="8"/>
                <w:szCs w:val="8"/>
                <w:color w:val="auto"/>
              </w:rPr>
            </w:pPr>
          </w:p>
        </w:tc>
        <w:tc>
          <w:tcPr>
            <w:tcW w:w="2000" w:type="dxa"/>
            <w:vAlign w:val="bottom"/>
            <w:vMerge w:val="restart"/>
            <w:shd w:val="clear" w:color="auto" w:fill="9ADAF6"/>
          </w:tcPr>
          <w:p>
            <w:pPr>
              <w:jc w:val="center"/>
              <w:spacing w:after="0" w:line="191" w:lineRule="exact"/>
              <w:rPr>
                <w:sz w:val="20"/>
                <w:szCs w:val="20"/>
                <w:color w:val="auto"/>
              </w:rPr>
            </w:pPr>
            <w:r>
              <w:rPr>
                <w:rFonts w:ascii="Arial" w:cs="Arial" w:eastAsia="Arial" w:hAnsi="Arial"/>
                <w:sz w:val="17"/>
                <w:szCs w:val="17"/>
                <w:b w:val="1"/>
                <w:bCs w:val="1"/>
                <w:color w:val="auto"/>
                <w:w w:val="99"/>
              </w:rPr>
              <w:t>Securities Previously</w:t>
            </w:r>
          </w:p>
        </w:tc>
        <w:tc>
          <w:tcPr>
            <w:tcW w:w="20" w:type="dxa"/>
            <w:vAlign w:val="bottom"/>
          </w:tcPr>
          <w:p>
            <w:pPr>
              <w:spacing w:after="0"/>
              <w:rPr>
                <w:sz w:val="8"/>
                <w:szCs w:val="8"/>
                <w:color w:val="auto"/>
              </w:rPr>
            </w:pPr>
          </w:p>
        </w:tc>
        <w:tc>
          <w:tcPr>
            <w:tcW w:w="680" w:type="dxa"/>
            <w:vAlign w:val="bottom"/>
            <w:vMerge w:val="restart"/>
            <w:shd w:val="clear" w:color="auto" w:fill="9ADAF6"/>
          </w:tcPr>
          <w:p>
            <w:pPr>
              <w:ind w:left="140"/>
              <w:spacing w:after="0" w:line="191" w:lineRule="exact"/>
              <w:rPr>
                <w:sz w:val="20"/>
                <w:szCs w:val="20"/>
                <w:color w:val="auto"/>
              </w:rPr>
            </w:pPr>
            <w:r>
              <w:rPr>
                <w:rFonts w:ascii="Arial" w:cs="Arial" w:eastAsia="Arial" w:hAnsi="Arial"/>
                <w:sz w:val="17"/>
                <w:szCs w:val="17"/>
                <w:b w:val="1"/>
                <w:bCs w:val="1"/>
                <w:color w:val="auto"/>
              </w:rPr>
              <w:t>Type</w:t>
            </w:r>
          </w:p>
        </w:tc>
        <w:tc>
          <w:tcPr>
            <w:tcW w:w="20" w:type="dxa"/>
            <w:vAlign w:val="bottom"/>
          </w:tcPr>
          <w:p>
            <w:pPr>
              <w:spacing w:after="0"/>
              <w:rPr>
                <w:sz w:val="8"/>
                <w:szCs w:val="8"/>
                <w:color w:val="auto"/>
              </w:rPr>
            </w:pPr>
          </w:p>
        </w:tc>
        <w:tc>
          <w:tcPr>
            <w:tcW w:w="1100" w:type="dxa"/>
            <w:vAlign w:val="bottom"/>
            <w:vMerge w:val="continue"/>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vMerge w:val="continue"/>
            <w:shd w:val="clear" w:color="auto" w:fill="9ADAF6"/>
          </w:tcPr>
          <w:p>
            <w:pPr>
              <w:spacing w:after="0"/>
              <w:rPr>
                <w:sz w:val="8"/>
                <w:szCs w:val="8"/>
                <w:color w:val="auto"/>
              </w:rPr>
            </w:pPr>
          </w:p>
        </w:tc>
        <w:tc>
          <w:tcPr>
            <w:tcW w:w="0" w:type="dxa"/>
            <w:vAlign w:val="bottom"/>
          </w:tcPr>
          <w:p>
            <w:pPr>
              <w:spacing w:after="0"/>
              <w:rPr>
                <w:sz w:val="1"/>
                <w:szCs w:val="1"/>
                <w:color w:val="auto"/>
              </w:rPr>
            </w:pPr>
          </w:p>
        </w:tc>
      </w:tr>
      <w:tr>
        <w:trPr>
          <w:trHeight w:val="95"/>
        </w:trPr>
        <w:tc>
          <w:tcPr>
            <w:tcW w:w="40" w:type="dxa"/>
            <w:vAlign w:val="bottom"/>
            <w:tcBorders>
              <w:left w:val="single" w:sz="8" w:color="auto"/>
            </w:tcBorders>
          </w:tcPr>
          <w:p>
            <w:pPr>
              <w:spacing w:after="0"/>
              <w:rPr>
                <w:sz w:val="8"/>
                <w:szCs w:val="8"/>
                <w:color w:val="auto"/>
              </w:rPr>
            </w:pPr>
          </w:p>
        </w:tc>
        <w:tc>
          <w:tcPr>
            <w:tcW w:w="44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6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20" w:type="dxa"/>
            <w:vAlign w:val="bottom"/>
            <w:shd w:val="clear" w:color="auto" w:fill="9ADAF6"/>
          </w:tcPr>
          <w:p>
            <w:pPr>
              <w:spacing w:after="0"/>
              <w:rPr>
                <w:sz w:val="8"/>
                <w:szCs w:val="8"/>
                <w:color w:val="auto"/>
              </w:rPr>
            </w:pPr>
          </w:p>
        </w:tc>
        <w:tc>
          <w:tcPr>
            <w:tcW w:w="2180" w:type="dxa"/>
            <w:vAlign w:val="bottom"/>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5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200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680" w:type="dxa"/>
            <w:vAlign w:val="bottom"/>
            <w:vMerge w:val="continue"/>
            <w:shd w:val="clear" w:color="auto" w:fill="9ADAF6"/>
          </w:tcPr>
          <w:p>
            <w:pPr>
              <w:spacing w:after="0"/>
              <w:rPr>
                <w:sz w:val="8"/>
                <w:szCs w:val="8"/>
                <w:color w:val="auto"/>
              </w:rPr>
            </w:pPr>
          </w:p>
        </w:tc>
        <w:tc>
          <w:tcPr>
            <w:tcW w:w="20" w:type="dxa"/>
            <w:vAlign w:val="bottom"/>
          </w:tcPr>
          <w:p>
            <w:pPr>
              <w:spacing w:after="0"/>
              <w:rPr>
                <w:sz w:val="8"/>
                <w:szCs w:val="8"/>
                <w:color w:val="auto"/>
              </w:rPr>
            </w:pPr>
          </w:p>
        </w:tc>
        <w:tc>
          <w:tcPr>
            <w:tcW w:w="1100" w:type="dxa"/>
            <w:vAlign w:val="bottom"/>
            <w:shd w:val="clear" w:color="auto" w:fill="9ADAF6"/>
          </w:tcPr>
          <w:p>
            <w:pPr>
              <w:spacing w:after="0"/>
              <w:rPr>
                <w:sz w:val="8"/>
                <w:szCs w:val="8"/>
                <w:color w:val="auto"/>
              </w:rPr>
            </w:pPr>
          </w:p>
        </w:tc>
        <w:tc>
          <w:tcPr>
            <w:tcW w:w="40" w:type="dxa"/>
            <w:vAlign w:val="bottom"/>
          </w:tcPr>
          <w:p>
            <w:pPr>
              <w:spacing w:after="0"/>
              <w:rPr>
                <w:sz w:val="8"/>
                <w:szCs w:val="8"/>
                <w:color w:val="auto"/>
              </w:rPr>
            </w:pPr>
          </w:p>
        </w:tc>
        <w:tc>
          <w:tcPr>
            <w:tcW w:w="920" w:type="dxa"/>
            <w:vAlign w:val="bottom"/>
            <w:tcBorders>
              <w:right w:val="single" w:sz="8" w:color="auto"/>
            </w:tcBorders>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w w:val="97"/>
              </w:rPr>
              <w:t>Date</w:t>
            </w:r>
          </w:p>
        </w:tc>
        <w:tc>
          <w:tcPr>
            <w:tcW w:w="0" w:type="dxa"/>
            <w:vAlign w:val="bottom"/>
          </w:tcPr>
          <w:p>
            <w:pPr>
              <w:spacing w:after="0"/>
              <w:rPr>
                <w:sz w:val="1"/>
                <w:szCs w:val="1"/>
                <w:color w:val="auto"/>
              </w:rPr>
            </w:pPr>
          </w:p>
        </w:tc>
      </w:tr>
      <w:tr>
        <w:trPr>
          <w:trHeight w:val="136"/>
        </w:trPr>
        <w:tc>
          <w:tcPr>
            <w:tcW w:w="40" w:type="dxa"/>
            <w:vAlign w:val="bottom"/>
            <w:tcBorders>
              <w:left w:val="single" w:sz="8" w:color="auto"/>
            </w:tcBorders>
          </w:tcPr>
          <w:p>
            <w:pPr>
              <w:spacing w:after="0"/>
              <w:rPr>
                <w:sz w:val="11"/>
                <w:szCs w:val="11"/>
                <w:color w:val="auto"/>
              </w:rPr>
            </w:pPr>
          </w:p>
        </w:tc>
        <w:tc>
          <w:tcPr>
            <w:tcW w:w="44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6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620" w:type="dxa"/>
            <w:vAlign w:val="bottom"/>
            <w:shd w:val="clear" w:color="auto" w:fill="9ADAF6"/>
          </w:tcPr>
          <w:p>
            <w:pPr>
              <w:spacing w:after="0"/>
              <w:rPr>
                <w:sz w:val="11"/>
                <w:szCs w:val="11"/>
                <w:color w:val="auto"/>
              </w:rPr>
            </w:pPr>
          </w:p>
        </w:tc>
        <w:tc>
          <w:tcPr>
            <w:tcW w:w="21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580" w:type="dxa"/>
            <w:vAlign w:val="bottom"/>
            <w:vMerge w:val="restart"/>
            <w:shd w:val="clear" w:color="auto" w:fill="9ADAF6"/>
          </w:tcPr>
          <w:p>
            <w:pPr>
              <w:ind w:left="340"/>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2000" w:type="dxa"/>
            <w:vAlign w:val="bottom"/>
            <w:vMerge w:val="restart"/>
            <w:shd w:val="clear" w:color="auto" w:fill="9ADAF6"/>
          </w:tcPr>
          <w:p>
            <w:pPr>
              <w:jc w:val="center"/>
              <w:spacing w:after="0"/>
              <w:rPr>
                <w:sz w:val="20"/>
                <w:szCs w:val="20"/>
                <w:color w:val="auto"/>
              </w:rPr>
            </w:pPr>
            <w:r>
              <w:rPr>
                <w:rFonts w:ascii="Arial" w:cs="Arial" w:eastAsia="Arial" w:hAnsi="Arial"/>
                <w:sz w:val="17"/>
                <w:szCs w:val="17"/>
                <w:b w:val="1"/>
                <w:bCs w:val="1"/>
                <w:color w:val="auto"/>
              </w:rPr>
              <w:t>Registered</w:t>
            </w:r>
          </w:p>
        </w:tc>
        <w:tc>
          <w:tcPr>
            <w:tcW w:w="20" w:type="dxa"/>
            <w:vAlign w:val="bottom"/>
          </w:tcPr>
          <w:p>
            <w:pPr>
              <w:spacing w:after="0"/>
              <w:rPr>
                <w:sz w:val="11"/>
                <w:szCs w:val="11"/>
                <w:color w:val="auto"/>
              </w:rPr>
            </w:pPr>
          </w:p>
        </w:tc>
        <w:tc>
          <w:tcPr>
            <w:tcW w:w="680" w:type="dxa"/>
            <w:vAlign w:val="bottom"/>
            <w:shd w:val="clear" w:color="auto" w:fill="9ADAF6"/>
          </w:tcPr>
          <w:p>
            <w:pPr>
              <w:spacing w:after="0"/>
              <w:rPr>
                <w:sz w:val="11"/>
                <w:szCs w:val="11"/>
                <w:color w:val="auto"/>
              </w:rPr>
            </w:pPr>
          </w:p>
        </w:tc>
        <w:tc>
          <w:tcPr>
            <w:tcW w:w="20" w:type="dxa"/>
            <w:vAlign w:val="bottom"/>
          </w:tcPr>
          <w:p>
            <w:pPr>
              <w:spacing w:after="0"/>
              <w:rPr>
                <w:sz w:val="11"/>
                <w:szCs w:val="11"/>
                <w:color w:val="auto"/>
              </w:rPr>
            </w:pPr>
          </w:p>
        </w:tc>
        <w:tc>
          <w:tcPr>
            <w:tcW w:w="1100" w:type="dxa"/>
            <w:vAlign w:val="bottom"/>
            <w:shd w:val="clear" w:color="auto" w:fill="9ADAF6"/>
          </w:tcPr>
          <w:p>
            <w:pPr>
              <w:spacing w:after="0"/>
              <w:rPr>
                <w:sz w:val="11"/>
                <w:szCs w:val="11"/>
                <w:color w:val="auto"/>
              </w:rPr>
            </w:pPr>
          </w:p>
        </w:tc>
        <w:tc>
          <w:tcPr>
            <w:tcW w:w="40" w:type="dxa"/>
            <w:vAlign w:val="bottom"/>
          </w:tcPr>
          <w:p>
            <w:pPr>
              <w:spacing w:after="0"/>
              <w:rPr>
                <w:sz w:val="11"/>
                <w:szCs w:val="11"/>
                <w:color w:val="auto"/>
              </w:rPr>
            </w:pPr>
          </w:p>
        </w:tc>
        <w:tc>
          <w:tcPr>
            <w:tcW w:w="920" w:type="dxa"/>
            <w:vAlign w:val="bottom"/>
            <w:tcBorders>
              <w:right w:val="single" w:sz="8" w:color="auto"/>
            </w:tcBorders>
            <w:vMerge w:val="continue"/>
            <w:shd w:val="clear" w:color="auto" w:fill="9ADAF6"/>
          </w:tcPr>
          <w:p>
            <w:pPr>
              <w:spacing w:after="0"/>
              <w:rPr>
                <w:sz w:val="11"/>
                <w:szCs w:val="11"/>
                <w:color w:val="auto"/>
              </w:rPr>
            </w:pPr>
          </w:p>
        </w:tc>
        <w:tc>
          <w:tcPr>
            <w:tcW w:w="0" w:type="dxa"/>
            <w:vAlign w:val="bottom"/>
          </w:tcPr>
          <w:p>
            <w:pPr>
              <w:spacing w:after="0"/>
              <w:rPr>
                <w:sz w:val="1"/>
                <w:szCs w:val="1"/>
                <w:color w:val="auto"/>
              </w:rPr>
            </w:pPr>
          </w:p>
        </w:tc>
      </w:tr>
      <w:tr>
        <w:trPr>
          <w:trHeight w:val="86"/>
        </w:trPr>
        <w:tc>
          <w:tcPr>
            <w:tcW w:w="40" w:type="dxa"/>
            <w:vAlign w:val="bottom"/>
            <w:tcBorders>
              <w:left w:val="single" w:sz="8" w:color="auto"/>
            </w:tcBorders>
          </w:tcPr>
          <w:p>
            <w:pPr>
              <w:spacing w:after="0"/>
              <w:rPr>
                <w:sz w:val="7"/>
                <w:szCs w:val="7"/>
                <w:color w:val="auto"/>
              </w:rPr>
            </w:pPr>
          </w:p>
        </w:tc>
        <w:tc>
          <w:tcPr>
            <w:tcW w:w="44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6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20" w:type="dxa"/>
            <w:vAlign w:val="bottom"/>
            <w:shd w:val="clear" w:color="auto" w:fill="9ADAF6"/>
          </w:tcPr>
          <w:p>
            <w:pPr>
              <w:spacing w:after="0"/>
              <w:rPr>
                <w:sz w:val="7"/>
                <w:szCs w:val="7"/>
                <w:color w:val="auto"/>
              </w:rPr>
            </w:pPr>
          </w:p>
        </w:tc>
        <w:tc>
          <w:tcPr>
            <w:tcW w:w="21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58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2000" w:type="dxa"/>
            <w:vAlign w:val="bottom"/>
            <w:vMerge w:val="continue"/>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680" w:type="dxa"/>
            <w:vAlign w:val="bottom"/>
            <w:shd w:val="clear" w:color="auto" w:fill="9ADAF6"/>
          </w:tcPr>
          <w:p>
            <w:pPr>
              <w:spacing w:after="0"/>
              <w:rPr>
                <w:sz w:val="7"/>
                <w:szCs w:val="7"/>
                <w:color w:val="auto"/>
              </w:rPr>
            </w:pPr>
          </w:p>
        </w:tc>
        <w:tc>
          <w:tcPr>
            <w:tcW w:w="20" w:type="dxa"/>
            <w:vAlign w:val="bottom"/>
          </w:tcPr>
          <w:p>
            <w:pPr>
              <w:spacing w:after="0"/>
              <w:rPr>
                <w:sz w:val="7"/>
                <w:szCs w:val="7"/>
                <w:color w:val="auto"/>
              </w:rPr>
            </w:pPr>
          </w:p>
        </w:tc>
        <w:tc>
          <w:tcPr>
            <w:tcW w:w="1100" w:type="dxa"/>
            <w:vAlign w:val="bottom"/>
            <w:shd w:val="clear" w:color="auto" w:fill="9ADAF6"/>
          </w:tcPr>
          <w:p>
            <w:pPr>
              <w:spacing w:after="0"/>
              <w:rPr>
                <w:sz w:val="7"/>
                <w:szCs w:val="7"/>
                <w:color w:val="auto"/>
              </w:rPr>
            </w:pPr>
          </w:p>
        </w:tc>
        <w:tc>
          <w:tcPr>
            <w:tcW w:w="40" w:type="dxa"/>
            <w:vAlign w:val="bottom"/>
          </w:tcPr>
          <w:p>
            <w:pPr>
              <w:spacing w:after="0"/>
              <w:rPr>
                <w:sz w:val="7"/>
                <w:szCs w:val="7"/>
                <w:color w:val="auto"/>
              </w:rPr>
            </w:pPr>
          </w:p>
        </w:tc>
        <w:tc>
          <w:tcPr>
            <w:tcW w:w="920" w:type="dxa"/>
            <w:vAlign w:val="bottom"/>
            <w:tcBorders>
              <w:right w:val="single" w:sz="8" w:color="auto"/>
            </w:tcBorders>
            <w:shd w:val="clear" w:color="auto" w:fill="9ADAF6"/>
          </w:tcPr>
          <w:p>
            <w:pPr>
              <w:spacing w:after="0"/>
              <w:rPr>
                <w:sz w:val="7"/>
                <w:szCs w:val="7"/>
                <w:color w:val="auto"/>
              </w:rPr>
            </w:pPr>
          </w:p>
        </w:tc>
        <w:tc>
          <w:tcPr>
            <w:tcW w:w="0" w:type="dxa"/>
            <w:vAlign w:val="bottom"/>
          </w:tcPr>
          <w:p>
            <w:pPr>
              <w:spacing w:after="0"/>
              <w:rPr>
                <w:sz w:val="1"/>
                <w:szCs w:val="1"/>
                <w:color w:val="auto"/>
              </w:rPr>
            </w:pPr>
          </w:p>
        </w:tc>
      </w:tr>
      <w:tr>
        <w:trPr>
          <w:trHeight w:val="22"/>
        </w:trPr>
        <w:tc>
          <w:tcPr>
            <w:tcW w:w="40" w:type="dxa"/>
            <w:vAlign w:val="bottom"/>
            <w:tcBorders>
              <w:left w:val="single" w:sz="8" w:color="auto"/>
            </w:tcBorders>
          </w:tcPr>
          <w:p>
            <w:pPr>
              <w:spacing w:after="0" w:line="20" w:lineRule="exact"/>
              <w:rPr>
                <w:sz w:val="1"/>
                <w:szCs w:val="1"/>
                <w:color w:val="auto"/>
              </w:rPr>
            </w:pPr>
          </w:p>
        </w:tc>
        <w:tc>
          <w:tcPr>
            <w:tcW w:w="44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6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Borders>
              <w:bottom w:val="single" w:sz="8" w:color="E7E7E2"/>
            </w:tcBorders>
          </w:tcPr>
          <w:p>
            <w:pPr>
              <w:spacing w:after="0" w:line="20" w:lineRule="exact"/>
              <w:rPr>
                <w:sz w:val="1"/>
                <w:szCs w:val="1"/>
                <w:color w:val="auto"/>
              </w:rPr>
            </w:pPr>
          </w:p>
        </w:tc>
        <w:tc>
          <w:tcPr>
            <w:tcW w:w="21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5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0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80" w:type="dxa"/>
            <w:vAlign w:val="bottom"/>
            <w:tcBorders>
              <w:bottom w:val="single" w:sz="8" w:color="E7E7E2"/>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100" w:type="dxa"/>
            <w:vAlign w:val="bottom"/>
            <w:tcBorders>
              <w:bottom w:val="single" w:sz="8" w:color="E7E7E2"/>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20" w:type="dxa"/>
            <w:vAlign w:val="bottom"/>
            <w:tcBorders>
              <w:bottom w:val="single" w:sz="8" w:color="E7E7E2"/>
              <w:right w:val="single" w:sz="8" w:color="auto"/>
            </w:tcBorders>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20"/>
        </w:trPr>
        <w:tc>
          <w:tcPr>
            <w:tcW w:w="40" w:type="dxa"/>
            <w:vAlign w:val="bottom"/>
            <w:tcBorders>
              <w:left w:val="single" w:sz="8" w:color="auto"/>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6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1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5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200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680" w:type="dxa"/>
            <w:vAlign w:val="bottom"/>
            <w:tcBorders>
              <w:bottom w:val="single" w:sz="8" w:color="auto"/>
            </w:tcBorders>
          </w:tcPr>
          <w:p>
            <w:pPr>
              <w:spacing w:after="0" w:line="20" w:lineRule="exact"/>
              <w:rPr>
                <w:sz w:val="1"/>
                <w:szCs w:val="1"/>
                <w:color w:val="auto"/>
              </w:rPr>
            </w:pPr>
          </w:p>
        </w:tc>
        <w:tc>
          <w:tcPr>
            <w:tcW w:w="20" w:type="dxa"/>
            <w:vAlign w:val="bottom"/>
            <w:tcBorders>
              <w:bottom w:val="single" w:sz="8" w:color="auto"/>
            </w:tcBorders>
          </w:tcPr>
          <w:p>
            <w:pPr>
              <w:spacing w:after="0" w:line="20" w:lineRule="exact"/>
              <w:rPr>
                <w:sz w:val="1"/>
                <w:szCs w:val="1"/>
                <w:color w:val="auto"/>
              </w:rPr>
            </w:pPr>
          </w:p>
        </w:tc>
        <w:tc>
          <w:tcPr>
            <w:tcW w:w="1100" w:type="dxa"/>
            <w:vAlign w:val="bottom"/>
            <w:tcBorders>
              <w:bottom w:val="single" w:sz="8" w:color="auto"/>
            </w:tcBorders>
          </w:tcPr>
          <w:p>
            <w:pPr>
              <w:spacing w:after="0" w:line="20" w:lineRule="exact"/>
              <w:rPr>
                <w:sz w:val="1"/>
                <w:szCs w:val="1"/>
                <w:color w:val="auto"/>
              </w:rPr>
            </w:pPr>
          </w:p>
        </w:tc>
        <w:tc>
          <w:tcPr>
            <w:tcW w:w="4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right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18" w:lineRule="exact"/>
        <w:rPr>
          <w:sz w:val="20"/>
          <w:szCs w:val="20"/>
          <w:color w:val="auto"/>
        </w:rPr>
      </w:pPr>
    </w:p>
    <w:p>
      <w:pPr>
        <w:ind w:left="4820"/>
        <w:spacing w:after="0"/>
        <w:rPr>
          <w:sz w:val="20"/>
          <w:szCs w:val="20"/>
          <w:color w:val="auto"/>
        </w:rPr>
      </w:pPr>
      <w:r>
        <w:rPr>
          <w:rFonts w:ascii="Arial" w:cs="Arial" w:eastAsia="Arial" w:hAnsi="Arial"/>
          <w:sz w:val="17"/>
          <w:szCs w:val="17"/>
          <w:b w:val="1"/>
          <w:bCs w:val="1"/>
          <w:color w:val="auto"/>
        </w:rPr>
        <w:t>Narrative Disclosure</w:t>
      </w:r>
    </w:p>
    <w:p>
      <w:pPr>
        <w:spacing w:after="0" w:line="59" w:lineRule="exact"/>
        <w:rPr>
          <w:sz w:val="20"/>
          <w:szCs w:val="20"/>
          <w:color w:val="auto"/>
        </w:rPr>
      </w:pPr>
    </w:p>
    <w:p>
      <w:pPr>
        <w:ind w:left="100"/>
        <w:spacing w:after="0"/>
        <w:rPr>
          <w:sz w:val="20"/>
          <w:szCs w:val="20"/>
          <w:color w:val="auto"/>
        </w:rPr>
      </w:pPr>
      <w:r>
        <w:rPr>
          <w:rFonts w:ascii="Arial" w:cs="Arial" w:eastAsia="Arial" w:hAnsi="Arial"/>
          <w:sz w:val="17"/>
          <w:szCs w:val="17"/>
          <w:color w:val="auto"/>
        </w:rPr>
        <w:t>The maximum aggregate offering price of the securities to which the prospectus relates is $189,925,765.00. The prospectus is a final prospectus for</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the related offering.</w:t>
      </w:r>
    </w:p>
    <w:sectPr>
      <w:pgSz w:w="11900" w:h="16838" w:orient="portrait"/>
      <w:cols w:equalWidth="0" w:num="1">
        <w:col w:w="11280"/>
      </w:cols>
      <w:pgMar w:left="300" w:top="118"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628C895D"/>
    <w:multiLevelType w:val="hybridMultilevel"/>
    <w:lvl w:ilvl="0">
      <w:lvlJc w:val="left"/>
      <w:lvlText w:val="•"/>
      <w:numFmt w:val="bullet"/>
      <w:start w:val="1"/>
    </w:lvl>
  </w:abstractNum>
  <w:abstractNum w:abstractNumId="1">
    <w:nsid w:val="333AB105"/>
    <w:multiLevelType w:val="hybridMultilevel"/>
    <w:lvl w:ilvl="0">
      <w:lvlJc w:val="left"/>
      <w:lvlText w:val="•"/>
      <w:numFmt w:val="bullet"/>
      <w:start w:val="1"/>
    </w:lvl>
  </w:abstractNum>
  <w:abstractNum w:abstractNumId="2">
    <w:nsid w:val="721DA317"/>
    <w:multiLevelType w:val="hybridMultilevel"/>
    <w:lvl w:ilvl="0">
      <w:lvlJc w:val="left"/>
      <w:lvlText w:val="•"/>
      <w:numFmt w:val="bullet"/>
      <w:start w:val="1"/>
    </w:lvl>
  </w:abstractNum>
  <w:abstractNum w:abstractNumId="3">
    <w:nsid w:val="2443A858"/>
    <w:multiLevelType w:val="hybridMultilevel"/>
    <w:lvl w:ilvl="0">
      <w:lvlJc w:val="left"/>
      <w:lvlText w:val="•"/>
      <w:numFmt w:val="bullet"/>
      <w:start w:val="1"/>
    </w:lvl>
  </w:abstractNum>
  <w:abstractNum w:abstractNumId="4">
    <w:nsid w:val="2D1D5AE9"/>
    <w:multiLevelType w:val="hybridMultilevel"/>
    <w:lvl w:ilvl="0">
      <w:lvlJc w:val="left"/>
      <w:lvlText w:val="•"/>
      <w:numFmt w:val="bullet"/>
      <w:start w:val="1"/>
    </w:lvl>
  </w:abstractNum>
  <w:abstractNum w:abstractNumId="5">
    <w:nsid w:val="6763845E"/>
    <w:multiLevelType w:val="hybridMultilevel"/>
    <w:lvl w:ilvl="0">
      <w:lvlJc w:val="left"/>
      <w:lvlText w:val="•"/>
      <w:numFmt w:val="bullet"/>
      <w:start w:val="1"/>
    </w:lvl>
  </w:abstractNum>
  <w:abstractNum w:abstractNumId="6">
    <w:nsid w:val="75A2A8D4"/>
    <w:multiLevelType w:val="hybridMultilevel"/>
    <w:lvl w:ilvl="0">
      <w:lvlJc w:val="left"/>
      <w:lvlText w:val="•"/>
      <w:numFmt w:val="bullet"/>
      <w:start w:val="1"/>
    </w:lvl>
  </w:abstractNum>
  <w:abstractNum w:abstractNumId="7">
    <w:nsid w:val="8EDBDAB"/>
    <w:multiLevelType w:val="hybridMultilevel"/>
    <w:lvl w:ilvl="0">
      <w:lvlJc w:val="left"/>
      <w:lvlText w:val="•"/>
      <w:numFmt w:val="bullet"/>
      <w:start w:val="1"/>
    </w:lvl>
  </w:abstractNum>
  <w:abstractNum w:abstractNumId="8">
    <w:nsid w:val="79838CB2"/>
    <w:multiLevelType w:val="hybridMultilevel"/>
    <w:lvl w:ilvl="0">
      <w:lvlJc w:val="left"/>
      <w:lvlText w:val="•"/>
      <w:numFmt w:val="bullet"/>
      <w:start w:val="1"/>
    </w:lvl>
  </w:abstractNum>
  <w:abstractNum w:abstractNumId="9">
    <w:nsid w:val="4353D0CD"/>
    <w:multiLevelType w:val="hybridMultilevel"/>
    <w:lvl w:ilvl="0">
      <w:lvlJc w:val="left"/>
      <w:lvlText w:val="(%1)"/>
      <w:numFmt w:val="decimal"/>
      <w:start w:val="617"/>
    </w:lvl>
  </w:abstractNum>
  <w:abstractNum w:abstractNumId="10">
    <w:nsid w:val="B03E0C6"/>
    <w:multiLevelType w:val="hybridMultilevel"/>
    <w:lvl w:ilvl="0">
      <w:lvlJc w:val="left"/>
      <w:lvlText w:val="•"/>
      <w:numFmt w:val="bullet"/>
      <w:start w:val="1"/>
    </w:lvl>
  </w:abstractNum>
  <w:abstractNum w:abstractNumId="11">
    <w:nsid w:val="189A769B"/>
    <w:multiLevelType w:val="hybridMultilevel"/>
    <w:lvl w:ilvl="0">
      <w:lvlJc w:val="left"/>
      <w:lvlText w:val="•"/>
      <w:numFmt w:val="bullet"/>
      <w:start w:val="1"/>
    </w:lvl>
  </w:abstractNum>
  <w:abstractNum w:abstractNumId="12">
    <w:nsid w:val="54E49EB4"/>
    <w:multiLevelType w:val="hybridMultilevel"/>
    <w:lvl w:ilvl="0">
      <w:lvlJc w:val="left"/>
      <w:lvlText w:val="®"/>
      <w:numFmt w:val="bullet"/>
      <w:start w:val="1"/>
    </w:lvl>
  </w:abstractNum>
  <w:abstractNum w:abstractNumId="13">
    <w:nsid w:val="71F32454"/>
    <w:multiLevelType w:val="hybridMultilevel"/>
    <w:lvl w:ilvl="0">
      <w:lvlJc w:val="left"/>
      <w:lvlText w:val="•"/>
      <w:numFmt w:val="bullet"/>
      <w:start w:val="1"/>
    </w:lvl>
  </w:abstractNum>
  <w:abstractNum w:abstractNumId="14">
    <w:nsid w:val="2CA88611"/>
    <w:multiLevelType w:val="hybridMultilevel"/>
    <w:lvl w:ilvl="0">
      <w:lvlJc w:val="left"/>
      <w:lvlText w:val="•"/>
      <w:numFmt w:val="bullet"/>
      <w:start w:val="1"/>
    </w:lvl>
  </w:abstractNum>
  <w:abstractNum w:abstractNumId="15">
    <w:nsid w:val="836C40E"/>
    <w:multiLevelType w:val="hybridMultilevel"/>
    <w:lvl w:ilvl="0">
      <w:lvlJc w:val="left"/>
      <w:lvlText w:val="•"/>
      <w:numFmt w:val="bullet"/>
      <w:start w:val="1"/>
    </w:lvl>
  </w:abstractNum>
  <w:abstractNum w:abstractNumId="16">
    <w:nsid w:val="2901D82"/>
    <w:multiLevelType w:val="hybridMultilevel"/>
    <w:lvl w:ilvl="0">
      <w:lvlJc w:val="left"/>
      <w:lvlText w:val="•"/>
      <w:numFmt w:val="bullet"/>
      <w:start w:val="1"/>
    </w:lvl>
  </w:abstractNum>
  <w:abstractNum w:abstractNumId="17">
    <w:nsid w:val="3A95F874"/>
    <w:multiLevelType w:val="hybridMultilevel"/>
    <w:lvl w:ilvl="0">
      <w:lvlJc w:val="left"/>
      <w:lvlText w:val="•"/>
      <w:numFmt w:val="bullet"/>
      <w:start w:val="1"/>
    </w:lvl>
  </w:abstractNum>
  <w:abstractNum w:abstractNumId="18">
    <w:nsid w:val="8138641"/>
    <w:multiLevelType w:val="hybridMultilevel"/>
    <w:lvl w:ilvl="0">
      <w:lvlJc w:val="left"/>
      <w:lvlText w:val="•"/>
      <w:numFmt w:val="bullet"/>
      <w:start w:val="1"/>
    </w:lvl>
  </w:abstractNum>
  <w:abstractNum w:abstractNumId="19">
    <w:nsid w:val="1E7FF521"/>
    <w:multiLevelType w:val="hybridMultilevel"/>
    <w:lvl w:ilvl="0">
      <w:lvlJc w:val="left"/>
      <w:lvlText w:val="•"/>
      <w:numFmt w:val="bullet"/>
      <w:start w:val="1"/>
    </w:lvl>
  </w:abstractNum>
  <w:abstractNum w:abstractNumId="20">
    <w:nsid w:val="7C3DBD3D"/>
    <w:multiLevelType w:val="hybridMultilevel"/>
    <w:lvl w:ilvl="0">
      <w:lvlJc w:val="left"/>
      <w:lvlText w:val="•"/>
      <w:numFmt w:val="bullet"/>
      <w:start w:val="1"/>
    </w:lvl>
  </w:abstractNum>
  <w:abstractNum w:abstractNumId="21">
    <w:nsid w:val="737B8DDC"/>
    <w:multiLevelType w:val="hybridMultilevel"/>
    <w:lvl w:ilvl="0">
      <w:lvlJc w:val="left"/>
      <w:lvlText w:val="•"/>
      <w:numFmt w:val="bullet"/>
      <w:start w:val="1"/>
    </w:lvl>
  </w:abstractNum>
  <w:abstractNum w:abstractNumId="22">
    <w:nsid w:val="6CEAF087"/>
    <w:multiLevelType w:val="hybridMultilevel"/>
    <w:lvl w:ilvl="0">
      <w:lvlJc w:val="left"/>
      <w:lvlText w:val="•"/>
      <w:numFmt w:val="bullet"/>
      <w:start w:val="1"/>
    </w:lvl>
  </w:abstractNum>
  <w:abstractNum w:abstractNumId="23">
    <w:nsid w:val="22221A70"/>
    <w:multiLevelType w:val="hybridMultilevel"/>
    <w:lvl w:ilvl="0">
      <w:lvlJc w:val="left"/>
      <w:lvlText w:val="•"/>
      <w:numFmt w:val="bullet"/>
      <w:start w:val="1"/>
    </w:lvl>
  </w:abstractNum>
  <w:abstractNum w:abstractNumId="24">
    <w:nsid w:val="4516DDE9"/>
    <w:multiLevelType w:val="hybridMultilevel"/>
    <w:lvl w:ilvl="0">
      <w:lvlJc w:val="left"/>
      <w:lvlText w:val="•"/>
      <w:numFmt w:val="bullet"/>
      <w:start w:val="1"/>
    </w:lvl>
  </w:abstractNum>
  <w:abstractNum w:abstractNumId="25">
    <w:nsid w:val="3006C83E"/>
    <w:multiLevelType w:val="hybridMultilevel"/>
    <w:lvl w:ilvl="0">
      <w:lvlJc w:val="left"/>
      <w:lvlText w:val="•"/>
      <w:numFmt w:val="bullet"/>
      <w:start w:val="1"/>
    </w:lvl>
  </w:abstractNum>
  <w:abstractNum w:abstractNumId="26">
    <w:nsid w:val="614FD4A1"/>
    <w:multiLevelType w:val="hybridMultilevel"/>
    <w:lvl w:ilvl="0">
      <w:lvlJc w:val="left"/>
      <w:lvlText w:val="•"/>
      <w:numFmt w:val="bullet"/>
      <w:start w:val="1"/>
    </w:lvl>
  </w:abstractNum>
  <w:abstractNum w:abstractNumId="27">
    <w:nsid w:val="419AC241"/>
    <w:multiLevelType w:val="hybridMultilevel"/>
    <w:lvl w:ilvl="0">
      <w:lvlJc w:val="left"/>
      <w:lvlText w:val="•"/>
      <w:numFmt w:val="bullet"/>
      <w:start w:val="1"/>
    </w:lvl>
  </w:abstractNum>
  <w:abstractNum w:abstractNumId="28">
    <w:nsid w:val="5577F8E1"/>
    <w:multiLevelType w:val="hybridMultilevel"/>
    <w:lvl w:ilvl="0">
      <w:lvlJc w:val="left"/>
      <w:lvlText w:val="•"/>
      <w:numFmt w:val="bullet"/>
      <w:start w:val="1"/>
    </w:lvl>
  </w:abstractNum>
  <w:abstractNum w:abstractNumId="29">
    <w:nsid w:val="440BADFC"/>
    <w:multiLevelType w:val="hybridMultilevel"/>
    <w:lvl w:ilvl="0">
      <w:lvlJc w:val="left"/>
      <w:lvlText w:val="•"/>
      <w:numFmt w:val="bullet"/>
      <w:start w:val="1"/>
    </w:lvl>
  </w:abstractNum>
  <w:abstractNum w:abstractNumId="30">
    <w:nsid w:val="5072367"/>
    <w:multiLevelType w:val="hybridMultilevel"/>
    <w:lvl w:ilvl="0">
      <w:lvlJc w:val="left"/>
      <w:lvlText w:val="•"/>
      <w:numFmt w:val="bullet"/>
      <w:start w:val="1"/>
    </w:lvl>
  </w:abstractNum>
  <w:abstractNum w:abstractNumId="31">
    <w:nsid w:val="3804823E"/>
    <w:multiLevelType w:val="hybridMultilevel"/>
    <w:lvl w:ilvl="0">
      <w:lvlJc w:val="left"/>
      <w:lvlText w:val="•"/>
      <w:numFmt w:val="bullet"/>
      <w:start w:val="1"/>
    </w:lvl>
  </w:abstractNum>
  <w:abstractNum w:abstractNumId="32">
    <w:nsid w:val="77465F01"/>
    <w:multiLevelType w:val="hybridMultilevel"/>
    <w:lvl w:ilvl="0">
      <w:lvlJc w:val="left"/>
      <w:lvlText w:val="•"/>
      <w:numFmt w:val="bullet"/>
      <w:start w:val="1"/>
    </w:lvl>
  </w:abstractNum>
  <w:abstractNum w:abstractNumId="33">
    <w:nsid w:val="7724C67E"/>
    <w:multiLevelType w:val="hybridMultilevel"/>
    <w:lvl w:ilvl="0">
      <w:lvlJc w:val="left"/>
      <w:lvlText w:val="•"/>
      <w:numFmt w:val="bullet"/>
      <w:start w:val="1"/>
    </w:lvl>
  </w:abstractNum>
  <w:abstractNum w:abstractNumId="34">
    <w:nsid w:val="5C482A97"/>
    <w:multiLevelType w:val="hybridMultilevel"/>
    <w:lvl w:ilvl="0">
      <w:lvlJc w:val="left"/>
      <w:lvlText w:val="•"/>
      <w:numFmt w:val="bullet"/>
      <w:start w:val="1"/>
    </w:lvl>
  </w:abstractNum>
  <w:abstractNum w:abstractNumId="35">
    <w:nsid w:val="2463B9EA"/>
    <w:multiLevelType w:val="hybridMultilevel"/>
    <w:lvl w:ilvl="0">
      <w:lvlJc w:val="left"/>
      <w:lvlText w:val="•"/>
      <w:numFmt w:val="bullet"/>
      <w:start w:val="1"/>
    </w:lvl>
  </w:abstractNum>
  <w:abstractNum w:abstractNumId="36">
    <w:nsid w:val="5E884ADC"/>
    <w:multiLevelType w:val="hybridMultilevel"/>
    <w:lvl w:ilvl="0">
      <w:lvlJc w:val="left"/>
      <w:lvlText w:val="•"/>
      <w:numFmt w:val="bullet"/>
      <w:start w:val="1"/>
    </w:lvl>
  </w:abstractNum>
  <w:abstractNum w:abstractNumId="37">
    <w:nsid w:val="51EAD36B"/>
    <w:multiLevelType w:val="hybridMultilevel"/>
    <w:lvl w:ilvl="0">
      <w:lvlJc w:val="left"/>
      <w:lvlText w:val="•"/>
      <w:numFmt w:val="bullet"/>
      <w:start w:val="1"/>
    </w:lvl>
  </w:abstractNum>
  <w:abstractNum w:abstractNumId="38">
    <w:nsid w:val="2D517796"/>
    <w:multiLevelType w:val="hybridMultilevel"/>
    <w:lvl w:ilvl="0">
      <w:lvlJc w:val="left"/>
      <w:lvlText w:val="•"/>
      <w:numFmt w:val="bullet"/>
      <w:start w:val="1"/>
    </w:lvl>
  </w:abstractNum>
  <w:abstractNum w:abstractNumId="39">
    <w:nsid w:val="580BD78F"/>
    <w:multiLevelType w:val="hybridMultilevel"/>
    <w:lvl w:ilvl="0">
      <w:lvlJc w:val="left"/>
      <w:lvlText w:val="1"/>
      <w:numFmt w:val="bullet"/>
      <w:start w:val="1"/>
    </w:lvl>
  </w:abstractNum>
  <w:abstractNum w:abstractNumId="40">
    <w:nsid w:val="153EA438"/>
    <w:multiLevelType w:val="hybridMultilevel"/>
    <w:lvl w:ilvl="0">
      <w:lvlJc w:val="left"/>
      <w:lvlText w:val="1"/>
      <w:numFmt w:val="bullet"/>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48" Type="http://schemas.openxmlformats.org/officeDocument/2006/relationships/image" Target="media/image30.png"/><Relationship Id="rId49" Type="http://schemas.openxmlformats.org/officeDocument/2006/relationships/image" Target="media/image31.png"/><Relationship Id="rId50" Type="http://schemas.openxmlformats.org/officeDocument/2006/relationships/image" Target="media/image32.jpeg"/><Relationship Id="rId51" Type="http://schemas.openxmlformats.org/officeDocument/2006/relationships/image" Target="media/image33.png"/><Relationship Id="rId52" Type="http://schemas.openxmlformats.org/officeDocument/2006/relationships/image" Target="media/image34.png"/><Relationship Id="rId53" Type="http://schemas.openxmlformats.org/officeDocument/2006/relationships/image" Target="media/image35.png"/><Relationship Id="rId54" Type="http://schemas.openxmlformats.org/officeDocument/2006/relationships/image" Target="media/image36.png"/><Relationship Id="rId55" Type="http://schemas.openxmlformats.org/officeDocument/2006/relationships/image" Target="media/image37.png"/><Relationship Id="rId56" Type="http://schemas.openxmlformats.org/officeDocument/2006/relationships/image" Target="media/image38.png"/><Relationship Id="rId65" Type="http://schemas.openxmlformats.org/officeDocument/2006/relationships/image" Target="media/image39.png"/><Relationship Id="rId66" Type="http://schemas.openxmlformats.org/officeDocument/2006/relationships/image" Target="media/image40.png"/><Relationship Id="rId67" Type="http://schemas.openxmlformats.org/officeDocument/2006/relationships/image" Target="media/image41.png"/><Relationship Id="rId68" Type="http://schemas.openxmlformats.org/officeDocument/2006/relationships/image" Target="media/image42.png"/><Relationship Id="rId69" Type="http://schemas.openxmlformats.org/officeDocument/2006/relationships/image" Target="media/image43.png"/><Relationship Id="rId70" Type="http://schemas.openxmlformats.org/officeDocument/2006/relationships/image" Target="media/image44.png"/><Relationship Id="rId71" Type="http://schemas.openxmlformats.org/officeDocument/2006/relationships/image" Target="media/image45.png"/><Relationship Id="rId72" Type="http://schemas.openxmlformats.org/officeDocument/2006/relationships/image" Target="media/image46.png"/><Relationship Id="rId73" Type="http://schemas.openxmlformats.org/officeDocument/2006/relationships/image" Target="media/image47.png"/><Relationship Id="rId74" Type="http://schemas.openxmlformats.org/officeDocument/2006/relationships/image" Target="media/image48.png"/><Relationship Id="rId75" Type="http://schemas.openxmlformats.org/officeDocument/2006/relationships/image" Target="media/image49.png"/><Relationship Id="rId76" Type="http://schemas.openxmlformats.org/officeDocument/2006/relationships/image" Target="media/image50.png"/><Relationship Id="rId77" Type="http://schemas.openxmlformats.org/officeDocument/2006/relationships/image" Target="media/image51.png"/><Relationship Id="rId78" Type="http://schemas.openxmlformats.org/officeDocument/2006/relationships/image" Target="media/image52.png"/><Relationship Id="rId79" Type="http://schemas.openxmlformats.org/officeDocument/2006/relationships/image" Target="media/image53.png"/><Relationship Id="rId80" Type="http://schemas.openxmlformats.org/officeDocument/2006/relationships/image" Target="media/image54.png"/><Relationship Id="rId81" Type="http://schemas.openxmlformats.org/officeDocument/2006/relationships/image" Target="media/image55.png"/><Relationship Id="rId82" Type="http://schemas.openxmlformats.org/officeDocument/2006/relationships/image" Target="media/image56.png"/><Relationship Id="rId83" Type="http://schemas.openxmlformats.org/officeDocument/2006/relationships/image" Target="media/image57.png"/><Relationship Id="rId84" Type="http://schemas.openxmlformats.org/officeDocument/2006/relationships/image" Target="media/image58.png"/><Relationship Id="rId85" Type="http://schemas.openxmlformats.org/officeDocument/2006/relationships/image" Target="media/image59.png"/><Relationship Id="rId86" Type="http://schemas.openxmlformats.org/officeDocument/2006/relationships/image" Target="media/image60.png"/><Relationship Id="rId87" Type="http://schemas.openxmlformats.org/officeDocument/2006/relationships/image" Target="media/image61.png"/><Relationship Id="rId88" Type="http://schemas.openxmlformats.org/officeDocument/2006/relationships/image" Target="media/image62.png"/><Relationship Id="rId89" Type="http://schemas.openxmlformats.org/officeDocument/2006/relationships/image" Target="media/image63.png"/><Relationship Id="rId90" Type="http://schemas.openxmlformats.org/officeDocument/2006/relationships/image" Target="media/image64.png"/><Relationship Id="rId91" Type="http://schemas.openxmlformats.org/officeDocument/2006/relationships/image" Target="media/image65.png"/><Relationship Id="rId92" Type="http://schemas.openxmlformats.org/officeDocument/2006/relationships/image" Target="media/image66.png"/><Relationship Id="rId93" Type="http://schemas.openxmlformats.org/officeDocument/2006/relationships/image" Target="media/image67.png"/><Relationship Id="rId94" Type="http://schemas.openxmlformats.org/officeDocument/2006/relationships/image" Target="media/image68.png"/><Relationship Id="rId95" Type="http://schemas.openxmlformats.org/officeDocument/2006/relationships/image" Target="media/image69.png"/><Relationship Id="rId96" Type="http://schemas.openxmlformats.org/officeDocument/2006/relationships/image" Target="media/image70.png"/><Relationship Id="rId97" Type="http://schemas.openxmlformats.org/officeDocument/2006/relationships/image" Target="media/image71.png"/><Relationship Id="rId98" Type="http://schemas.openxmlformats.org/officeDocument/2006/relationships/image" Target="media/image72.png"/><Relationship Id="rId99" Type="http://schemas.openxmlformats.org/officeDocument/2006/relationships/image" Target="media/image73.png"/><Relationship Id="rId100" Type="http://schemas.openxmlformats.org/officeDocument/2006/relationships/image" Target="media/image74.png"/><Relationship Id="rId101" Type="http://schemas.openxmlformats.org/officeDocument/2006/relationships/image" Target="media/image75.jpeg"/><Relationship Id="rId102" Type="http://schemas.openxmlformats.org/officeDocument/2006/relationships/image" Target="media/image76.png"/><Relationship Id="rId103" Type="http://schemas.openxmlformats.org/officeDocument/2006/relationships/image" Target="media/image77.png"/><Relationship Id="rId104" Type="http://schemas.openxmlformats.org/officeDocument/2006/relationships/image" Target="media/image78.png"/><Relationship Id="rId105" Type="http://schemas.openxmlformats.org/officeDocument/2006/relationships/image" Target="media/image79.png"/><Relationship Id="rId106" Type="http://schemas.openxmlformats.org/officeDocument/2006/relationships/image" Target="media/image80.png"/><Relationship Id="rId107" Type="http://schemas.openxmlformats.org/officeDocument/2006/relationships/image" Target="media/image81.png"/><Relationship Id="rId108" Type="http://schemas.openxmlformats.org/officeDocument/2006/relationships/image" Target="media/image82.png"/><Relationship Id="rId37" Type="http://schemas.openxmlformats.org/officeDocument/2006/relationships/hyperlink" Target="http://www.sec.gov/ix?doc=/Archives/edgar/data/1816736/000119312526073602/iron-20251231.htm" TargetMode="External"/><Relationship Id="rId38" Type="http://schemas.openxmlformats.org/officeDocument/2006/relationships/hyperlink" Target="http://www.sec.gov/ix?doc=/Archives/edgar/data/1816736/000119312526187646/iron-20260428.htm" TargetMode="External"/><Relationship Id="rId39" Type="http://schemas.openxmlformats.org/officeDocument/2006/relationships/hyperlink" Target="http://www.sec.gov/ix?doc=/Archives/edgar/data/1816736/000119312526205192/iron-20260331.htm" TargetMode="External"/><Relationship Id="rId40" Type="http://schemas.openxmlformats.org/officeDocument/2006/relationships/hyperlink" Target="http://www.sec.gov/ix?doc=/Archives/edgar/data/1816736/000119312526325034/iron-20260630.htm" TargetMode="External"/><Relationship Id="rId41" Type="http://schemas.openxmlformats.org/officeDocument/2006/relationships/hyperlink" Target="http://www.sec.gov/ix?doc=/Archives/edgar/data/1816736/000119312526448729/iron-20260930.htm" TargetMode="External"/><Relationship Id="rId42" Type="http://schemas.openxmlformats.org/officeDocument/2006/relationships/hyperlink" Target="http://www.sec.gov/ix?doc=/Archives/edgar/data/1816736/000119312526387351/iron-20260909.htm" TargetMode="External"/><Relationship Id="rId43" Type="http://schemas.openxmlformats.org/officeDocument/2006/relationships/hyperlink" Target="http://www.sec.gov/ix?doc=/Archives/edgar/data/1816736/000119312526424649/d156263d8k.htm" TargetMode="External"/><Relationship Id="rId44" Type="http://schemas.openxmlformats.org/officeDocument/2006/relationships/hyperlink" Target="http://www.sec.gov/ix?doc=/Archives/edgar/data/1816736/000119312526429105/d457786d8k.htm" TargetMode="External"/><Relationship Id="rId45" Type="http://schemas.openxmlformats.org/officeDocument/2006/relationships/hyperlink" Target="http://www.sec.gov/Archives/edgar/data/1816736/000121390020021145/ea125295-8a12b_fsdevelop.htm" TargetMode="External"/><Relationship Id="rId46" Type="http://schemas.openxmlformats.org/officeDocument/2006/relationships/hyperlink" Target="http://www.sec.gov/Archives/edgar/data/1816736/000095017022003288/gmtx-ex4_4.htm" TargetMode="External"/><Relationship Id="rId47" Type="http://schemas.openxmlformats.org/officeDocument/2006/relationships/hyperlink" Target="http://www.sec.gov/Archives/edgar/data/1816736/000114036122043943/ny20005172x8_s4a.htm" TargetMode="External"/><Relationship Id="rId57" Type="http://schemas.openxmlformats.org/officeDocument/2006/relationships/hyperlink" Target="http://www.sec.gov/ix?doc=/Archives/edgar/data/0001816736/000095017024034432/iron-20231231.htm" TargetMode="External"/><Relationship Id="rId58" Type="http://schemas.openxmlformats.org/officeDocument/2006/relationships/hyperlink" Target="http://www.sec.gov/ix?doc=/Archives/edgar/data/1816736/000095017024093357/iron-20240630.htm" TargetMode="External"/><Relationship Id="rId59" Type="http://schemas.openxmlformats.org/officeDocument/2006/relationships/hyperlink" Target="http://www.sec.gov/ix?doc=/Archives/edgar/data/0001816736/000119312524025951/d758257d8k.htm" TargetMode="External"/><Relationship Id="rId60" Type="http://schemas.openxmlformats.org/officeDocument/2006/relationships/hyperlink" Target="http://www.sec.gov/ix?doc=/Archives/edgar/data/0001816736/000119312524084937/d815786d8k.htm" TargetMode="External"/><Relationship Id="rId61" Type="http://schemas.openxmlformats.org/officeDocument/2006/relationships/hyperlink" Target="http://www.sec.gov/ix?doc=/Archives/edgar/data/0001816736/000119312524161170/d826950d8k.htm" TargetMode="External"/><Relationship Id="rId62" Type="http://schemas.openxmlformats.org/officeDocument/2006/relationships/hyperlink" Target="http://www.sec.gov/ix?doc=/Archives/edgar/data/0001816736/000119312524161587/d828009d8k.htm" TargetMode="External"/><Relationship Id="rId63" Type="http://schemas.openxmlformats.org/officeDocument/2006/relationships/hyperlink" Target="http://www.sec.gov/ix?doc=/Archives/edgar/data/0001816736/000119312524161603/d829753d8k.htm" TargetMode="External"/><Relationship Id="rId64" Type="http://schemas.openxmlformats.org/officeDocument/2006/relationships/hyperlink" Target="http://www.sec.gov/ix?doc=/Archives/edgar/data/1816736/000095017022003288/gmtx-2021123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2026-11-05T16:25:52Z</dcterms:created>
  <dcterms:modified xsi:type="dcterms:W3CDTF">2026-11-05T16:25:52Z</dcterms:modified>
</cp:coreProperties>
</file>