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0001812049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Atlas Venture Fund XII, LP</w:t>
      </w:r>
    </w:p>
    <w:p>
      <w:pPr>
        <w:spacing w:after="0" w:line="44" w:lineRule="exact"/>
        <w:rPr>
          <w:sz w:val="24"/>
          <w:szCs w:val="24"/>
          <w:color w:val="auto"/>
        </w:rPr>
      </w:pPr>
    </w:p>
    <w:p>
      <w:pPr>
        <w:sectPr>
          <w:pgSz w:w="11900" w:h="16838" w:orient="portrait"/>
          <w:cols w:equalWidth="0" w:num="2">
            <w:col w:w="6400" w:space="720"/>
            <w:col w:w="4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6160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565796</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6160</w:t>
      </w:r>
      <w:r>
        <w:rPr>
          <w:sz w:val="20"/>
          <w:szCs w:val="20"/>
          <w:color w:val="auto"/>
        </w:rPr>
        <w:tab/>
      </w:r>
      <w:r>
        <w:rPr>
          <w:rFonts w:ascii="Times New Roman" w:cs="Times New Roman" w:eastAsia="Times New Roman" w:hAnsi="Times New Roman"/>
          <w:sz w:val="21"/>
          <w:szCs w:val="21"/>
          <w:color w:val="auto"/>
        </w:rPr>
        <w:t>05/01/2020 Cash</w:t>
      </w:r>
    </w:p>
    <w:p>
      <w:pPr>
        <w:spacing w:after="0" w:line="28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See attached Table II for sales of securities over the last three months.</w:t>
      </w:r>
    </w:p>
    <w:p>
      <w:pPr>
        <w:spacing w:after="0" w:line="56"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12/15/2025</w:t>
      </w:r>
    </w:p>
    <w:p>
      <w:pPr>
        <w:spacing w:after="0" w:line="50" w:lineRule="exact"/>
        <w:rPr>
          <w:sz w:val="20"/>
          <w:szCs w:val="20"/>
          <w:color w:val="auto"/>
        </w:rPr>
      </w:pPr>
    </w:p>
    <w:p>
      <w:pPr>
        <w:sectPr>
          <w:pgSz w:w="11900" w:h="16838" w:orient="portrait"/>
          <w:cols w:equalWidth="0" w:num="2">
            <w:col w:w="1320" w:space="720"/>
            <w:col w:w="9200"/>
          </w:cols>
          <w:pgMar w:left="320" w:top="111"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2025-12-15T20:40:49Z</dcterms:created>
  <dcterms:modified xsi:type="dcterms:W3CDTF">2025-12-15T20:40:49Z</dcterms:modified>
</cp:coreProperties>
</file>