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227965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208915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Disc Medicine,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197485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tbl>
      <w:tblPr>
        <w:tblLayout w:type="fixed"/>
        <w:tblInd w:w="881" w:type="dxa"/>
        <w:tblCellMar>
          <w:top w:w="0" w:type="dxa"/>
          <w:left w:w="0" w:type="dxa"/>
          <w:bottom w:w="0" w:type="dxa"/>
          <w:right w:w="0" w:type="dxa"/>
        </w:tblCellMar>
      </w:tblPr>
      <w:tr>
        <w:trPr>
          <w:trHeight w:val="186"/>
        </w:trPr>
        <w:tc>
          <w:tcPr>
            <w:tcW w:w="3160" w:type="dxa"/>
            <w:vAlign w:val="bottom"/>
          </w:tcPr>
          <w:p>
            <w:pPr>
              <w:jc w:val="center"/>
              <w:ind w:right="156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1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001-39438</w:t>
            </w:r>
          </w:p>
        </w:tc>
        <w:tc>
          <w:tcPr>
            <w:tcW w:w="2440" w:type="dxa"/>
            <w:vAlign w:val="bottom"/>
          </w:tcPr>
          <w:p>
            <w:pPr>
              <w:jc w:val="center"/>
              <w:ind w:left="1371"/>
              <w:spacing w:after="0"/>
              <w:rPr>
                <w:sz w:val="20"/>
                <w:szCs w:val="20"/>
                <w:color w:val="auto"/>
              </w:rPr>
            </w:pPr>
            <w:r>
              <w:rPr>
                <w:rFonts w:ascii="Times New Roman" w:cs="Times New Roman" w:eastAsia="Times New Roman" w:hAnsi="Times New Roman"/>
                <w:sz w:val="16"/>
                <w:szCs w:val="16"/>
                <w:b w:val="1"/>
                <w:bCs w:val="1"/>
                <w:color w:val="auto"/>
                <w:w w:val="98"/>
              </w:rPr>
              <w:t>85-1612845</w:t>
            </w:r>
          </w:p>
        </w:tc>
      </w:tr>
      <w:tr>
        <w:trPr>
          <w:trHeight w:val="130"/>
        </w:trPr>
        <w:tc>
          <w:tcPr>
            <w:tcW w:w="3160" w:type="dxa"/>
            <w:vAlign w:val="bottom"/>
          </w:tcPr>
          <w:p>
            <w:pPr>
              <w:jc w:val="center"/>
              <w:ind w:right="1589"/>
              <w:spacing w:after="0" w:line="130"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120" w:type="dxa"/>
            <w:vAlign w:val="bottom"/>
          </w:tcPr>
          <w:p>
            <w:pPr>
              <w:ind w:left="540"/>
              <w:spacing w:after="0" w:line="130"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40" w:type="dxa"/>
            <w:vAlign w:val="bottom"/>
          </w:tcPr>
          <w:p>
            <w:pPr>
              <w:jc w:val="center"/>
              <w:ind w:left="1391"/>
              <w:spacing w:after="0" w:line="130"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160" w:type="dxa"/>
            <w:vAlign w:val="bottom"/>
          </w:tcPr>
          <w:p>
            <w:pPr>
              <w:jc w:val="center"/>
              <w:ind w:right="1589"/>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21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40" w:type="dxa"/>
            <w:vAlign w:val="bottom"/>
          </w:tcPr>
          <w:p>
            <w:pPr>
              <w:jc w:val="center"/>
              <w:ind w:left="139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81"/>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321 Arsenal Street, Suite 101</w:t>
            </w:r>
          </w:p>
        </w:tc>
        <w:tc>
          <w:tcPr>
            <w:tcW w:w="2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98"/>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Watertown, Massachusetts</w:t>
            </w:r>
          </w:p>
        </w:tc>
        <w:tc>
          <w:tcPr>
            <w:tcW w:w="2120" w:type="dxa"/>
            <w:vAlign w:val="bottom"/>
          </w:tcPr>
          <w:p>
            <w:pPr>
              <w:spacing w:after="0"/>
              <w:rPr>
                <w:sz w:val="17"/>
                <w:szCs w:val="17"/>
                <w:color w:val="auto"/>
              </w:rPr>
            </w:pPr>
          </w:p>
        </w:tc>
        <w:tc>
          <w:tcPr>
            <w:tcW w:w="2440" w:type="dxa"/>
            <w:vAlign w:val="bottom"/>
          </w:tcPr>
          <w:p>
            <w:pPr>
              <w:jc w:val="right"/>
              <w:ind w:right="1031"/>
              <w:spacing w:after="0"/>
              <w:rPr>
                <w:sz w:val="20"/>
                <w:szCs w:val="20"/>
                <w:color w:val="auto"/>
              </w:rPr>
            </w:pPr>
            <w:r>
              <w:rPr>
                <w:rFonts w:ascii="Times New Roman" w:cs="Times New Roman" w:eastAsia="Times New Roman" w:hAnsi="Times New Roman"/>
                <w:sz w:val="16"/>
                <w:szCs w:val="16"/>
                <w:b w:val="1"/>
                <w:bCs w:val="1"/>
                <w:color w:val="auto"/>
              </w:rPr>
              <w:t>02472</w:t>
            </w:r>
          </w:p>
        </w:tc>
      </w:tr>
      <w:tr>
        <w:trPr>
          <w:trHeight w:val="166"/>
        </w:trPr>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120" w:type="dxa"/>
            <w:vAlign w:val="bottom"/>
          </w:tcPr>
          <w:p>
            <w:pPr>
              <w:spacing w:after="0"/>
              <w:rPr>
                <w:sz w:val="14"/>
                <w:szCs w:val="14"/>
                <w:color w:val="auto"/>
              </w:rPr>
            </w:pPr>
          </w:p>
        </w:tc>
        <w:tc>
          <w:tcPr>
            <w:tcW w:w="24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674-9274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186690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r>
        <w:rPr>
          <w:rFonts w:ascii="Times New Roman" w:cs="Times New Roman" w:eastAsia="Times New Roman" w:hAnsi="Times New Roman"/>
          <w:sz w:val="16"/>
          <w:szCs w:val="16"/>
          <w:color w:val="auto"/>
        </w:rPr>
        <w:t xml:space="preserve"> General Instruction A.2. below):</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95"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IRON</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left="1"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On June 14, 2024, Disc Medicine, Inc. (the “Company”) issued a press release announcing (i) updated analyses of data from its ongoing Phase 2 open-label AURORA and BEACON trials evaluating bitopertin in patients with erythropoietic protoporphyria (“EPP”), (ii) additional data from its ongoing Phase 1b study of DISC-0974 in patients with myelofibrosis (“MF”) anemia, and (iii) initial data from single ascending dose (“SAD”) cohorts in its ongoing Phase 1 study of DISC-3405 in healthy adult volunteers, all at the European Hematology Association 2024 Congress. The Company will host a live webcast on June 14, 2024 at 8:00 a.m. ET. An archived webcast will be available for 30 days on the events &amp; presentations section of the Company’s website. The Company also updated its corporate presentation. Copies of the press release and the Company’s updated corporate presentation are attached as Exhibits 99.1 and 99.2, respectively, to this Current Report on Form 8-K. The corporate presentation will also be available in the investor relations section of the Company’s website at https://ir.discmedicine.com. Information contained on the Company’s website is not incorporated by reference into this Current Report on Form 8-K, and you should not consider any information on, or that can be accessed from, the Company’s website as part of this Current Report on Form 8-K.</w:t>
      </w:r>
    </w:p>
    <w:p>
      <w:pPr>
        <w:spacing w:after="0" w:line="165"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6"/>
          <w:szCs w:val="16"/>
          <w:color w:val="auto"/>
        </w:rPr>
        <w:t>The information contained in Item 7.01 of this Current Report on Form 8-K (including Exhibits 99.1 and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materials attached hereto as Exhibits 99.1 and 99.2.</w:t>
      </w:r>
    </w:p>
    <w:p>
      <w:pPr>
        <w:spacing w:after="0" w:line="29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0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On June 14, 2024, the Company announced (i) updated analyses of data from its ongoing Phase 2 open-label AURORA and BEACON trials evaluating bitopertin in patients with EPP, (ii) additional data from its ongoing Phase 1b study of DISC-0974 in patients with MF anemia, and (iii) initial data from SAD cohorts in its ongoing Phase 1 study of DISC-3405.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Bitopertin in EPP</w:t>
      </w:r>
    </w:p>
    <w:p>
      <w:pPr>
        <w:spacing w:after="0" w:line="10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6"/>
          <w:szCs w:val="16"/>
          <w:color w:val="auto"/>
        </w:rPr>
        <w:t>The AURORA study is a randomized, double-blind, placebo-controlled Phase 2 clinical trial that enrolled 75 adult subjects with EPP. Subjects were randomized 1:1:1 to receive 20 mg of bitopertin (n=26), 60 mg of bitopertin (n=25), or placebo (n=24) once daily for 17 weeks. Key AURORA data presented include:</w:t>
      </w:r>
    </w:p>
    <w:p>
      <w:pPr>
        <w:spacing w:after="0" w:line="74" w:lineRule="exact"/>
        <w:rPr>
          <w:sz w:val="20"/>
          <w:szCs w:val="20"/>
          <w:color w:val="auto"/>
        </w:rPr>
      </w:pPr>
    </w:p>
    <w:p>
      <w:pPr>
        <w:ind w:left="860" w:hanging="388"/>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reductions in protoporphyrin IX (PPIX) (40% for the 60 mg group) compared to placebo</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Meaningful improvements on key aspects of EPP</w:t>
      </w:r>
    </w:p>
    <w:p>
      <w:pPr>
        <w:spacing w:after="0" w:line="111" w:lineRule="exact"/>
        <w:rPr>
          <w:rFonts w:ascii="Times New Roman" w:cs="Times New Roman" w:eastAsia="Times New Roman" w:hAnsi="Times New Roman"/>
          <w:sz w:val="16"/>
          <w:szCs w:val="16"/>
          <w:color w:val="auto"/>
        </w:rPr>
      </w:pPr>
    </w:p>
    <w:p>
      <w:pPr>
        <w:ind w:left="1240" w:hanging="283"/>
        <w:spacing w:after="0" w:line="276" w:lineRule="auto"/>
        <w:tabs>
          <w:tab w:leader="none" w:pos="12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Time-dependent improvement in light tolerance that was nominally significant compared to placebo in both the 20 mg (p=0.026) and 60 mg (p=0.013) dose groups</w:t>
      </w:r>
    </w:p>
    <w:p>
      <w:pPr>
        <w:spacing w:after="0" w:line="61" w:lineRule="exact"/>
        <w:rPr>
          <w:rFonts w:ascii="Times New Roman" w:cs="Times New Roman" w:eastAsia="Times New Roman" w:hAnsi="Times New Roman"/>
          <w:sz w:val="16"/>
          <w:szCs w:val="16"/>
          <w:color w:val="auto"/>
        </w:rPr>
      </w:pPr>
    </w:p>
    <w:p>
      <w:pPr>
        <w:ind w:left="1240" w:right="40" w:hanging="283"/>
        <w:spacing w:after="0" w:line="276" w:lineRule="auto"/>
        <w:tabs>
          <w:tab w:leader="none" w:pos="12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~2x improvement in light tolerance relative to baseline in both 20 mg and 60 mg dose groups as evaluated in a post-hoc longitudinal analysis</w:t>
      </w:r>
    </w:p>
    <w:p>
      <w:pPr>
        <w:spacing w:after="0" w:line="61" w:lineRule="exact"/>
        <w:rPr>
          <w:rFonts w:ascii="Times New Roman" w:cs="Times New Roman" w:eastAsia="Times New Roman" w:hAnsi="Times New Roman"/>
          <w:sz w:val="16"/>
          <w:szCs w:val="16"/>
          <w:color w:val="auto"/>
        </w:rPr>
      </w:pPr>
    </w:p>
    <w:p>
      <w:pPr>
        <w:ind w:left="1240" w:hanging="283"/>
        <w:spacing w:after="0" w:line="276" w:lineRule="auto"/>
        <w:tabs>
          <w:tab w:leader="none" w:pos="12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dose-dependent reductions in rate of phototoxic reactions compared to placebo, reaching statistical significance in the 60 mg dose group (75.3% reduction, p=0.011)</w:t>
      </w:r>
    </w:p>
    <w:p>
      <w:pPr>
        <w:spacing w:after="0" w:line="61" w:lineRule="exact"/>
        <w:rPr>
          <w:rFonts w:ascii="Times New Roman" w:cs="Times New Roman" w:eastAsia="Times New Roman" w:hAnsi="Times New Roman"/>
          <w:sz w:val="16"/>
          <w:szCs w:val="16"/>
          <w:color w:val="auto"/>
        </w:rPr>
      </w:pPr>
    </w:p>
    <w:p>
      <w:pPr>
        <w:ind w:left="1240" w:right="220" w:hanging="283"/>
        <w:spacing w:after="0" w:line="276" w:lineRule="auto"/>
        <w:tabs>
          <w:tab w:leader="none" w:pos="12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Dose-dependent improvements in Patient Global Impression of Change (PGIC), which were statistically significant for the 60 mg dose (p=0.022)</w:t>
      </w:r>
    </w:p>
    <w:p>
      <w:pPr>
        <w:spacing w:after="0" w:line="61" w:lineRule="exact"/>
        <w:rPr>
          <w:rFonts w:ascii="Times New Roman" w:cs="Times New Roman" w:eastAsia="Times New Roman" w:hAnsi="Times New Roman"/>
          <w:sz w:val="16"/>
          <w:szCs w:val="16"/>
          <w:color w:val="auto"/>
        </w:rPr>
      </w:pPr>
    </w:p>
    <w:p>
      <w:pPr>
        <w:ind w:left="860" w:right="12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Evaluation of the time course of phototoxic reactions and sunlight exposure showed greater treatment effect in the time period after PPIX nadir was reached, including elimination of observed phototoxic reactions in the 60 mg dose group</w:t>
      </w:r>
    </w:p>
    <w:p>
      <w:pPr>
        <w:spacing w:after="0" w:line="61" w:lineRule="exact"/>
        <w:rPr>
          <w:rFonts w:ascii="Times New Roman" w:cs="Times New Roman" w:eastAsia="Times New Roman" w:hAnsi="Times New Roman"/>
          <w:sz w:val="16"/>
          <w:szCs w:val="16"/>
          <w:color w:val="auto"/>
        </w:rPr>
      </w:pPr>
    </w:p>
    <w:p>
      <w:pPr>
        <w:ind w:left="860" w:right="6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PPIX reductions were associated with improvements in multiple light tolerance measures, including cumulative total time in light, average time in sunlight without pain, change from baseline in time to prodrome, as well as PGIC</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Bitopertin was generally well-tolerated with no reported serious adverse events (SAEs) to date</w:t>
      </w:r>
    </w:p>
    <w:p>
      <w:pPr>
        <w:spacing w:after="0" w:line="111" w:lineRule="exact"/>
        <w:rPr>
          <w:rFonts w:ascii="Times New Roman" w:cs="Times New Roman" w:eastAsia="Times New Roman" w:hAnsi="Times New Roman"/>
          <w:sz w:val="16"/>
          <w:szCs w:val="16"/>
          <w:color w:val="auto"/>
        </w:rPr>
      </w:pPr>
    </w:p>
    <w:p>
      <w:pPr>
        <w:ind w:left="860" w:right="46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also presented the full adult data set from BEACON, which was consistent with previously-presented results and demonstrated similar clinical activity to that observed in AURORA</w:t>
      </w:r>
    </w:p>
    <w:p>
      <w:pPr>
        <w:sectPr>
          <w:pgSz w:w="11900" w:h="16838" w:orient="portrait"/>
          <w:cols w:equalWidth="0" w:num="1">
            <w:col w:w="9640"/>
          </w:cols>
          <w:pgMar w:left="1120" w:top="275" w:right="11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DISC-0974 in MF</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Phase 1b/2a multi-center, open-label, ascending-dose clinical trial of DISC-0974 is enrolling patients with MF and severe anemia, including both transfusion and non-transfusion dependent patients. In the phase 1b dose-escalation phase, DISC-0974 is administered subcutaneously every 4 weeks for up to 6 treatments. Updated data from 34 patients with an April 29, 2024 cutoff include:</w:t>
      </w:r>
    </w:p>
    <w:p>
      <w:pPr>
        <w:spacing w:after="0" w:line="74" w:lineRule="exact"/>
        <w:rPr>
          <w:sz w:val="20"/>
          <w:szCs w:val="20"/>
          <w:color w:val="auto"/>
        </w:rPr>
      </w:pPr>
    </w:p>
    <w:p>
      <w:pPr>
        <w:ind w:left="860" w:hanging="38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and sustained reductions in hepcidin levels and increases in iron were observed in patients for several weeks after each dose</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hematologic response was observed across all patient types at 28-100 mg doses:</w:t>
      </w:r>
    </w:p>
    <w:p>
      <w:pPr>
        <w:spacing w:after="0" w:line="11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68.9% of non-transfusion dependent (nTD) participants demonstrated a hemoglobin response of ≥1.5 g/dL (n=29)</w:t>
      </w:r>
    </w:p>
    <w:p>
      <w:pPr>
        <w:spacing w:after="0" w:line="111" w:lineRule="exact"/>
        <w:rPr>
          <w:rFonts w:ascii="Times New Roman" w:cs="Times New Roman" w:eastAsia="Times New Roman" w:hAnsi="Times New Roman"/>
          <w:sz w:val="16"/>
          <w:szCs w:val="16"/>
          <w:color w:val="auto"/>
        </w:rPr>
      </w:pPr>
    </w:p>
    <w:p>
      <w:pPr>
        <w:ind w:left="1240" w:right="180" w:hanging="283"/>
        <w:spacing w:after="0" w:line="276" w:lineRule="auto"/>
        <w:tabs>
          <w:tab w:leader="none" w:pos="1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of nTD participants who have completed at least 16 weeks of treatment had a mean hemoglobin response of ≥1.5 g/dL above baseline sustained for at least 12 weeks (n=15)</w:t>
      </w:r>
    </w:p>
    <w:p>
      <w:pPr>
        <w:spacing w:after="0" w:line="6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of two evaluable transfusion dependent (TD) participants became transfusion independent (TI) by the end of the trial</w:t>
      </w:r>
    </w:p>
    <w:p>
      <w:pPr>
        <w:spacing w:after="0" w:line="11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Hemoglobin response of ≥1.5 g/dL above baseline was achieved in 6 of 10 participants with concomitant JAK inhibitor therapy</w:t>
      </w:r>
    </w:p>
    <w:p>
      <w:pPr>
        <w:spacing w:after="0" w:line="111" w:lineRule="exact"/>
        <w:rPr>
          <w:rFonts w:ascii="Times New Roman" w:cs="Times New Roman" w:eastAsia="Times New Roman" w:hAnsi="Times New Roman"/>
          <w:sz w:val="16"/>
          <w:szCs w:val="16"/>
          <w:color w:val="auto"/>
        </w:rPr>
      </w:pPr>
    </w:p>
    <w:p>
      <w:pPr>
        <w:ind w:left="1240" w:hanging="283"/>
        <w:spacing w:after="0" w:line="276" w:lineRule="auto"/>
        <w:tabs>
          <w:tab w:leader="none" w:pos="1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evaluable participants with baseline transfusion requirements demonstrated at least a 50% reduction in transfusions over a rolling 8-week window on trial compared to baseline (n=8)</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DISC-0974 was generally well-tolerated at all evaluated dose levels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DISC-3405</w:t>
      </w:r>
    </w:p>
    <w:p>
      <w:pPr>
        <w:spacing w:after="0" w:line="1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Initial data were also presented from the SAD portion of the Phase 1 clinical trial of DISC-3405 in healthy volunteers. In this trial, healthy males and females ages 18 to 65 were given a single dose of placebo (n=10) or DISC-3405 at 75 mg intravenously (IV) (n=6), 37.5 mg subcutaneously (SC) (n=6), 75 mg SC (n=6), 150 mg SC (n=6), or 300 mg SC (n=6). This initial data showed:</w:t>
      </w:r>
    </w:p>
    <w:p>
      <w:pPr>
        <w:spacing w:after="0" w:line="74" w:lineRule="exact"/>
        <w:rPr>
          <w:sz w:val="20"/>
          <w:szCs w:val="20"/>
          <w:color w:val="auto"/>
        </w:rPr>
      </w:pPr>
    </w:p>
    <w:p>
      <w:pPr>
        <w:ind w:left="860" w:hanging="38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meaningful dose-dependent increase in hepcidin and corresponding reduction in serum iron across all dose levels</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serum iron reduction in excess of 50% from baseline was achieved in the150- and 300-mg dose groups</w:t>
      </w:r>
    </w:p>
    <w:p>
      <w:pPr>
        <w:spacing w:after="0" w:line="111" w:lineRule="exact"/>
        <w:rPr>
          <w:rFonts w:ascii="Times New Roman" w:cs="Times New Roman" w:eastAsia="Times New Roman" w:hAnsi="Times New Roman"/>
          <w:sz w:val="16"/>
          <w:szCs w:val="16"/>
          <w:color w:val="auto"/>
        </w:rPr>
      </w:pPr>
    </w:p>
    <w:p>
      <w:pPr>
        <w:ind w:left="860" w:right="320" w:hanging="388"/>
        <w:spacing w:after="0" w:line="27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serum iron reduction in excess of 50% was sustained for at least 4 weeks for the 300-mg dose group, with meaningful reduction observed in selective hematological parameters (CHr, hemoglobin, and hematocrit)</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PK/PD profile is supportive of monthly subcutaneous dosing.</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DISC-3405 was generally well-tolerated with no SAEs, AEs higher than Grade 2, or AEs leading to trial withdrawal reported to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Bitopertin, DISC-0974, and DISC-3405 are investigational agents and are not approved for use as therapies in any jurisdiction worldwide.</w:t>
      </w:r>
    </w:p>
    <w:p>
      <w:pPr>
        <w:sectPr>
          <w:pgSz w:w="11900" w:h="16838" w:orient="portrait"/>
          <w:cols w:equalWidth="0" w:num="1">
            <w:col w:w="9640"/>
          </w:cols>
          <w:pgMar w:left="1120" w:top="275" w:right="1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51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(d) Exhibits</w:t>
            </w: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Description</w:t>
            </w:r>
          </w:p>
        </w:tc>
        <w:tc>
          <w:tcPr>
            <w:tcW w:w="45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4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20"/>
                <w:szCs w:val="20"/>
                <w:color w:val="auto"/>
              </w:rPr>
            </w:pPr>
          </w:p>
        </w:tc>
        <w:tc>
          <w:tcPr>
            <w:tcW w:w="5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8"/>
              </w:rPr>
              <w:t>Press release issued by Disc Medicine, Inc. on June 14, 2024, furnished herewith.</w:t>
            </w:r>
          </w:p>
        </w:tc>
        <w:tc>
          <w:tcPr>
            <w:tcW w:w="0" w:type="dxa"/>
            <w:vAlign w:val="bottom"/>
          </w:tcPr>
          <w:p>
            <w:pPr>
              <w:spacing w:after="0"/>
              <w:rPr>
                <w:sz w:val="1"/>
                <w:szCs w:val="1"/>
                <w:color w:val="auto"/>
              </w:rPr>
            </w:pPr>
          </w:p>
        </w:tc>
      </w:tr>
      <w:tr>
        <w:trPr>
          <w:trHeight w:val="264"/>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60" w:type="dxa"/>
            <w:vAlign w:val="bottom"/>
          </w:tcPr>
          <w:p>
            <w:pPr>
              <w:spacing w:after="0"/>
              <w:rPr>
                <w:sz w:val="22"/>
                <w:szCs w:val="22"/>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Disc Medicine, Inc. Investor Presentation, furnished herewith.</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339"/>
          </w:cols>
          <w:pgMar w:left="1120" w:top="275" w:right="1440"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r>
    </w:p>
    <w:bookmarkStart w:id="4" w:name="page5"/>
    <w:bookmarkEnd w:id="4"/>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194" w:lineRule="exact"/>
        <w:rPr>
          <w:sz w:val="20"/>
          <w:szCs w:val="20"/>
          <w:color w:val="auto"/>
        </w:rPr>
      </w:pPr>
    </w:p>
    <w:p>
      <w:pPr>
        <w:spacing w:after="0"/>
        <w:tabs>
          <w:tab w:leader="none" w:pos="4820" w:val="left"/>
          <w:tab w:leader="none" w:pos="5380" w:val="left"/>
        </w:tabs>
        <w:rPr>
          <w:sz w:val="20"/>
          <w:szCs w:val="20"/>
          <w:color w:val="auto"/>
        </w:rPr>
      </w:pPr>
      <w:r>
        <w:rPr>
          <w:rFonts w:ascii="Times New Roman" w:cs="Times New Roman" w:eastAsia="Times New Roman" w:hAnsi="Times New Roman"/>
          <w:sz w:val="16"/>
          <w:szCs w:val="16"/>
          <w:color w:val="auto"/>
        </w:rPr>
        <w:t>Date: June 14,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13970</wp:posOffset>
            </wp:positionV>
            <wp:extent cx="26962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6210" cy="7620"/>
                    </a:xfrm>
                    <a:prstGeom prst="rect">
                      <a:avLst/>
                    </a:prstGeom>
                    <a:noFill/>
                  </pic:spPr>
                </pic:pic>
              </a:graphicData>
            </a:graphic>
          </wp:anchor>
        </w:drawing>
      </w:r>
    </w:p>
    <w:p>
      <w:pPr>
        <w:spacing w:after="0" w:line="26"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Quisel, J.D., Ph.D.</w:t>
      </w:r>
    </w:p>
    <w:p>
      <w:pPr>
        <w:spacing w:after="0" w:line="5"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ectPr>
          <w:pgSz w:w="11900" w:h="16838" w:orient="portrait"/>
          <w:cols w:equalWidth="0" w:num="1">
            <w:col w:w="9339"/>
          </w:cols>
          <w:pgMar w:left="1120" w:top="275"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2012315" cy="337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12315" cy="33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Disc Medicine Presents Positive Clinical Data Across Portfolio at the European Hematology Association (EHA) 2024 Congress</w:t>
      </w:r>
    </w:p>
    <w:p>
      <w:pPr>
        <w:spacing w:after="0" w:line="112" w:lineRule="exact"/>
        <w:rPr>
          <w:sz w:val="20"/>
          <w:szCs w:val="20"/>
          <w:color w:val="auto"/>
        </w:rPr>
      </w:pPr>
    </w:p>
    <w:p>
      <w:pPr>
        <w:ind w:left="380" w:right="340" w:hanging="287"/>
        <w:spacing w:after="0" w:line="27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Updated analyses of data from AURORA and BEACON studies further demonstrate clinical activity of bitopertin across multiple measures of erythropoietic protoporphyria (EPP) and support development path forward</w:t>
      </w:r>
    </w:p>
    <w:p>
      <w:pPr>
        <w:spacing w:after="0" w:line="58" w:lineRule="exact"/>
        <w:rPr>
          <w:rFonts w:ascii="Times New Roman" w:cs="Times New Roman" w:eastAsia="Times New Roman" w:hAnsi="Times New Roman"/>
          <w:sz w:val="16"/>
          <w:szCs w:val="16"/>
          <w:color w:val="auto"/>
        </w:rPr>
      </w:pPr>
    </w:p>
    <w:p>
      <w:pPr>
        <w:ind w:left="380" w:right="560" w:hanging="287"/>
        <w:spacing w:after="0" w:line="27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Additional data from the ongoing Phase 1b trial of DISC-0974 in myelofibrosis (MF) patients continued to demonstrate greater than 60% hematologic response rates, with durable increases in hemoglobin levels and reductions in transfusion burden</w:t>
      </w:r>
    </w:p>
    <w:p>
      <w:pPr>
        <w:spacing w:after="0" w:line="58" w:lineRule="exact"/>
        <w:rPr>
          <w:rFonts w:ascii="Times New Roman" w:cs="Times New Roman" w:eastAsia="Times New Roman" w:hAnsi="Times New Roman"/>
          <w:sz w:val="16"/>
          <w:szCs w:val="16"/>
          <w:color w:val="auto"/>
        </w:rPr>
      </w:pPr>
    </w:p>
    <w:p>
      <w:pPr>
        <w:ind w:left="380" w:right="320" w:hanging="287"/>
        <w:spacing w:after="0" w:line="27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Positive data from initial single-ascending dose (SAD) cohorts of a Phase 1 trial of DISC-3405 in healthy volunteers demonstrated sustained, meaningful induction of hepcidin and &gt;50% suppression of mean serum iron</w:t>
      </w:r>
    </w:p>
    <w:p>
      <w:pPr>
        <w:spacing w:after="0" w:line="14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WATERTOWN, Mass. (June 14, 2024) – Disc Medicine, Inc. (NASDAQ:IRON), a clinical-stage biopharmaceutical company focused on the discovery, development, and commercialization of novel treatments for patients suffering from serious hematologic diseases, today announced positive additional data for bitopertin in erythropoietic protoporphyria (EPP), including additional analyses of AURORA data that further demonstrated the clinical activity of bitopertin and highlighted meaningful improvements in light tolerance, phototoxic reactions, and quality of life. Additionally, Disc shared updated data from a Phase 1b trial of DISC-0974 in MF anemia which demonstrated durable increases in hemoglobin and reduced transfusion burden in a majority of evaluable patients. Disc also shared initial SAD data from a Phase 1 healthy volunteer trial of DISC-3405 that provided proof of mechanism, showing that the drug has the potential to provide deep and sustained increases in hepcidin and reductions in iron. The data were presented at the European Hematology Association (EHA) 2024 Congress.</w:t>
      </w:r>
    </w:p>
    <w:p>
      <w:pPr>
        <w:spacing w:after="0" w:line="16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“This has been a tremendously exciting EHA meeting for Disc, where we had the opportunity to present data from ongoing clinical studies across our entire portfolio, showcasing the activity and therapeutic potential of each of our programs,” said John Quisel, J.D., Ph.D., President and Chief Executive Officer of Disc. “At this meeting, we shared a deeper analysis of data from AURORA that underscores our confidence in bitopertin’s potential in EPP and supports a development path forward. We also provided an update from our study of DISC-0974 in anemia of myelofibrosis, which continues to demonstrate promising hematologic activity similar to what we showed at ASH. And, finally, we’re excited to share for the first time, data from our third program, DISC-3405, in healthy volunteers, demonstrating clinical proof-of-mechanism as an iron restriction agent with the potential for a differentiated profile.”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Bitopertin in EPP</w:t>
      </w:r>
    </w:p>
    <w:p>
      <w:pPr>
        <w:spacing w:after="0" w:line="10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6"/>
          <w:szCs w:val="16"/>
          <w:color w:val="auto"/>
        </w:rPr>
        <w:t>The AURORA study is a randomized, double-blind, placebo-controlled Phase 2 clinical trial that enrolled 75 adult subjects with EPP. Subjects were randomized 1:1:1 to receive 20 mg of bitopertin (n=26), 60 mg of bitopertin (n=25), or placebo (n=24) once daily for 17 weeks. Key AURORA data presented include:</w:t>
      </w:r>
    </w:p>
    <w:p>
      <w:pPr>
        <w:spacing w:after="0" w:line="74" w:lineRule="exact"/>
        <w:rPr>
          <w:sz w:val="20"/>
          <w:szCs w:val="20"/>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reductions in protoporphyrin IX (PPIX) (40% for the 60 mg group) compared to placebo</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Meaningful improvements on key aspects of EPP</w:t>
      </w:r>
    </w:p>
    <w:p>
      <w:pPr>
        <w:spacing w:after="0" w:line="111" w:lineRule="exact"/>
        <w:rPr>
          <w:rFonts w:ascii="Times New Roman" w:cs="Times New Roman" w:eastAsia="Times New Roman" w:hAnsi="Times New Roman"/>
          <w:sz w:val="16"/>
          <w:szCs w:val="16"/>
          <w:color w:val="auto"/>
        </w:rPr>
      </w:pPr>
    </w:p>
    <w:p>
      <w:pPr>
        <w:ind w:left="1240" w:hanging="283"/>
        <w:spacing w:after="0" w:line="276" w:lineRule="auto"/>
        <w:tabs>
          <w:tab w:leader="none" w:pos="12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Time-dependent improvement in light tolerance that was nominally significant compared to placebo in both the 20 mg (p=0.026) and 60 mg (p=0.013) dose groups</w:t>
      </w:r>
    </w:p>
    <w:p>
      <w:pPr>
        <w:spacing w:after="0" w:line="61" w:lineRule="exact"/>
        <w:rPr>
          <w:rFonts w:ascii="Times New Roman" w:cs="Times New Roman" w:eastAsia="Times New Roman" w:hAnsi="Times New Roman"/>
          <w:sz w:val="16"/>
          <w:szCs w:val="16"/>
          <w:color w:val="auto"/>
        </w:rPr>
      </w:pPr>
    </w:p>
    <w:p>
      <w:pPr>
        <w:ind w:left="1240" w:right="40" w:hanging="283"/>
        <w:spacing w:after="0" w:line="276" w:lineRule="auto"/>
        <w:tabs>
          <w:tab w:leader="none" w:pos="12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~2x improvement in light tolerance relative to baseline in both 20 mg and 60 mg dose groups as evaluated in a post-hoc longitudinal analysis</w:t>
      </w:r>
    </w:p>
    <w:p>
      <w:pPr>
        <w:sectPr>
          <w:pgSz w:w="11900" w:h="16838" w:orient="portrait"/>
          <w:cols w:equalWidth="0" w:num="1">
            <w:col w:w="9640"/>
          </w:cols>
          <w:pgMar w:left="1120" w:top="121" w:right="1139" w:bottom="1440" w:gutter="0" w:footer="0" w:header="0"/>
        </w:sectPr>
      </w:pPr>
    </w:p>
    <w:bookmarkStart w:id="6" w:name="page7"/>
    <w:bookmarkEnd w:id="6"/>
    <w:p>
      <w:pPr>
        <w:ind w:left="1240" w:hanging="283"/>
        <w:spacing w:after="0" w:line="276"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2012315" cy="337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12315" cy="337820"/>
                    </a:xfrm>
                    <a:prstGeom prst="rect">
                      <a:avLst/>
                    </a:prstGeom>
                    <a:noFill/>
                  </pic:spPr>
                </pic:pic>
              </a:graphicData>
            </a:graphic>
          </wp:anchor>
        </w:drawing>
        <w:t>Substantial, dose-dependent reductions in rate of phototoxic reactions compared to placebo, reaching statistical significance in the 60 mg dose group (75.3% reduction, p=0.011)</w:t>
      </w:r>
    </w:p>
    <w:p>
      <w:pPr>
        <w:spacing w:after="0" w:line="61" w:lineRule="exact"/>
        <w:rPr>
          <w:rFonts w:ascii="Times New Roman" w:cs="Times New Roman" w:eastAsia="Times New Roman" w:hAnsi="Times New Roman"/>
          <w:sz w:val="16"/>
          <w:szCs w:val="16"/>
          <w:color w:val="auto"/>
        </w:rPr>
      </w:pPr>
    </w:p>
    <w:p>
      <w:pPr>
        <w:ind w:left="1240" w:right="220" w:hanging="283"/>
        <w:spacing w:after="0" w:line="276"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Dose-dependent improvements in Patient Global Impression of Change (PGIC), which were statistically significant for the 60 mg dose (p=0.022)</w:t>
      </w:r>
    </w:p>
    <w:p>
      <w:pPr>
        <w:spacing w:after="0" w:line="61" w:lineRule="exact"/>
        <w:rPr>
          <w:rFonts w:ascii="Times New Roman" w:cs="Times New Roman" w:eastAsia="Times New Roman" w:hAnsi="Times New Roman"/>
          <w:sz w:val="16"/>
          <w:szCs w:val="16"/>
          <w:color w:val="auto"/>
        </w:rPr>
      </w:pPr>
    </w:p>
    <w:p>
      <w:pPr>
        <w:ind w:left="860" w:right="12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Evaluation of the time course of phototoxic reactions and sunlight exposure showed greater treatment effect in the time period after PPIX nadir was reached, including elimination of observed phototoxic reactions in the 60 mg dose group</w:t>
      </w:r>
    </w:p>
    <w:p>
      <w:pPr>
        <w:spacing w:after="0" w:line="61" w:lineRule="exact"/>
        <w:rPr>
          <w:rFonts w:ascii="Times New Roman" w:cs="Times New Roman" w:eastAsia="Times New Roman" w:hAnsi="Times New Roman"/>
          <w:sz w:val="16"/>
          <w:szCs w:val="16"/>
          <w:color w:val="auto"/>
        </w:rPr>
      </w:pPr>
    </w:p>
    <w:p>
      <w:pPr>
        <w:ind w:left="860" w:right="6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PPIX reductions were associated with improvements in multiple light tolerance measures, including cumulative total time in light, average time in sunlight without pain, change from baseline in time to prodrome, as well as PGIC</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Bitopertin was generally well-tolerated with no reported serious adverse events (SAEs) to date</w:t>
      </w:r>
    </w:p>
    <w:p>
      <w:pPr>
        <w:spacing w:after="0" w:line="111" w:lineRule="exact"/>
        <w:rPr>
          <w:rFonts w:ascii="Times New Roman" w:cs="Times New Roman" w:eastAsia="Times New Roman" w:hAnsi="Times New Roman"/>
          <w:sz w:val="16"/>
          <w:szCs w:val="16"/>
          <w:color w:val="auto"/>
        </w:rPr>
      </w:pPr>
    </w:p>
    <w:p>
      <w:pPr>
        <w:ind w:left="860" w:right="46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also presented the full adult data set from BEACON, which was consistent with previously-presented results and demonstrated similar clinical activity to that observed in AURORA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DISC-0974 in MF</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Phase 1b/2a multi-center, open-label, ascending-dose clinical trial of DISC-0974 is enrolling patients with MF and severe anemia, including both transfusion and non-transfusion dependent patients. In the phase 1b dose-escalation phase, DISC-0974 is administered subcutaneously every 4 weeks for up to 6 treatments. Updated data from 34 patients with an April 29, 2024 cutoff include:</w:t>
      </w:r>
    </w:p>
    <w:p>
      <w:pPr>
        <w:spacing w:after="0" w:line="74" w:lineRule="exact"/>
        <w:rPr>
          <w:sz w:val="20"/>
          <w:szCs w:val="20"/>
          <w:color w:val="auto"/>
        </w:rPr>
      </w:pPr>
    </w:p>
    <w:p>
      <w:pPr>
        <w:ind w:left="860" w:hanging="38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and sustained reductions in hepcidin levels and increases in iron were observed in patients for several weeks after each dose</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hematologic response was observed across all patient types at 28-100 mg doses:</w:t>
      </w:r>
    </w:p>
    <w:p>
      <w:pPr>
        <w:spacing w:after="0" w:line="11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68.9% of non-transfusion dependent (nTD) participants demonstrated a hemoglobin response of ≥1.5 g/dL (n=29)</w:t>
      </w:r>
    </w:p>
    <w:p>
      <w:pPr>
        <w:spacing w:after="0" w:line="111" w:lineRule="exact"/>
        <w:rPr>
          <w:rFonts w:ascii="Times New Roman" w:cs="Times New Roman" w:eastAsia="Times New Roman" w:hAnsi="Times New Roman"/>
          <w:sz w:val="16"/>
          <w:szCs w:val="16"/>
          <w:color w:val="auto"/>
        </w:rPr>
      </w:pPr>
    </w:p>
    <w:p>
      <w:pPr>
        <w:ind w:left="1240" w:right="180" w:hanging="283"/>
        <w:spacing w:after="0" w:line="276" w:lineRule="auto"/>
        <w:tabs>
          <w:tab w:leader="none" w:pos="12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of nTD participants who have completed at least 16 weeks of treatment had a mean hemoglobin response of ≥1.5 g/dL above baseline sustained for at least 12 weeks (n=15)</w:t>
      </w:r>
    </w:p>
    <w:p>
      <w:pPr>
        <w:spacing w:after="0" w:line="6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of two evaluable transfusion dependent (TD) participants became transfusion independent (TI) by the end of the trial</w:t>
      </w:r>
    </w:p>
    <w:p>
      <w:pPr>
        <w:spacing w:after="0" w:line="11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Hemoglobin response of ≥1.5 g/dL above baseline was achieved in 6 of 10 participants with concomitant JAK inhibitor therapy</w:t>
      </w:r>
    </w:p>
    <w:p>
      <w:pPr>
        <w:spacing w:after="0" w:line="111" w:lineRule="exact"/>
        <w:rPr>
          <w:rFonts w:ascii="Times New Roman" w:cs="Times New Roman" w:eastAsia="Times New Roman" w:hAnsi="Times New Roman"/>
          <w:sz w:val="16"/>
          <w:szCs w:val="16"/>
          <w:color w:val="auto"/>
        </w:rPr>
      </w:pPr>
    </w:p>
    <w:p>
      <w:pPr>
        <w:ind w:left="1240" w:hanging="283"/>
        <w:spacing w:after="0" w:line="276" w:lineRule="auto"/>
        <w:tabs>
          <w:tab w:leader="none" w:pos="12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evaluable participants with baseline transfusion requirements demonstrated at least a 50% reduction in transfusions over a rolling 8-week window on trial compared to baseline (n=8)</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DISC-0974 was generally well-tolerated at all evaluated dose levels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DISC-3405</w:t>
      </w:r>
    </w:p>
    <w:p>
      <w:pPr>
        <w:spacing w:after="0" w:line="1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Initial data were also presented from the SAD portion of the Phase 1 clinical trial of DISC-3405 in healthy volunteers. In this trial, healthy males and females ages 18 to 65 were given a single dose of placebo (n=10) or DISC-3405 at 75 mg intravenously (IV) (n=6), 37.5 mg subcutaneously (SC) (n=6), 75 mg SC (n=6), 150 mg SC (n=6), or 300 mg SC (n=6). This initial data showed:</w:t>
      </w:r>
    </w:p>
    <w:p>
      <w:pPr>
        <w:spacing w:after="0" w:line="74" w:lineRule="exact"/>
        <w:rPr>
          <w:sz w:val="20"/>
          <w:szCs w:val="20"/>
          <w:color w:val="auto"/>
        </w:rPr>
      </w:pPr>
    </w:p>
    <w:p>
      <w:pPr>
        <w:ind w:left="860" w:hanging="3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meaningful dose-dependent increase in hepcidin and corresponding reduction in serum iron across all dose levels</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serum iron reduction in excess of 50% from baseline was achieved in the150- and 300-mg dose groups</w:t>
      </w:r>
    </w:p>
    <w:p>
      <w:pPr>
        <w:sectPr>
          <w:pgSz w:w="11900" w:h="16838" w:orient="portrait"/>
          <w:cols w:equalWidth="0" w:num="1">
            <w:col w:w="9640"/>
          </w:cols>
          <w:pgMar w:left="1120" w:top="915" w:right="1139" w:bottom="1440" w:gutter="0" w:footer="0" w:header="0"/>
        </w:sectPr>
      </w:pPr>
    </w:p>
    <w:bookmarkStart w:id="7" w:name="page8"/>
    <w:bookmarkEnd w:id="7"/>
    <w:p>
      <w:pPr>
        <w:ind w:left="860" w:right="320" w:hanging="388"/>
        <w:spacing w:after="0" w:line="276" w:lineRule="auto"/>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2012315" cy="337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12315" cy="337820"/>
                    </a:xfrm>
                    <a:prstGeom prst="rect">
                      <a:avLst/>
                    </a:prstGeom>
                    <a:noFill/>
                  </pic:spPr>
                </pic:pic>
              </a:graphicData>
            </a:graphic>
          </wp:anchor>
        </w:drawing>
        <w:t>Mean serum iron reduction in excess of 50% was sustained for at least 4 weeks for the 300-mg dose group, with meaningful reduction observed in selective hematological parameters (CHr, hemoglobin, and hematocrit)</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PK/PD profile is supportive of monthly subcutaneous dosing.</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DISC-3405 was generally well-tolerated with no SAEs, AEs higher than Grade 2, or AEs leading to trial withdrawal reported to date</w:t>
      </w:r>
    </w:p>
    <w:p>
      <w:pPr>
        <w:spacing w:after="0" w:line="194" w:lineRule="exact"/>
        <w:rPr>
          <w:sz w:val="20"/>
          <w:szCs w:val="20"/>
          <w:color w:val="auto"/>
        </w:rPr>
      </w:pPr>
    </w:p>
    <w:p>
      <w:pPr>
        <w:ind w:right="840"/>
        <w:spacing w:after="0" w:line="211" w:lineRule="auto"/>
        <w:rPr>
          <w:sz w:val="20"/>
          <w:szCs w:val="20"/>
          <w:color w:val="auto"/>
        </w:rPr>
      </w:pPr>
      <w:r>
        <w:rPr>
          <w:rFonts w:ascii="Times New Roman" w:cs="Times New Roman" w:eastAsia="Times New Roman" w:hAnsi="Times New Roman"/>
          <w:sz w:val="16"/>
          <w:szCs w:val="16"/>
          <w:color w:val="auto"/>
        </w:rPr>
        <w:t>Management will host a call to review the presented data on Friday, June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at 8:00 am ET. Please register for the event on the Events and Presentations page of Disc’s website (https://ir.discmedicine.com/).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Bitopertin, DISC-0974, and DISC-3405 are investigational agents and are not approved for use as therapies in any jurisdiction worldwide.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Disc Medicine</w:t>
      </w:r>
    </w:p>
    <w:p>
      <w:pPr>
        <w:spacing w:after="0" w:line="1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 Medicine Cautionary Statement Regarding Forward-Looking Statements</w:t>
      </w:r>
    </w:p>
    <w:p>
      <w:pPr>
        <w:spacing w:after="0" w:line="1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trials of bitopertin and the results thereof, its Phase 1b/2 clinical trial of DISC-0974 in patients with MF and NDD-CKD patients with anemia, its initial SAD data in its Phase 1 clinical trial of DISC-3405 in healthy volunteers; and projected timelines for the initiation and completion of its clinical trials, anticipated timing of release of data, and other clinical activities.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7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w:t>
      </w:r>
    </w:p>
    <w:p>
      <w:pPr>
        <w:sectPr>
          <w:pgSz w:w="11900" w:h="16838" w:orient="portrait"/>
          <w:cols w:equalWidth="0" w:num="1">
            <w:col w:w="9640"/>
          </w:cols>
          <w:pgMar w:left="1120" w:top="915" w:right="113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2012315" cy="337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12315" cy="337820"/>
                    </a:xfrm>
                    <a:prstGeom prst="rect">
                      <a:avLst/>
                    </a:prstGeom>
                    <a:noFill/>
                  </pic:spPr>
                </pic:pic>
              </a:graphicData>
            </a:graphic>
          </wp:anchor>
        </w:drawing>
        <w:t>predictive of future results in connection with future studies or clinical trials and may not support further development and marketing approval; the other risks and uncertainties described in the “Risk Factors” section of our Quarterly Report for the quarter ended March 31, 2024, and other documents filed by Disc from time to time with the Securities and Exchange Commission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Peg Rusconi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Verge Scientific 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prusconi@vergescientific.com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Christina Tartaglia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Stern 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christina.tartaglia@sternir.com</w:t>
      </w:r>
    </w:p>
    <w:p>
      <w:pPr>
        <w:sectPr>
          <w:pgSz w:w="11900" w:h="16838" w:orient="portrait"/>
          <w:cols w:equalWidth="0" w:num="1">
            <w:col w:w="9620"/>
          </w:cols>
          <w:pgMar w:left="1120" w:top="915" w:right="1159"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2024-06-14T06:40:17Z</dcterms:created>
  <dcterms:modified xsi:type="dcterms:W3CDTF">2024-06-14T06:40:17Z</dcterms:modified>
</cp:coreProperties>
</file>