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5, 2023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333-269272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S-3</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 NO: 333-269272</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John Quisel, J.D.,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674-9274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49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William D. Collins, Esq.</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8"/>
              </w:rPr>
              <w:t>Rahul Khara</w:t>
            </w:r>
          </w:p>
        </w:tc>
      </w:tr>
      <w:tr>
        <w:trPr>
          <w:trHeight w:val="216"/>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Stephanie Richards, Esq.</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Alicia M. Tschirhart, Esq.</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Disc Medicine, Inc.</w:t>
            </w:r>
          </w:p>
        </w:tc>
      </w:tr>
      <w:tr>
        <w:trPr>
          <w:trHeight w:val="216"/>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Goodwin Procter LLP</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321 Arsenal Street, Suite 101</w:t>
            </w:r>
          </w:p>
        </w:tc>
      </w:tr>
      <w:tr>
        <w:trPr>
          <w:trHeight w:val="216"/>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100 Northern Avenue</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rPr>
              <w:t>Watertown, MA 02472</w:t>
            </w:r>
          </w:p>
        </w:tc>
      </w:tr>
      <w:tr>
        <w:trPr>
          <w:trHeight w:val="216"/>
        </w:trPr>
        <w:tc>
          <w:tcPr>
            <w:tcW w:w="26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rPr>
              <w:t>Boston, MA 02210</w:t>
            </w:r>
          </w:p>
        </w:tc>
        <w:tc>
          <w:tcPr>
            <w:tcW w:w="4980" w:type="dxa"/>
            <w:vAlign w:val="bottom"/>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(617) 674-9274</w:t>
            </w:r>
          </w:p>
        </w:tc>
      </w:tr>
      <w:tr>
        <w:trPr>
          <w:trHeight w:val="238"/>
        </w:trPr>
        <w:tc>
          <w:tcPr>
            <w:tcW w:w="268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(617) 570-1000</w:t>
            </w:r>
          </w:p>
        </w:tc>
        <w:tc>
          <w:tcPr>
            <w:tcW w:w="49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From time to time after this registration statement becomes effective.</w:t>
      </w:r>
    </w:p>
    <w:p>
      <w:pPr>
        <w:spacing w:after="0" w:line="229"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55" w:gutter="0" w:footer="0" w:header="0"/>
        </w:sectPr>
      </w:pPr>
    </w:p>
    <w:bookmarkStart w:id="1" w:name="page2"/>
    <w:bookmarkEnd w:id="1"/>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ind w:right="680"/>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 AND DEREGISTRATION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18, 2023, Disc Medicine, Inc., a Delaware corporation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filed a registration statement on Form S-3 (Registration</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No. 333-269272)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or the SEC, to register for sale up to $300,000,000 in aggregate principal amount of an indeterminate of the Registrant’s common stock, preferred stock, debt securities, warrants and/or units. The Registration Statement was declared effective by the SEC on January 24, 2023. The Registrant is filing this Post-Effective Amendment No. 1 to withdraw and remove from registration the remaining securities that were registered on the Registration Statement.</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Registrant has terminated any and all offerings of its securities pursuant to the Registration Statement. In accordance with undertakings made by the Registrant in the Registration Statement to remove from registration, by means of a post-effective amendment, any of the securities registered under the Registration Statement that remain unsold at the termination of the offerings, the Registrant hereby removes from registration all securities of the Registrant registered but unsold under the Registration Statement, if any, as of the date hereof. The Registration Statement is hereby amended, as appropriate, to reflect the deregistration of such securities.</w:t>
      </w:r>
    </w:p>
    <w:p>
      <w:pPr>
        <w:sectPr>
          <w:pgSz w:w="11900" w:h="16838" w:orient="portrait"/>
          <w:cols w:equalWidth="0" w:num="1">
            <w:col w:w="10980"/>
          </w:cols>
          <w:pgMar w:left="440" w:top="266" w:right="4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S-3 and has duly caused this Post-Effective Amendment No. 1 to the Registration Statement to be signed on its behalf by the undersigned, thereunto duly authorized, in the City of Watertown, State of Massachusetts, on December 5, 2023.</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Name: John Quisel, J.D., Ph.D.</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 other person is required to sign this Post-Effective Amendment No. 1 in reliance upon Rule 478 under the Securities Act of 1933, as amended.</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2023-12-05T15:59:32Z</dcterms:created>
  <dcterms:modified xsi:type="dcterms:W3CDTF">2023-12-05T15:59:32Z</dcterms:modified>
</cp:coreProperties>
</file>