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156210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GEMINI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144780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001-39438</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85-1612845</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9" w:lineRule="exact"/>
        <w:rPr>
          <w:sz w:val="24"/>
          <w:szCs w:val="24"/>
          <w:color w:val="auto"/>
        </w:rPr>
      </w:pPr>
    </w:p>
    <w:p>
      <w:pPr>
        <w:sectPr>
          <w:pgSz w:w="11900" w:h="16838" w:orient="portrait"/>
          <w:cols w:equalWidth="0" w:num="3">
            <w:col w:w="3841" w:space="720"/>
            <w:col w:w="2340" w:space="720"/>
            <w:col w:w="2020"/>
          </w:cols>
          <w:pgMar w:left="1119" w:top="404" w:right="1139" w:bottom="1440" w:gutter="0" w:footer="0" w:header="0"/>
          <w:type w:val="continuous"/>
        </w:sectPr>
      </w:pPr>
    </w:p>
    <w:p>
      <w:pPr>
        <w:ind w:left="981"/>
        <w:spacing w:after="0"/>
        <w:rPr>
          <w:sz w:val="20"/>
          <w:szCs w:val="20"/>
          <w:color w:val="auto"/>
        </w:rPr>
      </w:pPr>
      <w:r>
        <w:rPr>
          <w:rFonts w:ascii="Times New Roman" w:cs="Times New Roman" w:eastAsia="Times New Roman" w:hAnsi="Times New Roman"/>
          <w:sz w:val="15"/>
          <w:szCs w:val="15"/>
          <w:b w:val="1"/>
          <w:bCs w:val="1"/>
          <w:color w:val="auto"/>
        </w:rPr>
        <w:t>297 Boston Post Road #248, Wayland, MA</w:t>
      </w:r>
      <w:r>
        <w:rPr>
          <w:rFonts w:ascii="Times New Roman" w:cs="Times New Roman" w:eastAsia="Times New Roman" w:hAnsi="Times New Roman"/>
          <w:sz w:val="10"/>
          <w:szCs w:val="10"/>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01778</w:t>
      </w:r>
    </w:p>
    <w:p>
      <w:pPr>
        <w:spacing w:after="0" w:line="36" w:lineRule="exact"/>
        <w:rPr>
          <w:sz w:val="24"/>
          <w:szCs w:val="24"/>
          <w:color w:val="auto"/>
        </w:rPr>
      </w:pPr>
    </w:p>
    <w:p>
      <w:pPr>
        <w:sectPr>
          <w:pgSz w:w="11900" w:h="16838" w:orient="portrait"/>
          <w:cols w:equalWidth="0" w:num="2">
            <w:col w:w="6401" w:space="720"/>
            <w:col w:w="2520"/>
          </w:cols>
          <w:pgMar w:left="1119" w:top="404"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91" w:lineRule="exact"/>
        <w:rPr>
          <w:sz w:val="24"/>
          <w:szCs w:val="24"/>
          <w:color w:val="auto"/>
        </w:rPr>
      </w:pPr>
    </w:p>
    <w:p>
      <w:pPr>
        <w:sectPr>
          <w:pgSz w:w="11900" w:h="16838" w:orient="portrait"/>
          <w:cols w:equalWidth="0" w:num="2">
            <w:col w:w="6301" w:space="720"/>
            <w:col w:w="2620"/>
          </w:cols>
          <w:pgMar w:left="1119" w:top="404"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401-4400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133985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17" w:lineRule="exact"/>
        <w:rPr>
          <w:sz w:val="24"/>
          <w:szCs w:val="24"/>
          <w:color w:val="auto"/>
        </w:rPr>
      </w:pPr>
    </w:p>
    <w:p>
      <w:pPr>
        <w:ind w:left="1" w:right="20" w:firstLine="386"/>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20" w:hanging="1"/>
        <w:spacing w:after="0" w:line="413" w:lineRule="auto"/>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0"/>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GMTX</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Global Market</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7701"/>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71" w:lineRule="exact"/>
        <w:rPr>
          <w:sz w:val="24"/>
          <w:szCs w:val="24"/>
          <w:color w:val="auto"/>
        </w:rPr>
      </w:pPr>
    </w:p>
    <w:p>
      <w:pPr>
        <w:ind w:left="1"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56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13" w:lineRule="exact"/>
        <w:rPr>
          <w:sz w:val="24"/>
          <w:szCs w:val="24"/>
          <w:color w:val="auto"/>
        </w:rPr>
      </w:pPr>
    </w:p>
    <w:p>
      <w:pPr>
        <w:ind w:left="181" w:right="320" w:hanging="181"/>
        <w:spacing w:after="0" w:line="206" w:lineRule="auto"/>
        <w:tabs>
          <w:tab w:leader="none" w:pos="181"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127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 Agreement</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On August 9, 2022, Gemini Therapeutics, Inc., a Delaware corporation (“</w:t>
      </w:r>
      <w:r>
        <w:rPr>
          <w:rFonts w:ascii="Times New Roman" w:cs="Times New Roman" w:eastAsia="Times New Roman" w:hAnsi="Times New Roman"/>
          <w:sz w:val="16"/>
          <w:szCs w:val="16"/>
          <w:u w:val="single" w:color="auto"/>
          <w:color w:val="auto"/>
        </w:rPr>
        <w:t>Gemini</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Gemstone Merger Sub, Inc., a Delaware corporation and a wholly owned subsidiary of Gemini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Disc Medicine, Inc., a Delaware corporation (“</w:t>
      </w:r>
      <w:r>
        <w:rPr>
          <w:rFonts w:ascii="Times New Roman" w:cs="Times New Roman" w:eastAsia="Times New Roman" w:hAnsi="Times New Roman"/>
          <w:sz w:val="16"/>
          <w:szCs w:val="16"/>
          <w:u w:val="single" w:color="auto"/>
          <w:color w:val="auto"/>
        </w:rPr>
        <w:t>Disc</w:t>
      </w:r>
      <w:r>
        <w:rPr>
          <w:rFonts w:ascii="Times New Roman" w:cs="Times New Roman" w:eastAsia="Times New Roman" w:hAnsi="Times New Roman"/>
          <w:sz w:val="16"/>
          <w:szCs w:val="16"/>
          <w:color w:val="auto"/>
        </w:rPr>
        <w:t>”), entered into an Agreement and Plan of Merger and Reorganization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The Merger is intended to qualify for federal income tax purposes as a tax-free reorganization under the provisions of Section 368(a) of the Internal Revenue Code of 1986, as amended.</w:t>
      </w:r>
    </w:p>
    <w:p>
      <w:pPr>
        <w:spacing w:after="0" w:line="16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6"/>
          <w:szCs w:val="16"/>
          <w:color w:val="auto"/>
        </w:rPr>
        <w:t>Subject to the terms and conditions of the Merger Agreement, at the closing of the Merger, (a) each then outstanding share of Disc common stock (including shares of Disc common stock issued upon conversion of Disc preferred stock and shares of Disc common stock issued in the financing transaction described below) will be converted into the right to receive a number of shares of Gemini common stock calculated in accordance with the Merger Agreement (the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and (b) each then outstanding Disc stock option to purchase Disc common stock will be assumed by Gemini, subject to adjustment as set forth in the Merger Agreement. Under the terms of the Merger Agreement, prior to the closing of the transaction,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may take actions to effect vesting treatment of equity awards of the Company in accordance with the terms of underlying equity award agreements or otherwise in accordance with the terms of the Merger Agreement.</w:t>
      </w:r>
    </w:p>
    <w:p>
      <w:pPr>
        <w:spacing w:after="0" w:line="16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Under the Exchange Ratio formula in the Merger Agreement, upon the closing of the Merger, on a pro forma basis and based upon the number of shares of Company common stock expected to be issued in the Merger, pre-Merger Gemini shareholders will own approximately 28% of the combined company and pre-Merger Disc stockholders will own approximately 72% of the combined company, before giving effect to the concurrent financing transaction described below. For purposes of calculating the Exchange Ratio, shares of Gemini common stock underlying Gemini stock options outstanding as of immediately prior to the closing of the Merger with an exercise price per share of less than or equal to $4.50 (as adjusted for the reverse stock split described below) will be deemed to be outstanding and all shares of Disc common stock underlying outstanding Disc stock options, warrants and other derivative securities will be deemed to be outstanding. The Exchange Ratio will be adjusted to the extent that Gemini’s net cash at closing is less than $87.4 million or greater than $96.6 million and based on the amount of the financing transaction described below, as further described in the Merger Agreement.</w:t>
      </w:r>
    </w:p>
    <w:p>
      <w:pPr>
        <w:spacing w:after="0" w:line="167"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6"/>
          <w:szCs w:val="16"/>
          <w:color w:val="auto"/>
        </w:rPr>
        <w:t>In connection with the Merger, Gemini will seek the approval of its stockholders to, among other things, (a) issue the shares of Gemini common stock issuable in connection with the Merger under the rules of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and (b) amend its certificate of incorporation to effect a reverse split of Gemini common stock, as determined by the Gemini board of directors prior to the closing of the Merger (the “</w:t>
      </w:r>
      <w:r>
        <w:rPr>
          <w:rFonts w:ascii="Times New Roman" w:cs="Times New Roman" w:eastAsia="Times New Roman" w:hAnsi="Times New Roman"/>
          <w:sz w:val="16"/>
          <w:szCs w:val="16"/>
          <w:u w:val="single" w:color="auto"/>
          <w:color w:val="auto"/>
        </w:rPr>
        <w:t>Gemini Voting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Proposals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Each of Gemini and Disc has agreed to customary representations, warranties and covenants in the Merger Agreement, including, among others, covenants relating to (1) using commercially reasonable efforts to obtain the requisite approval of its stockholders, (2) non-solicitation of alternative acquisition proposals, (3) the conduct of their respective businesses during the period between the date of signing the Merger Agreement and the closing of the Merger, (4) Gemini using commercially reasonable efforts to maintain the existing listing of the Gemini common stock on Nasdaq and Gemini causing the shares of</w:t>
      </w:r>
    </w:p>
    <w:p>
      <w:pPr>
        <w:sectPr>
          <w:pgSz w:w="11900" w:h="16838" w:orient="portrait"/>
          <w:cols w:equalWidth="0" w:num="1">
            <w:col w:w="9640"/>
          </w:cols>
          <w:pgMar w:left="1120" w:top="251" w:right="1139" w:bottom="1440" w:gutter="0" w:footer="0" w:header="0"/>
        </w:sectPr>
      </w:pPr>
    </w:p>
    <w:bookmarkStart w:id="2" w:name="page3"/>
    <w:bookmarkEnd w:id="2"/>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Gemini common stock to be issued in connection with the Merger to be approved for listing on Nasdaq prior to the closing of the Merger, and</w:t>
      </w:r>
    </w:p>
    <w:p>
      <w:pPr>
        <w:spacing w:after="0" w:line="22" w:lineRule="exact"/>
        <w:rPr>
          <w:sz w:val="20"/>
          <w:szCs w:val="20"/>
          <w:color w:val="auto"/>
        </w:rPr>
      </w:pPr>
    </w:p>
    <w:p>
      <w:pPr>
        <w:ind w:left="1" w:right="220" w:hanging="1"/>
        <w:spacing w:after="0" w:line="253" w:lineRule="auto"/>
        <w:tabs>
          <w:tab w:leader="none" w:pos="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filing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and causing to become effective a registration statement to register the shares of Gemini common stock to be issued in connection with the Merger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1" w:right="20"/>
        <w:spacing w:after="0" w:line="252" w:lineRule="auto"/>
        <w:rPr>
          <w:sz w:val="20"/>
          <w:szCs w:val="20"/>
          <w:color w:val="auto"/>
        </w:rPr>
      </w:pPr>
      <w:r>
        <w:rPr>
          <w:rFonts w:ascii="Times New Roman" w:cs="Times New Roman" w:eastAsia="Times New Roman" w:hAnsi="Times New Roman"/>
          <w:sz w:val="16"/>
          <w:szCs w:val="16"/>
          <w:color w:val="auto"/>
        </w:rPr>
        <w:t>Consummation of the Merger is subject to certain closing conditions, including, among other things, (1) approval by Gemini stockholders of the Gemini Voting Proposals, (2) approval by the Disc stockholders of the adoption of the Merger Agreement, (3) Nasdaq’s approval of the listing of the shares of Gemini common stock to be issued in connection with the Merger, and (4) the effectiveness of the Registration Statement. Each party’s obligation to consummate the Merger is also subject to other specified customary conditions, including regarding the accuracy of the representations and warranties of the other party and the performance in all material respects by the other party of its obligations under the Merger Agreement required to be performed on or prior to the date of the closing of the Merger.</w:t>
      </w:r>
    </w:p>
    <w:p>
      <w:pPr>
        <w:spacing w:after="0" w:line="165" w:lineRule="exact"/>
        <w:rPr>
          <w:sz w:val="20"/>
          <w:szCs w:val="20"/>
          <w:color w:val="auto"/>
        </w:rPr>
      </w:pPr>
    </w:p>
    <w:p>
      <w:pPr>
        <w:ind w:left="1" w:right="200"/>
        <w:spacing w:after="0" w:line="286" w:lineRule="auto"/>
        <w:rPr>
          <w:sz w:val="20"/>
          <w:szCs w:val="20"/>
          <w:color w:val="auto"/>
        </w:rPr>
      </w:pPr>
      <w:r>
        <w:rPr>
          <w:rFonts w:ascii="Times New Roman" w:cs="Times New Roman" w:eastAsia="Times New Roman" w:hAnsi="Times New Roman"/>
          <w:sz w:val="15"/>
          <w:szCs w:val="15"/>
          <w:color w:val="auto"/>
        </w:rPr>
        <w:t>The Merger Agreement contains certain termination rights of each of Gemini and Disc. Upon termination of the Merger Agreement under specified circumstances, Gemini may be required to pay Disc a termination fee of $3,000,000 and/or reimburse Disc’s expenses up to a maximum of $750,000, and Disc may be required to pay Gemini a termination fee of $7,800,000 and/or reimburse Gemini’s expenses up to a maximum of $750,000.</w:t>
      </w:r>
    </w:p>
    <w:p>
      <w:pPr>
        <w:spacing w:after="0" w:line="140" w:lineRule="exact"/>
        <w:rPr>
          <w:sz w:val="20"/>
          <w:szCs w:val="20"/>
          <w:color w:val="auto"/>
        </w:rPr>
      </w:pPr>
    </w:p>
    <w:p>
      <w:pPr>
        <w:ind w:left="1" w:right="320"/>
        <w:spacing w:after="0" w:line="276"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the Board of Directors of Gemini is expected to consist of nine (9) members, eight (8) of whom will be designated by Disc and one (1) of whom will be designated by Gemini.</w:t>
      </w: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Financing Transaction</w:t>
      </w:r>
    </w:p>
    <w:p>
      <w:pPr>
        <w:spacing w:after="0" w:line="104"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certain parties have entered into agreements with Disc pursuant to which they have agreed, subject to the terms and conditions of such agreements, to purchase prior to the consummation of the Merger shares of Disc common stock for an aggregate purchase price of approximately $53.5 million. The consummation of the transactions contemplated by such agreements is conditioned on the satisfaction or waiver of the conditions set forth in the Merger Agreement. Shares of Disc common stock issued pursuant to this financing transaction will be converted into shares of Gemini common stock in the Merger in accordance with the Exchange Ratio.</w:t>
      </w:r>
    </w:p>
    <w:p>
      <w:pPr>
        <w:spacing w:after="0" w:line="2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Contingent Value Rights Agreement</w:t>
      </w:r>
    </w:p>
    <w:p>
      <w:pPr>
        <w:spacing w:after="0" w:line="1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At or prior to the Effective Time, the Company will enter into a Contingent Value Rights Agreement (the “</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with a rights agent</w:t>
      </w:r>
    </w:p>
    <w:p>
      <w:pPr>
        <w:spacing w:after="0" w:line="22" w:lineRule="exact"/>
        <w:rPr>
          <w:sz w:val="20"/>
          <w:szCs w:val="20"/>
          <w:color w:val="auto"/>
        </w:rPr>
      </w:pPr>
    </w:p>
    <w:p>
      <w:pPr>
        <w:ind w:left="1" w:right="12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pursuant to which the Company’s pre-Merger common stockholders will receive one contingent value right (each, a “</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for each outstanding share of Gemini common stock held by such stockholder on such date. Each CVR will represent the contractual right to receive payments, in the form of shares of stock of the Company, upon the actual receipt by the Company or its affiliates of certain proceeds derived from consideration paid to the Company as a result of the disposition of the Company’s pre-Merger legacy assets, net of certain expenses and other deductions. Any payments under the CVR Agreement will be in the form of shares of the Company, determined on the basis of a volume weighted average for the five (5) trading days prior to the date of issuance.</w:t>
      </w:r>
    </w:p>
    <w:p>
      <w:pPr>
        <w:spacing w:after="0" w:line="167" w:lineRule="exact"/>
        <w:rPr>
          <w:sz w:val="20"/>
          <w:szCs w:val="20"/>
          <w:color w:val="auto"/>
        </w:rPr>
      </w:pPr>
    </w:p>
    <w:p>
      <w:pPr>
        <w:ind w:left="1"/>
        <w:spacing w:after="0" w:line="256" w:lineRule="auto"/>
        <w:rPr>
          <w:sz w:val="20"/>
          <w:szCs w:val="20"/>
          <w:color w:val="auto"/>
        </w:rPr>
      </w:pPr>
      <w:r>
        <w:rPr>
          <w:rFonts w:ascii="Times New Roman" w:cs="Times New Roman" w:eastAsia="Times New Roman" w:hAnsi="Times New Roman"/>
          <w:sz w:val="16"/>
          <w:szCs w:val="16"/>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payment of any Company shares will be made or that any holders of CVRs will receive any amounts with respect thereto.</w:t>
      </w:r>
    </w:p>
    <w:p>
      <w:pPr>
        <w:sectPr>
          <w:pgSz w:w="11900" w:h="16838" w:orient="portrait"/>
          <w:cols w:equalWidth="0" w:num="1">
            <w:col w:w="9641"/>
          </w:cols>
          <w:pgMar w:left="1119" w:top="253" w:right="1139" w:bottom="1440" w:gutter="0" w:footer="0" w:header="0"/>
        </w:sectPr>
      </w:pPr>
    </w:p>
    <w:bookmarkStart w:id="3" w:name="page4"/>
    <w:bookmarkEnd w:id="3"/>
    <w:p>
      <w:pPr>
        <w:ind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the Company or any of its affiliates. No interest will accrue on any amounts payable in respect of the CVRs.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Support Agreements and Lock-Up Agreements</w:t>
      </w:r>
    </w:p>
    <w:p>
      <w:pPr>
        <w:spacing w:after="0" w:line="10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Concurrently with the execution of the Merger Agreement, (i) certain stockholders of Disc (solely in their respective capacities as Disc stockholders) holding approximately 90% of the outstanding shares of Disc capital stock have entered into support agreements with Gemini and Disc to vote all of their shares of Disc capital stock in favor of adoption of the Merger Agreement and against any alternative acquisition proposals (the “</w:t>
      </w:r>
      <w:r>
        <w:rPr>
          <w:rFonts w:ascii="Times New Roman" w:cs="Times New Roman" w:eastAsia="Times New Roman" w:hAnsi="Times New Roman"/>
          <w:sz w:val="15"/>
          <w:szCs w:val="15"/>
          <w:u w:val="single" w:color="auto"/>
          <w:color w:val="auto"/>
        </w:rPr>
        <w:t>Disc Support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Agreements</w:t>
      </w:r>
      <w:r>
        <w:rPr>
          <w:rFonts w:ascii="Times New Roman" w:cs="Times New Roman" w:eastAsia="Times New Roman" w:hAnsi="Times New Roman"/>
          <w:sz w:val="15"/>
          <w:szCs w:val="15"/>
          <w:color w:val="auto"/>
        </w:rPr>
        <w:t>”) and (ii) certain stockholders of Gemini holding approximately 36% of the outstanding shares of Gemini common stock have entered into support agreements with Gemini and Disc to vote all of their shares of Gemini common stock in favor of the Gemini Voting Proposals and against any alternative acquisition proposals (the “</w:t>
      </w:r>
      <w:r>
        <w:rPr>
          <w:rFonts w:ascii="Times New Roman" w:cs="Times New Roman" w:eastAsia="Times New Roman" w:hAnsi="Times New Roman"/>
          <w:sz w:val="15"/>
          <w:szCs w:val="15"/>
          <w:u w:val="single" w:color="auto"/>
          <w:color w:val="auto"/>
        </w:rPr>
        <w:t>Gemini Support Agreements</w:t>
      </w:r>
      <w:r>
        <w:rPr>
          <w:rFonts w:ascii="Times New Roman" w:cs="Times New Roman" w:eastAsia="Times New Roman" w:hAnsi="Times New Roman"/>
          <w:sz w:val="15"/>
          <w:szCs w:val="15"/>
          <w:color w:val="auto"/>
        </w:rPr>
        <w:t>”, and together with the Disc Support Agreements, the “</w:t>
      </w:r>
      <w:r>
        <w:rPr>
          <w:rFonts w:ascii="Times New Roman" w:cs="Times New Roman" w:eastAsia="Times New Roman" w:hAnsi="Times New Roman"/>
          <w:sz w:val="15"/>
          <w:szCs w:val="15"/>
          <w:u w:val="single" w:color="auto"/>
          <w:color w:val="auto"/>
        </w:rPr>
        <w:t>Support Agreements</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Concurrently with the execution of the Merger Agreement, certain executive officers, directors and stockholders of Gemini and Disc have entered into lock-up agreements (the “</w:t>
      </w: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pursuant to which, subject to specified exceptions, they agreed not to transfer their shares of Gemini common stock for the 180-day period following the closing of the Merger.</w:t>
      </w:r>
    </w:p>
    <w:p>
      <w:pPr>
        <w:spacing w:after="0" w:line="15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preceding summaries of the Merger Agreement, the Support Agreements and the Lock-Up Agreements do not purport to be complete and are qualified in their entirety by reference to the Merger Agreement, the form of Disc Support Agreement, the form of Gemini Support Agreement, the form of Lock-Up Agreement and the form of Contingent Value Rights Agreement, which are filed as Exhibits 2.1, 10.1, 10.2 10.3 and 10.4,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Disc or Gemini or to modify or supplement any factual disclosures about Gemini in its public reports filed with the SEC. The Merger Agreement includes representations, warranties and covenants of Disc, Gemini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Disc, Gemini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spacing w:after="0" w:line="2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On August 10, 2022, Gemini and Disc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sectPr>
          <w:pgSz w:w="11900" w:h="16838" w:orient="portrait"/>
          <w:cols w:equalWidth="0" w:num="1">
            <w:col w:w="9620"/>
          </w:cols>
          <w:pgMar w:left="1120" w:top="253" w:right="1159" w:bottom="1440" w:gutter="0" w:footer="0" w:header="0"/>
        </w:sectPr>
      </w:pPr>
    </w:p>
    <w:bookmarkStart w:id="4" w:name="page5"/>
    <w:bookmarkEnd w:id="4"/>
    <w:p>
      <w:pPr>
        <w:ind w:right="22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Furnished as Exhibit 99.2 hereto and incorporated herein by reference is the investor presentation that will be used by Gemini and Disc in connection with the Merger.</w:t>
      </w:r>
    </w:p>
    <w:p>
      <w:pPr>
        <w:spacing w:after="0" w:line="14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The Company plans to host a live webcast presentation to discuss the Merger as well as Disc’s platform and pipeline assets at 8:00 am Eastern time on August 10, 2022. The live webcast presentation can be accessed at the Events &amp; Presentations page of Gemini’s website or by dialing 1-(888) 660-6186 or 1-(929) 203-0798 internationally and referencing conference ID number 6678391. A webcast of the presentation and associated slides will be available on the Investors &amp; Media section of Gemini’s website at http://investors.geminitherapeutics.com and a replay will be archived for 30 days following the presentation.</w:t>
      </w:r>
    </w:p>
    <w:p>
      <w:pPr>
        <w:spacing w:after="0" w:line="16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and Exhibits 99.1 and 99.2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This Current Report on Form 8-K contains forward-looking statements (including within the meaning of Section 21E of the Exchange Act and Section 27A of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w:t>
      </w:r>
    </w:p>
    <w:p>
      <w:pPr>
        <w:sectPr>
          <w:pgSz w:w="11900" w:h="16838" w:orient="portrait"/>
          <w:cols w:equalWidth="0" w:num="1">
            <w:col w:w="9640"/>
          </w:cols>
          <w:pgMar w:left="1120" w:top="253" w:right="1139" w:bottom="1440" w:gutter="0" w:footer="0" w:header="0"/>
        </w:sectPr>
      </w:pPr>
    </w:p>
    <w:bookmarkStart w:id="5" w:name="page6"/>
    <w:bookmarkEnd w:id="5"/>
    <w:p>
      <w:pPr>
        <w:ind w:right="16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legislative, regulatory, political and economic developments; and those factors described under the heading</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“Risk Factors” in the Gemini’s most recent Annual Report on Form 10-K filed with the SEC,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0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Additional Information Will be Filed with the SEC</w:t>
      </w:r>
    </w:p>
    <w:p>
      <w:pPr>
        <w:spacing w:after="0" w:line="10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In connection with the proposed transaction between Gemini and Disc, Gemini intends to file relevant materials with the SEC, including a registration statement on Form S-4 that will contain a proxy statement/prospectus of Gemini and information statement of Disc. GEMINI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ectPr>
          <w:pgSz w:w="11900" w:h="16838" w:orient="portrait"/>
          <w:cols w:equalWidth="0" w:num="1">
            <w:col w:w="9640"/>
          </w:cols>
          <w:pgMar w:left="1120" w:top="253" w:right="1139" w:bottom="1440" w:gutter="0" w:footer="0" w:header="0"/>
        </w:sectPr>
      </w:pPr>
    </w:p>
    <w:bookmarkStart w:id="6" w:name="page7"/>
    <w:bookmarkEnd w:id="6"/>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Participants in the Solicitation</w:t>
      </w:r>
    </w:p>
    <w:p>
      <w:pPr>
        <w:spacing w:after="0" w:line="102" w:lineRule="exact"/>
        <w:rPr>
          <w:sz w:val="20"/>
          <w:szCs w:val="20"/>
          <w:color w:val="auto"/>
        </w:rPr>
      </w:pPr>
    </w:p>
    <w:p>
      <w:pPr>
        <w:ind w:left="1"/>
        <w:spacing w:after="0" w:line="254" w:lineRule="auto"/>
        <w:rPr>
          <w:sz w:val="20"/>
          <w:szCs w:val="20"/>
          <w:color w:val="auto"/>
        </w:rPr>
      </w:pPr>
      <w:r>
        <w:rPr>
          <w:rFonts w:ascii="Times New Roman" w:cs="Times New Roman" w:eastAsia="Times New Roman" w:hAnsi="Times New Roman"/>
          <w:sz w:val="16"/>
          <w:szCs w:val="16"/>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pacing w:after="0" w:line="290"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0" w:lineRule="exact"/>
        <w:rPr>
          <w:sz w:val="20"/>
          <w:szCs w:val="20"/>
          <w:color w:val="auto"/>
        </w:rPr>
      </w:pPr>
    </w:p>
    <w:p>
      <w:pPr>
        <w:ind w:left="721" w:hanging="335"/>
        <w:spacing w:after="0"/>
        <w:tabs>
          <w:tab w:leader="none" w:pos="72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Exhibit</w:t>
            </w:r>
          </w:p>
        </w:tc>
        <w:tc>
          <w:tcPr>
            <w:tcW w:w="4540" w:type="dxa"/>
            <w:vAlign w:val="bottom"/>
          </w:tcPr>
          <w:p>
            <w:pPr>
              <w:spacing w:after="0"/>
              <w:rPr>
                <w:sz w:val="12"/>
                <w:szCs w:val="12"/>
                <w:color w:val="auto"/>
              </w:rPr>
            </w:pPr>
          </w:p>
        </w:tc>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4"/>
        </w:trPr>
        <w:tc>
          <w:tcPr>
            <w:tcW w:w="400" w:type="dxa"/>
            <w:vAlign w:val="bottom"/>
            <w:tcBorders>
              <w:bottom w:val="single" w:sz="8" w:color="auto"/>
            </w:tcBorders>
          </w:tcPr>
          <w:p>
            <w:pPr>
              <w:jc w:val="right"/>
              <w:ind w:right="24"/>
              <w:spacing w:after="0" w:line="141" w:lineRule="exact"/>
              <w:rPr>
                <w:sz w:val="20"/>
                <w:szCs w:val="20"/>
                <w:color w:val="auto"/>
              </w:rPr>
            </w:pPr>
            <w:r>
              <w:rPr>
                <w:rFonts w:ascii="Times New Roman" w:cs="Times New Roman" w:eastAsia="Times New Roman" w:hAnsi="Times New Roman"/>
                <w:sz w:val="13"/>
                <w:szCs w:val="13"/>
                <w:b w:val="1"/>
                <w:bCs w:val="1"/>
                <w:color w:val="auto"/>
              </w:rPr>
              <w:t>No.</w:t>
            </w:r>
          </w:p>
        </w:tc>
        <w:tc>
          <w:tcPr>
            <w:tcW w:w="4540" w:type="dxa"/>
            <w:vAlign w:val="bottom"/>
          </w:tcPr>
          <w:p>
            <w:pPr>
              <w:spacing w:after="0"/>
              <w:rPr>
                <w:sz w:val="12"/>
                <w:szCs w:val="12"/>
                <w:color w:val="auto"/>
              </w:rPr>
            </w:pPr>
          </w:p>
        </w:tc>
        <w:tc>
          <w:tcPr>
            <w:tcW w:w="4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8"/>
              </w:rPr>
              <w:t>Agreement and Plan of Merger and Reorganization, dated as of August 9, 2022, by and among Gemini Therapeutics, Inc., Gemstone</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Merger Sub, Inc. and Disc Medicine, Inc.</w:t>
            </w:r>
          </w:p>
        </w:tc>
        <w:tc>
          <w:tcPr>
            <w:tcW w:w="0" w:type="dxa"/>
            <w:vAlign w:val="bottom"/>
          </w:tcPr>
          <w:p>
            <w:pPr>
              <w:spacing w:after="0"/>
              <w:rPr>
                <w:sz w:val="1"/>
                <w:szCs w:val="1"/>
                <w:color w:val="auto"/>
              </w:rPr>
            </w:pPr>
          </w:p>
        </w:tc>
      </w:tr>
      <w:tr>
        <w:trPr>
          <w:trHeight w:val="28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10.1</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Form of Disc Support Agreement</w:t>
            </w:r>
          </w:p>
        </w:tc>
        <w:tc>
          <w:tcPr>
            <w:tcW w:w="0" w:type="dxa"/>
            <w:vAlign w:val="bottom"/>
          </w:tcPr>
          <w:p>
            <w:pPr>
              <w:spacing w:after="0"/>
              <w:rPr>
                <w:sz w:val="1"/>
                <w:szCs w:val="1"/>
                <w:color w:val="auto"/>
              </w:rPr>
            </w:pPr>
          </w:p>
        </w:tc>
      </w:tr>
      <w:tr>
        <w:trPr>
          <w:trHeight w:val="28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10.2</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Form of Gemini Support Agreement</w:t>
            </w:r>
          </w:p>
        </w:tc>
        <w:tc>
          <w:tcPr>
            <w:tcW w:w="0" w:type="dxa"/>
            <w:vAlign w:val="bottom"/>
          </w:tcPr>
          <w:p>
            <w:pPr>
              <w:spacing w:after="0"/>
              <w:rPr>
                <w:sz w:val="1"/>
                <w:szCs w:val="1"/>
                <w:color w:val="auto"/>
              </w:rPr>
            </w:pPr>
          </w:p>
        </w:tc>
      </w:tr>
      <w:tr>
        <w:trPr>
          <w:trHeight w:val="28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10.3</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Form of Lock-Up Agreement</w:t>
            </w:r>
          </w:p>
        </w:tc>
        <w:tc>
          <w:tcPr>
            <w:tcW w:w="0" w:type="dxa"/>
            <w:vAlign w:val="bottom"/>
          </w:tcPr>
          <w:p>
            <w:pPr>
              <w:spacing w:after="0"/>
              <w:rPr>
                <w:sz w:val="1"/>
                <w:szCs w:val="1"/>
                <w:color w:val="auto"/>
              </w:rPr>
            </w:pPr>
          </w:p>
        </w:tc>
      </w:tr>
      <w:tr>
        <w:trPr>
          <w:trHeight w:val="28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10.4</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Form of Contingent Value Rights Agreement</w:t>
            </w:r>
          </w:p>
        </w:tc>
        <w:tc>
          <w:tcPr>
            <w:tcW w:w="0" w:type="dxa"/>
            <w:vAlign w:val="bottom"/>
          </w:tcPr>
          <w:p>
            <w:pPr>
              <w:spacing w:after="0"/>
              <w:rPr>
                <w:sz w:val="1"/>
                <w:szCs w:val="1"/>
                <w:color w:val="auto"/>
              </w:rPr>
            </w:pPr>
          </w:p>
        </w:tc>
      </w:tr>
      <w:tr>
        <w:trPr>
          <w:trHeight w:val="28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99.1</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Joint Press Release issued on August 10, 2022</w:t>
            </w:r>
          </w:p>
        </w:tc>
        <w:tc>
          <w:tcPr>
            <w:tcW w:w="0" w:type="dxa"/>
            <w:vAlign w:val="bottom"/>
          </w:tcPr>
          <w:p>
            <w:pPr>
              <w:spacing w:after="0"/>
              <w:rPr>
                <w:sz w:val="1"/>
                <w:szCs w:val="1"/>
                <w:color w:val="auto"/>
              </w:rPr>
            </w:pPr>
          </w:p>
        </w:tc>
      </w:tr>
      <w:tr>
        <w:trPr>
          <w:trHeight w:val="28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99.2</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Investor Presentation, dated August 10, 2022</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6756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341" w:lineRule="exact"/>
        <w:rPr>
          <w:sz w:val="20"/>
          <w:szCs w:val="20"/>
          <w:color w:val="auto"/>
        </w:rPr>
      </w:pPr>
    </w:p>
    <w:p>
      <w:pPr>
        <w:ind w:left="181" w:right="300" w:hanging="181"/>
        <w:spacing w:after="0" w:line="256" w:lineRule="auto"/>
        <w:tabs>
          <w:tab w:leader="none" w:pos="18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registrant may request confidential treatment pursuant to Rule 24b-2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for any exhibits or schedules so furnished.</w:t>
      </w:r>
    </w:p>
    <w:p>
      <w:pPr>
        <w:sectPr>
          <w:pgSz w:w="11900" w:h="16838" w:orient="portrait"/>
          <w:cols w:equalWidth="0" w:num="1">
            <w:col w:w="9581"/>
          </w:cols>
          <w:pgMar w:left="1119" w:top="251" w:right="11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w:t>
      </w:r>
    </w:p>
    <w:p>
      <w:pPr>
        <w:spacing w:after="0" w:line="19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650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GEMINI THERAPEUTICS, INC.</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10, 2022</w:t>
            </w:r>
          </w:p>
        </w:tc>
        <w:tc>
          <w:tcPr>
            <w:tcW w:w="22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Georges Gemayel</w:t>
            </w:r>
          </w:p>
        </w:tc>
      </w:tr>
      <w:tr>
        <w:trPr>
          <w:trHeight w:val="176"/>
        </w:trPr>
        <w:tc>
          <w:tcPr>
            <w:tcW w:w="3140" w:type="dxa"/>
            <w:vAlign w:val="bottom"/>
          </w:tcPr>
          <w:p>
            <w:pPr>
              <w:spacing w:after="0"/>
              <w:rPr>
                <w:sz w:val="15"/>
                <w:szCs w:val="15"/>
                <w:color w:val="auto"/>
              </w:rPr>
            </w:pPr>
          </w:p>
        </w:tc>
        <w:tc>
          <w:tcPr>
            <w:tcW w:w="2260" w:type="dxa"/>
            <w:vAlign w:val="bottom"/>
          </w:tcPr>
          <w:p>
            <w:pPr>
              <w:ind w:left="1700"/>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42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Dr. Georges Gemayel</w:t>
            </w:r>
          </w:p>
        </w:tc>
      </w:tr>
      <w:tr>
        <w:trPr>
          <w:trHeight w:val="206"/>
        </w:trPr>
        <w:tc>
          <w:tcPr>
            <w:tcW w:w="3140" w:type="dxa"/>
            <w:vAlign w:val="bottom"/>
          </w:tcPr>
          <w:p>
            <w:pPr>
              <w:spacing w:after="0"/>
              <w:rPr>
                <w:sz w:val="17"/>
                <w:szCs w:val="17"/>
                <w:color w:val="auto"/>
              </w:rPr>
            </w:pPr>
          </w:p>
        </w:tc>
        <w:tc>
          <w:tcPr>
            <w:tcW w:w="22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Interim President and Chief Executive Officer</w:t>
            </w:r>
          </w:p>
        </w:tc>
      </w:tr>
    </w:tbl>
    <w:p>
      <w:pPr>
        <w:sectPr>
          <w:pgSz w:w="11900" w:h="16838" w:orient="portrait"/>
          <w:cols w:equalWidth="0" w:num="1">
            <w:col w:w="9640"/>
          </w:cols>
          <w:pgMar w:left="1120" w:top="251" w:right="11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2.1</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COPY</w:t>
      </w: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REORGANIZATION</w:t>
      </w:r>
    </w:p>
    <w:p>
      <w:pPr>
        <w:spacing w:after="0" w:line="1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among:</w:t>
      </w:r>
    </w:p>
    <w:p>
      <w:pPr>
        <w:spacing w:after="0" w:line="1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GEMINI THERAPEUTICS, INC.</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GEMSTONE MERGER SUB, INC.</w:t>
      </w:r>
      <w:r>
        <w:rPr>
          <w:rFonts w:ascii="Times New Roman" w:cs="Times New Roman" w:eastAsia="Times New Roman" w:hAnsi="Times New Roman"/>
          <w:sz w:val="16"/>
          <w:szCs w:val="16"/>
          <w:color w:val="auto"/>
        </w:rPr>
        <w:t>; and</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Dated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208915</wp:posOffset>
            </wp:positionV>
            <wp:extent cx="12915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320"/>
          </w:cols>
          <w:pgMar w:left="1440" w:top="251" w:right="1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8"/>
        </w:trPr>
        <w:tc>
          <w:tcPr>
            <w:tcW w:w="680" w:type="dxa"/>
            <w:vAlign w:val="bottom"/>
          </w:tcPr>
          <w:p>
            <w:pPr>
              <w:spacing w:after="0"/>
              <w:rPr>
                <w:sz w:val="18"/>
                <w:szCs w:val="18"/>
                <w:color w:val="auto"/>
              </w:rPr>
            </w:pPr>
          </w:p>
        </w:tc>
        <w:tc>
          <w:tcPr>
            <w:tcW w:w="6820" w:type="dxa"/>
            <w:vAlign w:val="bottom"/>
          </w:tcPr>
          <w:p>
            <w:pPr>
              <w:ind w:left="33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100" w:type="dxa"/>
            <w:vAlign w:val="bottom"/>
          </w:tcPr>
          <w:p>
            <w:pPr>
              <w:spacing w:after="0"/>
              <w:rPr>
                <w:sz w:val="18"/>
                <w:szCs w:val="18"/>
                <w:color w:val="auto"/>
              </w:rPr>
            </w:pPr>
          </w:p>
        </w:tc>
      </w:tr>
      <w:tr>
        <w:trPr>
          <w:trHeight w:val="326"/>
        </w:trPr>
        <w:tc>
          <w:tcPr>
            <w:tcW w:w="6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 Definitions and Interpretative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Definitions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Definitional and Interpretative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 Description of Transaction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Effects of the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Closing; Effective Time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Certificate of Incorporation and Bylaws; Directors and Officers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Conversion of Shares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Closing of the Company’s Transfer Books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Surrender of Certificates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Appraisal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Further Action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Consequences; Withholding</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Net Cash</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 Representations and Warranties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Organization; 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Organizational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Authority; Binding Nature of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Required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Non-Contravention;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Capitalization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Financial Statements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Changes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Undisclosed Liabilities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 to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Real Property; Leasehold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Intellectual Property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Agreements, Contracts and 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Compliance; Permits; Restrictions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Legal Proceedings; Orders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19"/>
        </w:trPr>
        <w:tc>
          <w:tcPr>
            <w:tcW w:w="680" w:type="dxa"/>
            <w:vAlign w:val="bottom"/>
          </w:tcPr>
          <w:p>
            <w:pPr>
              <w:spacing w:after="0"/>
              <w:rPr>
                <w:sz w:val="24"/>
                <w:szCs w:val="24"/>
                <w:color w:val="auto"/>
              </w:rPr>
            </w:pPr>
          </w:p>
        </w:tc>
        <w:tc>
          <w:tcPr>
            <w:tcW w:w="6820" w:type="dxa"/>
            <w:vAlign w:val="bottom"/>
          </w:tcPr>
          <w:p>
            <w:pPr>
              <w:ind w:left="4060"/>
              <w:spacing w:after="0"/>
              <w:rPr>
                <w:sz w:val="20"/>
                <w:szCs w:val="20"/>
                <w:color w:val="auto"/>
              </w:rPr>
            </w:pPr>
            <w:r>
              <w:rPr>
                <w:rFonts w:ascii="Times New Roman" w:cs="Times New Roman" w:eastAsia="Times New Roman" w:hAnsi="Times New Roman"/>
                <w:sz w:val="16"/>
                <w:szCs w:val="16"/>
                <w:color w:val="auto"/>
              </w:rPr>
              <w:t>-i-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100" w:type="dxa"/>
            <w:vAlign w:val="bottom"/>
          </w:tcPr>
          <w:p>
            <w:pPr>
              <w:spacing w:after="0"/>
              <w:rPr>
                <w:sz w:val="16"/>
                <w:szCs w:val="16"/>
                <w:color w:val="auto"/>
              </w:rPr>
            </w:pPr>
          </w:p>
        </w:tc>
      </w:tr>
      <w:tr>
        <w:trPr>
          <w:trHeight w:val="206"/>
        </w:trPr>
        <w:tc>
          <w:tcPr>
            <w:tcW w:w="680" w:type="dxa"/>
            <w:vAlign w:val="bottom"/>
          </w:tcPr>
          <w:p>
            <w:pPr>
              <w:spacing w:after="0"/>
              <w:rPr>
                <w:sz w:val="17"/>
                <w:szCs w:val="17"/>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color w:val="auto"/>
                <w:w w:val="97"/>
              </w:rPr>
              <w:t>(continued)</w:t>
            </w:r>
          </w:p>
        </w:tc>
        <w:tc>
          <w:tcPr>
            <w:tcW w:w="2100" w:type="dxa"/>
            <w:vAlign w:val="bottom"/>
          </w:tcPr>
          <w:p>
            <w:pPr>
              <w:spacing w:after="0"/>
              <w:rPr>
                <w:sz w:val="17"/>
                <w:szCs w:val="17"/>
                <w:color w:val="auto"/>
              </w:rPr>
            </w:pPr>
          </w:p>
        </w:tc>
      </w:tr>
      <w:tr>
        <w:trPr>
          <w:trHeight w:val="243"/>
        </w:trPr>
        <w:tc>
          <w:tcPr>
            <w:tcW w:w="68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and Labor Matters; Benefit Plans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Environmental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Financial Advisors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Privacy and Data Security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Subscription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4. Representations and Warranties of Gem and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Organization; 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Organizational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Authority; Binding Nature of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Required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Non-Contravention;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Capitalization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 Filings; Financial Statements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Changes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Undisclosed Liabilities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 to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Real Property; Leasehold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Intellectual Property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Agreements, Contracts and 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Compliance; Permits; Restrictions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Legal Proceedings; Orders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and Labor Matters; Benefit Plans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Environmental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Financial Advisors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19"/>
        </w:trPr>
        <w:tc>
          <w:tcPr>
            <w:tcW w:w="680" w:type="dxa"/>
            <w:vAlign w:val="bottom"/>
          </w:tcPr>
          <w:p>
            <w:pPr>
              <w:spacing w:after="0"/>
              <w:rPr>
                <w:sz w:val="24"/>
                <w:szCs w:val="24"/>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color w:val="auto"/>
              </w:rPr>
              <w:t>-ii-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760" w:type="dxa"/>
            <w:vAlign w:val="bottom"/>
          </w:tcPr>
          <w:p>
            <w:pPr>
              <w:jc w:val="center"/>
              <w:ind w:right="372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r>
      <w:tr>
        <w:trPr>
          <w:trHeight w:val="206"/>
        </w:trPr>
        <w:tc>
          <w:tcPr>
            <w:tcW w:w="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760" w:type="dxa"/>
            <w:vAlign w:val="bottom"/>
          </w:tcPr>
          <w:p>
            <w:pPr>
              <w:jc w:val="center"/>
              <w:ind w:right="3722"/>
              <w:spacing w:after="0"/>
              <w:rPr>
                <w:sz w:val="20"/>
                <w:szCs w:val="20"/>
                <w:color w:val="auto"/>
              </w:rPr>
            </w:pPr>
            <w:r>
              <w:rPr>
                <w:rFonts w:ascii="Times New Roman" w:cs="Times New Roman" w:eastAsia="Times New Roman" w:hAnsi="Times New Roman"/>
                <w:sz w:val="16"/>
                <w:szCs w:val="16"/>
                <w:color w:val="auto"/>
                <w:w w:val="97"/>
              </w:rPr>
              <w:t>(continued)</w:t>
            </w:r>
          </w:p>
        </w:tc>
      </w:tr>
      <w:tr>
        <w:trPr>
          <w:trHeight w:val="243"/>
        </w:trPr>
        <w:tc>
          <w:tcPr>
            <w:tcW w:w="6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Valid Issuance</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Privacy and Data Security</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5. Certain Covenants of the Parties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5.1</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 of Gem’s Business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 of the Company’s Business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Access and Investigation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Solicitation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5.5</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Notification of Certain Matters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5.6</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CVR Arrangements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5.7</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Asset Disposition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6. Additional Agreements of the Parties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Registration Statement; Proxy Statement</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Stockholder Written Consent</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Stockholder Meeting</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Efforts; Regulatory Approvals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6.5</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Options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6.6</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Options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6.7</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Benefits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6.8</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Indemnification of Officers and Directors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6.9</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Disclosure</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6.10</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Listing</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6.11</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Legends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Termination of Certain Agreements and Rights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6.15</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Section 16 Matters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6.16</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Allocation Certificate</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6.17</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Nasdaq Reverse Split</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6.18</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Takeover Statutes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6.19</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 Litigation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19"/>
        </w:trPr>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760" w:type="dxa"/>
            <w:vAlign w:val="bottom"/>
          </w:tcPr>
          <w:p>
            <w:pPr>
              <w:jc w:val="center"/>
              <w:ind w:right="3722"/>
              <w:spacing w:after="0"/>
              <w:rPr>
                <w:sz w:val="20"/>
                <w:szCs w:val="20"/>
                <w:color w:val="auto"/>
              </w:rPr>
            </w:pPr>
            <w:r>
              <w:rPr>
                <w:rFonts w:ascii="Times New Roman" w:cs="Times New Roman" w:eastAsia="Times New Roman" w:hAnsi="Times New Roman"/>
                <w:sz w:val="16"/>
                <w:szCs w:val="16"/>
                <w:color w:val="auto"/>
                <w:w w:val="99"/>
              </w:rPr>
              <w:t>-iii-</w:t>
            </w:r>
          </w:p>
        </w:tc>
      </w:tr>
    </w:tbl>
    <w:p>
      <w:pPr>
        <w:jc w:val="center"/>
        <w:ind w:right="3722"/>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100" w:type="dxa"/>
            <w:vAlign w:val="bottom"/>
          </w:tcPr>
          <w:p>
            <w:pPr>
              <w:spacing w:after="0"/>
              <w:rPr>
                <w:sz w:val="16"/>
                <w:szCs w:val="16"/>
                <w:color w:val="auto"/>
              </w:rPr>
            </w:pPr>
          </w:p>
        </w:tc>
      </w:tr>
      <w:tr>
        <w:trPr>
          <w:trHeight w:val="206"/>
        </w:trPr>
        <w:tc>
          <w:tcPr>
            <w:tcW w:w="680" w:type="dxa"/>
            <w:vAlign w:val="bottom"/>
          </w:tcPr>
          <w:p>
            <w:pPr>
              <w:spacing w:after="0"/>
              <w:rPr>
                <w:sz w:val="17"/>
                <w:szCs w:val="17"/>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color w:val="auto"/>
                <w:w w:val="97"/>
              </w:rPr>
              <w:t>(continued)</w:t>
            </w:r>
          </w:p>
        </w:tc>
        <w:tc>
          <w:tcPr>
            <w:tcW w:w="2100" w:type="dxa"/>
            <w:vAlign w:val="bottom"/>
          </w:tcPr>
          <w:p>
            <w:pPr>
              <w:spacing w:after="0"/>
              <w:rPr>
                <w:sz w:val="17"/>
                <w:szCs w:val="17"/>
                <w:color w:val="auto"/>
              </w:rPr>
            </w:pPr>
          </w:p>
        </w:tc>
      </w:tr>
      <w:tr>
        <w:trPr>
          <w:trHeight w:val="243"/>
        </w:trPr>
        <w:tc>
          <w:tcPr>
            <w:tcW w:w="68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6.20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SEC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Obligations of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 Conditions Precedent to Obligations of Each Party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Effectiveness of Registration Statement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Restraints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 Approval</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Listing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 Additional Conditions Precedent to Obligations of Gem and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Accuracy of Representations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Performance of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Closing Certificate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FIRPTA Certificate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Company Material Adverse Effect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Lock-Up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Termination of Investor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Preferred Stock Conversion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Third Party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 Additional Conditions Precedent to Obligation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Accuracy of Representations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Performance of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Gem Material Adverse Effect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Lock-Up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Listing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 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 of 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Expenses; Termination Fees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 Miscellaneous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Non-Survival of Representations and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19"/>
        </w:trPr>
        <w:tc>
          <w:tcPr>
            <w:tcW w:w="680" w:type="dxa"/>
            <w:vAlign w:val="bottom"/>
          </w:tcPr>
          <w:p>
            <w:pPr>
              <w:spacing w:after="0"/>
              <w:rPr>
                <w:sz w:val="24"/>
                <w:szCs w:val="24"/>
                <w:color w:val="auto"/>
              </w:rPr>
            </w:pPr>
          </w:p>
        </w:tc>
        <w:tc>
          <w:tcPr>
            <w:tcW w:w="68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5"/>
              </w:rPr>
              <w:t>-iv-</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3" w:name="page14"/>
    <w:bookmarkEnd w:id="13"/>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TABLE OF CONTENTS</w:t>
      </w:r>
    </w:p>
    <w:p>
      <w:pPr>
        <w:spacing w:after="0" w:line="2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(continued)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11.2</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Amendment</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11.3</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Waiver</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11.4</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Entire Agreement; Counterparts; Exchanges by Facsimile</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11.5</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Applicable Law; Jurisdiction</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11.6</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Assignability</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11.7</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Notices</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11.8</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Cooperation</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11.9</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Severability</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11.10</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Remedies; Specific Performance</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11.11</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 Third Party Beneficiaries</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19"/>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40" w:type="dxa"/>
            <w:vAlign w:val="bottom"/>
          </w:tcPr>
          <w:p>
            <w:pPr>
              <w:jc w:val="right"/>
              <w:ind w:right="4602"/>
              <w:spacing w:after="0"/>
              <w:rPr>
                <w:sz w:val="20"/>
                <w:szCs w:val="20"/>
                <w:color w:val="auto"/>
              </w:rPr>
            </w:pPr>
            <w:r>
              <w:rPr>
                <w:rFonts w:ascii="Times New Roman" w:cs="Times New Roman" w:eastAsia="Times New Roman" w:hAnsi="Times New Roman"/>
                <w:sz w:val="16"/>
                <w:szCs w:val="16"/>
                <w:color w:val="auto"/>
              </w:rPr>
              <w:t>-v-</w:t>
            </w:r>
          </w:p>
        </w:tc>
      </w:tr>
    </w:tbl>
    <w:p>
      <w:pPr>
        <w:sectPr>
          <w:pgSz w:w="11900" w:h="16838" w:orient="portrait"/>
          <w:cols w:equalWidth="0" w:num="1">
            <w:col w:w="9280"/>
          </w:cols>
          <w:pgMar w:left="1440" w:top="251" w:right="11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Exhibits:</w:t>
      </w:r>
    </w:p>
    <w:p>
      <w:pPr>
        <w:sectPr>
          <w:pgSz w:w="11900" w:h="16838" w:orient="portrait"/>
          <w:cols w:equalWidth="0" w:num="1">
            <w:col w:w="9339"/>
          </w:cols>
          <w:pgMar w:left="1120" w:top="251" w:right="1440" w:bottom="1440" w:gutter="0" w:footer="0" w:header="0"/>
        </w:sectPr>
      </w:pPr>
    </w:p>
    <w:p>
      <w:pPr>
        <w:spacing w:after="0" w:line="232" w:lineRule="exact"/>
        <w:rPr>
          <w:sz w:val="20"/>
          <w:szCs w:val="20"/>
          <w:color w:val="auto"/>
        </w:rPr>
      </w:pPr>
    </w:p>
    <w:p>
      <w:pPr>
        <w:jc w:val="both"/>
        <w:spacing w:after="0" w:line="406" w:lineRule="auto"/>
        <w:rPr>
          <w:sz w:val="20"/>
          <w:szCs w:val="20"/>
          <w:color w:val="auto"/>
        </w:rPr>
      </w:pPr>
      <w:r>
        <w:rPr>
          <w:rFonts w:ascii="Times New Roman" w:cs="Times New Roman" w:eastAsia="Times New Roman" w:hAnsi="Times New Roman"/>
          <w:sz w:val="15"/>
          <w:szCs w:val="15"/>
          <w:color w:val="auto"/>
        </w:rPr>
        <w:t>Exhibit A Exhibit B Exhibit C Exhibit D Exhibit 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Gem Stockholder Support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Company Stockholder Support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Lock-Up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Subscription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CVR Agreement</w:t>
      </w:r>
    </w:p>
    <w:p>
      <w:pPr>
        <w:sectPr>
          <w:pgSz w:w="11900" w:h="16838" w:orient="portrait"/>
          <w:cols w:equalWidth="0" w:num="2">
            <w:col w:w="620" w:space="540"/>
            <w:col w:w="8179"/>
          </w:cols>
          <w:pgMar w:left="1120" w:top="251" w:right="1440" w:bottom="1440" w:gutter="0" w:footer="0" w:header="0"/>
          <w:type w:val="continuous"/>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AND PLAN OF MERGER AND REORGANIZATION</w:t>
      </w:r>
    </w:p>
    <w:p>
      <w:pPr>
        <w:spacing w:after="0" w:line="194" w:lineRule="exact"/>
        <w:rPr>
          <w:sz w:val="20"/>
          <w:szCs w:val="20"/>
          <w:color w:val="auto"/>
        </w:rPr>
      </w:pPr>
    </w:p>
    <w:p>
      <w:pPr>
        <w:ind w:left="1" w:right="40" w:firstLine="386"/>
        <w:spacing w:after="0" w:line="257" w:lineRule="auto"/>
        <w:rPr>
          <w:sz w:val="20"/>
          <w:szCs w:val="20"/>
          <w:color w:val="auto"/>
        </w:rPr>
      </w:pP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3"/>
          <w:szCs w:val="13"/>
          <w:b w:val="1"/>
          <w:bCs w:val="1"/>
          <w:color w:val="auto"/>
        </w:rPr>
        <w:t>HIS</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3"/>
          <w:szCs w:val="13"/>
          <w:b w:val="1"/>
          <w:bCs w:val="1"/>
          <w:color w:val="auto"/>
        </w:rPr>
        <w:t>GREEMENT AND</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3"/>
          <w:szCs w:val="13"/>
          <w:b w:val="1"/>
          <w:bCs w:val="1"/>
          <w:color w:val="auto"/>
        </w:rPr>
        <w:t>LAN OF</w:t>
      </w:r>
      <w:r>
        <w:rPr>
          <w:rFonts w:ascii="Times New Roman" w:cs="Times New Roman" w:eastAsia="Times New Roman" w:hAnsi="Times New Roman"/>
          <w:sz w:val="16"/>
          <w:szCs w:val="16"/>
          <w:b w:val="1"/>
          <w:bCs w:val="1"/>
          <w:color w:val="auto"/>
        </w:rPr>
        <w:t xml:space="preserve"> M</w:t>
      </w:r>
      <w:r>
        <w:rPr>
          <w:rFonts w:ascii="Times New Roman" w:cs="Times New Roman" w:eastAsia="Times New Roman" w:hAnsi="Times New Roman"/>
          <w:sz w:val="13"/>
          <w:szCs w:val="13"/>
          <w:b w:val="1"/>
          <w:bCs w:val="1"/>
          <w:color w:val="auto"/>
        </w:rPr>
        <w:t>ERGER AND</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EORGANIZATION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August 9, 2022, by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among </w:t>
      </w: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3"/>
          <w:szCs w:val="13"/>
          <w:b w:val="1"/>
          <w:bCs w:val="1"/>
          <w:color w:val="auto"/>
        </w:rPr>
        <w:t>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Delaware corporation (“</w:t>
      </w:r>
      <w:r>
        <w:rPr>
          <w:rFonts w:ascii="Times New Roman" w:cs="Times New Roman" w:eastAsia="Times New Roman" w:hAnsi="Times New Roman"/>
          <w:sz w:val="16"/>
          <w:szCs w:val="16"/>
          <w:b w:val="1"/>
          <w:bCs w:val="1"/>
          <w:color w:val="auto"/>
        </w:rPr>
        <w:t>Gem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3"/>
          <w:szCs w:val="13"/>
          <w:b w:val="1"/>
          <w:bCs w:val="1"/>
          <w:color w:val="auto"/>
        </w:rPr>
        <w:t>EMSTONE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UB</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Delaware corporation and wholly owned subsidiary of Gem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ISC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EDICINE</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Certain capitalized terms used in this Agreement are defined in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3"/>
          <w:szCs w:val="13"/>
          <w:b w:val="1"/>
          <w:bCs w:val="1"/>
          <w:color w:val="auto"/>
        </w:rPr>
        <w:t>ECITALS</w:t>
      </w:r>
    </w:p>
    <w:p>
      <w:pPr>
        <w:spacing w:after="0" w:line="194" w:lineRule="exact"/>
        <w:rPr>
          <w:sz w:val="20"/>
          <w:szCs w:val="20"/>
          <w:color w:val="auto"/>
        </w:rPr>
      </w:pPr>
    </w:p>
    <w:p>
      <w:pPr>
        <w:ind w:left="1" w:right="40" w:firstLine="386"/>
        <w:spacing w:after="0" w:line="313" w:lineRule="auto"/>
        <w:rPr>
          <w:sz w:val="20"/>
          <w:szCs w:val="20"/>
          <w:color w:val="auto"/>
        </w:rPr>
      </w:pPr>
      <w:r>
        <w:rPr>
          <w:rFonts w:ascii="Times New Roman" w:cs="Times New Roman" w:eastAsia="Times New Roman" w:hAnsi="Times New Roman"/>
          <w:sz w:val="15"/>
          <w:szCs w:val="15"/>
          <w:color w:val="auto"/>
        </w:rPr>
        <w:t>A. Gem and the Company intend to effect a merger of Merger Sub with and into the Company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in accordance with this Agreement and the DGCL. Upon consummation of the Merger, Merger Sub will cease to exist and the Company will become a wholly owned subsidiary of Gem.</w:t>
      </w:r>
    </w:p>
    <w:p>
      <w:pPr>
        <w:spacing w:after="0" w:line="25" w:lineRule="exact"/>
        <w:rPr>
          <w:sz w:val="20"/>
          <w:szCs w:val="20"/>
          <w:color w:val="auto"/>
        </w:rPr>
      </w:pPr>
    </w:p>
    <w:p>
      <w:pPr>
        <w:ind w:left="1" w:right="300" w:firstLine="386"/>
        <w:spacing w:after="0" w:line="276" w:lineRule="auto"/>
        <w:rPr>
          <w:sz w:val="20"/>
          <w:szCs w:val="20"/>
          <w:color w:val="auto"/>
        </w:rPr>
      </w:pPr>
      <w:r>
        <w:rPr>
          <w:rFonts w:ascii="Times New Roman" w:cs="Times New Roman" w:eastAsia="Times New Roman" w:hAnsi="Times New Roman"/>
          <w:sz w:val="16"/>
          <w:szCs w:val="16"/>
          <w:color w:val="auto"/>
        </w:rPr>
        <w:t>B. The Parties intend that the Merger qualify as a “reorganization” within the meaning of Section 368(a) of the Code and that this constitute a “plan of reorganization” within the meaning of Treasury Regulations Section 1.368-2(g).</w:t>
      </w:r>
    </w:p>
    <w:p>
      <w:pPr>
        <w:spacing w:after="0" w:line="50" w:lineRule="exact"/>
        <w:rPr>
          <w:sz w:val="20"/>
          <w:szCs w:val="20"/>
          <w:color w:val="auto"/>
        </w:rPr>
      </w:pPr>
    </w:p>
    <w:p>
      <w:pPr>
        <w:ind w:left="1" w:right="20" w:firstLine="386"/>
        <w:spacing w:after="0" w:line="268" w:lineRule="auto"/>
        <w:rPr>
          <w:sz w:val="20"/>
          <w:szCs w:val="20"/>
          <w:color w:val="auto"/>
        </w:rPr>
      </w:pPr>
      <w:r>
        <w:rPr>
          <w:rFonts w:ascii="Times New Roman" w:cs="Times New Roman" w:eastAsia="Times New Roman" w:hAnsi="Times New Roman"/>
          <w:sz w:val="15"/>
          <w:szCs w:val="15"/>
          <w:color w:val="auto"/>
        </w:rPr>
        <w:t>C. The Gem Board has (i) determined that the Contemplated Transactions are fair to, advisable and in the best interests of Gem and its stockholders, (ii) approved and declared advisable this Agreement and the Contemplated Transactions, including the issuance of shares of Gem Common Stock to the stockholders of the Company pursuant to the terms of this Agreement, (iii) determined to recommend, upon the terms and subject to the conditions set forth in this Agreement, that the stockholders of Gem vote to approve this Agreement and thereby approve the Contemplated Transactions, including the issuance of shares of Gem Common Stock to the stockholders of the Company pursuant to the terms of this Agreement,</w:t>
      </w:r>
    </w:p>
    <w:p>
      <w:pPr>
        <w:ind w:left="1" w:hanging="1"/>
        <w:spacing w:after="0" w:line="250" w:lineRule="auto"/>
        <w:tabs>
          <w:tab w:leader="none" w:pos="26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determined that an amendment to Gem’s certificate of incorporation to effect the Nasdaq Reverse Split is advisable and in the best interests of Gem and its stockholders and (v) determined to recommend that the stockholders of Gem vote to approve an amendment to Gem’s certificate of incorporation to effect the Nasdaq Reverse Split and to make the other amendments provided in </w:t>
      </w:r>
      <w:r>
        <w:rPr>
          <w:rFonts w:ascii="Times New Roman" w:cs="Times New Roman" w:eastAsia="Times New Roman" w:hAnsi="Times New Roman"/>
          <w:sz w:val="16"/>
          <w:szCs w:val="16"/>
          <w:u w:val="single" w:color="auto"/>
          <w:color w:val="auto"/>
        </w:rPr>
        <w:t>Section 2.4(c)</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1" w:right="20" w:firstLine="385"/>
        <w:spacing w:after="0" w:line="256" w:lineRule="auto"/>
        <w:tabs>
          <w:tab w:leader="none" w:pos="5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approve the Contemplated Transactions.</w:t>
      </w:r>
    </w:p>
    <w:p>
      <w:pPr>
        <w:spacing w:after="0" w:line="66" w:lineRule="exact"/>
        <w:rPr>
          <w:rFonts w:ascii="Times New Roman" w:cs="Times New Roman" w:eastAsia="Times New Roman" w:hAnsi="Times New Roman"/>
          <w:sz w:val="16"/>
          <w:szCs w:val="16"/>
          <w:color w:val="auto"/>
        </w:rPr>
      </w:pPr>
    </w:p>
    <w:p>
      <w:pPr>
        <w:jc w:val="both"/>
        <w:ind w:left="1" w:right="120" w:firstLine="385"/>
        <w:spacing w:after="0" w:line="256" w:lineRule="auto"/>
        <w:tabs>
          <w:tab w:leader="none" w:pos="562"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approve the Contemplated Transactions.</w:t>
      </w:r>
    </w:p>
    <w:p>
      <w:pPr>
        <w:spacing w:after="0" w:line="66" w:lineRule="exact"/>
        <w:rPr>
          <w:rFonts w:ascii="Times New Roman" w:cs="Times New Roman" w:eastAsia="Times New Roman" w:hAnsi="Times New Roman"/>
          <w:sz w:val="16"/>
          <w:szCs w:val="16"/>
          <w:color w:val="auto"/>
        </w:rPr>
      </w:pPr>
    </w:p>
    <w:p>
      <w:pPr>
        <w:jc w:val="both"/>
        <w:ind w:left="1" w:right="120" w:firstLine="385"/>
        <w:spacing w:after="0" w:line="261" w:lineRule="auto"/>
        <w:tabs>
          <w:tab w:leader="none" w:pos="54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execution and delivery of this Agreement and as a condition and inducement to the Company’s willingness to enter into this Agreement, (i) the stockholders of Gem specified on Schedule F-1 of the Gem Disclosure Schedules are executing support agreements in favor of the Company, in substantially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w:t>
      </w:r>
    </w:p>
    <w:p>
      <w:pPr>
        <w:sectPr>
          <w:pgSz w:w="11900" w:h="16838" w:orient="portrait"/>
          <w:cols w:equalWidth="0" w:num="1">
            <w:col w:w="9621"/>
          </w:cols>
          <w:pgMar w:left="1119" w:top="251" w:right="1159" w:bottom="1440" w:gutter="0" w:footer="0" w:header="0"/>
        </w:sectPr>
      </w:pPr>
    </w:p>
    <w:bookmarkStart w:id="16" w:name="page17"/>
    <w:bookmarkEnd w:id="16"/>
    <w:p>
      <w:pPr>
        <w:ind w:right="40"/>
        <w:spacing w:after="0" w:line="27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 “</w:t>
      </w:r>
      <w:r>
        <w:rPr>
          <w:rFonts w:ascii="Times New Roman" w:cs="Times New Roman" w:eastAsia="Times New Roman" w:hAnsi="Times New Roman"/>
          <w:sz w:val="15"/>
          <w:szCs w:val="15"/>
          <w:b w:val="1"/>
          <w:bCs w:val="1"/>
          <w:color w:val="auto"/>
        </w:rPr>
        <w:t>Gem Stockholder Support Agreement</w:t>
      </w:r>
      <w:r>
        <w:rPr>
          <w:rFonts w:ascii="Times New Roman" w:cs="Times New Roman" w:eastAsia="Times New Roman" w:hAnsi="Times New Roman"/>
          <w:sz w:val="15"/>
          <w:szCs w:val="15"/>
          <w:color w:val="auto"/>
        </w:rPr>
        <w:t xml:space="preserve">”), pursuant to which such Persons have, subject to the terms and conditions set forth therein, agreed to vote all of their shares of capital stock of Gem in favor of the adoption and approval of this Agreement and approve the Contemplated Transactions and the Nasdaq Reverse Split and against any competing proposals, and (ii) the stockholders of Gem specified on </w:t>
      </w:r>
      <w:r>
        <w:rPr>
          <w:rFonts w:ascii="Times New Roman" w:cs="Times New Roman" w:eastAsia="Times New Roman" w:hAnsi="Times New Roman"/>
          <w:sz w:val="15"/>
          <w:szCs w:val="15"/>
          <w:u w:val="single" w:color="auto"/>
          <w:color w:val="auto"/>
        </w:rPr>
        <w:t>Schedule F-2</w:t>
      </w:r>
      <w:r>
        <w:rPr>
          <w:rFonts w:ascii="Times New Roman" w:cs="Times New Roman" w:eastAsia="Times New Roman" w:hAnsi="Times New Roman"/>
          <w:sz w:val="15"/>
          <w:szCs w:val="15"/>
          <w:color w:val="auto"/>
        </w:rPr>
        <w:t xml:space="preserve"> of the Gem Disclosure Schedule are executing lock-up agreements in substantially the form attached hereto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(collectively, the “</w:t>
      </w:r>
      <w:r>
        <w:rPr>
          <w:rFonts w:ascii="Times New Roman" w:cs="Times New Roman" w:eastAsia="Times New Roman" w:hAnsi="Times New Roman"/>
          <w:sz w:val="15"/>
          <w:szCs w:val="15"/>
          <w:b w:val="1"/>
          <w:bCs w:val="1"/>
          <w:color w:val="auto"/>
        </w:rPr>
        <w:t>Gem Lock-Up Agreements</w:t>
      </w:r>
      <w:r>
        <w:rPr>
          <w:rFonts w:ascii="Times New Roman" w:cs="Times New Roman" w:eastAsia="Times New Roman" w:hAnsi="Times New Roman"/>
          <w:sz w:val="15"/>
          <w:szCs w:val="15"/>
          <w:color w:val="auto"/>
        </w:rPr>
        <w:t>”).</w:t>
      </w:r>
    </w:p>
    <w:p>
      <w:pPr>
        <w:spacing w:after="0" w:line="51"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 xml:space="preserve">G. Concurrently with the execution and delivery of this Agreement and as a condition and inducement to Gem’s willingness to enter into this Agreement, (i) the officers, directors and 5% or greater stockholders (together with their Affiliates) of the Company listed on Section A of the Company Disclosure Schedule (solely in their capacity as stockholders of the Company) are concurrently executing support agreements in favor of Gem in substantially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color w:val="auto"/>
        </w:rPr>
        <w:t>Company Stockholder Support Agreement</w:t>
      </w:r>
      <w:r>
        <w:rPr>
          <w:rFonts w:ascii="Times New Roman" w:cs="Times New Roman" w:eastAsia="Times New Roman" w:hAnsi="Times New Roman"/>
          <w:sz w:val="16"/>
          <w:szCs w:val="16"/>
          <w:color w:val="auto"/>
        </w:rPr>
        <w:t xml:space="preserve">”), pursuant to which such Persons have, subject to the terms and conditions set forth therein, agreed to vote all of their shares of Company Capital Stock in favor of the adoption and approval of this Agreement and approve the Contemplated Transactions and against any competing proposals, and (ii) the officers, directors and stockholders of the Company listed on Section B of the Company Disclosure Schedule are executing lock-up agreements in substantially the form attached hereto as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color w:val="auto"/>
        </w:rPr>
        <w:t>Company Lock-Up Agreements</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right="280" w:firstLine="386"/>
        <w:spacing w:after="0" w:line="254" w:lineRule="auto"/>
        <w:rPr>
          <w:sz w:val="20"/>
          <w:szCs w:val="20"/>
          <w:color w:val="auto"/>
        </w:rPr>
      </w:pPr>
      <w:r>
        <w:rPr>
          <w:rFonts w:ascii="Times New Roman" w:cs="Times New Roman" w:eastAsia="Times New Roman" w:hAnsi="Times New Roman"/>
          <w:sz w:val="16"/>
          <w:szCs w:val="16"/>
          <w:color w:val="auto"/>
        </w:rPr>
        <w:t>J. It is contemplated by this Agreement that, within two (2) Business Days after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Gem, in order to obtain the Required Company Stockholder Vote (each, a “</w:t>
      </w:r>
      <w:r>
        <w:rPr>
          <w:rFonts w:ascii="Times New Roman" w:cs="Times New Roman" w:eastAsia="Times New Roman" w:hAnsi="Times New Roman"/>
          <w:sz w:val="16"/>
          <w:szCs w:val="16"/>
          <w:b w:val="1"/>
          <w:bCs w:val="1"/>
          <w:color w:val="auto"/>
        </w:rPr>
        <w:t>Company 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Written Consent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Company Stockholder Written Consents</w:t>
      </w:r>
      <w:r>
        <w:rPr>
          <w:rFonts w:ascii="Times New Roman" w:cs="Times New Roman" w:eastAsia="Times New Roman" w:hAnsi="Times New Roman"/>
          <w:sz w:val="16"/>
          <w:szCs w:val="16"/>
          <w:color w:val="auto"/>
        </w:rPr>
        <w:t>”).</w:t>
      </w:r>
    </w:p>
    <w:p>
      <w:pPr>
        <w:spacing w:after="0" w:line="67" w:lineRule="exact"/>
        <w:rPr>
          <w:sz w:val="20"/>
          <w:szCs w:val="20"/>
          <w:color w:val="auto"/>
        </w:rPr>
      </w:pPr>
    </w:p>
    <w:p>
      <w:pPr>
        <w:ind w:right="200" w:firstLine="386"/>
        <w:spacing w:after="0" w:line="254" w:lineRule="auto"/>
        <w:rPr>
          <w:sz w:val="20"/>
          <w:szCs w:val="20"/>
          <w:color w:val="auto"/>
        </w:rPr>
      </w:pPr>
      <w:r>
        <w:rPr>
          <w:rFonts w:ascii="Times New Roman" w:cs="Times New Roman" w:eastAsia="Times New Roman" w:hAnsi="Times New Roman"/>
          <w:sz w:val="16"/>
          <w:szCs w:val="16"/>
          <w:color w:val="auto"/>
        </w:rPr>
        <w:t xml:space="preserve">K. Prior to the Effective Time, Gem shall enter into a contingent value rights agreement substantially in the form attached hereto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(subject to changes to reflect the reasonable requests of the other parties thereto) (the “</w:t>
      </w:r>
      <w:r>
        <w:rPr>
          <w:rFonts w:ascii="Times New Roman" w:cs="Times New Roman" w:eastAsia="Times New Roman" w:hAnsi="Times New Roman"/>
          <w:sz w:val="16"/>
          <w:szCs w:val="16"/>
          <w:b w:val="1"/>
          <w:bCs w:val="1"/>
          <w:color w:val="auto"/>
        </w:rPr>
        <w:t>CVR Agreement</w:t>
      </w:r>
      <w:r>
        <w:rPr>
          <w:rFonts w:ascii="Times New Roman" w:cs="Times New Roman" w:eastAsia="Times New Roman" w:hAnsi="Times New Roman"/>
          <w:sz w:val="16"/>
          <w:szCs w:val="16"/>
          <w:color w:val="auto"/>
        </w:rPr>
        <w:t>”) with an institution appointed by the parties thereto to act as Rights Agent and a person or entity which will act as the Holders’ Representative (as such terms are defined in the CVR Agreement), pursuant to which Gem shall grant each holder of Gem Common Stock as of a record date prior to the Effective Time Contingent Value Rights (as defined in the CVR Agreement) in respect of certain potential future payments.</w:t>
      </w:r>
    </w:p>
    <w:p>
      <w:pPr>
        <w:spacing w:after="0" w:line="67" w:lineRule="exact"/>
        <w:rPr>
          <w:sz w:val="20"/>
          <w:szCs w:val="20"/>
          <w:color w:val="auto"/>
        </w:rPr>
      </w:pPr>
    </w:p>
    <w:p>
      <w:pPr>
        <w:ind w:right="20" w:firstLine="386"/>
        <w:spacing w:after="0" w:line="286" w:lineRule="auto"/>
        <w:rPr>
          <w:sz w:val="20"/>
          <w:szCs w:val="20"/>
          <w:color w:val="auto"/>
        </w:rPr>
      </w:pPr>
      <w:r>
        <w:rPr>
          <w:rFonts w:ascii="Times New Roman" w:cs="Times New Roman" w:eastAsia="Times New Roman" w:hAnsi="Times New Roman"/>
          <w:sz w:val="15"/>
          <w:szCs w:val="15"/>
          <w:color w:val="auto"/>
        </w:rPr>
        <w:t xml:space="preserve">L. Immediately prior to the execution and delivery of this Agreement, and as a condition of the willingness of Gem to enter into this Agreement, certain investors have executed the Subscription Agreement, in the form attached hereto as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with the Company, pursuant to which such investors have agreed to purchase certain shares of Company Capital Stock prior to the Closing in connection with the Company Pre-Closing Financing.</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40"/>
          </w:cols>
          <w:pgMar w:left="1120" w:top="251" w:right="1139" w:bottom="1440" w:gutter="0" w:footer="0" w:header="0"/>
        </w:sectPr>
      </w:pPr>
    </w:p>
    <w:bookmarkStart w:id="17" w:name="page18"/>
    <w:bookmarkEnd w:id="17"/>
    <w:p>
      <w:pPr>
        <w:ind w:left="38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w:t>
      </w:r>
      <w:r>
        <w:rPr>
          <w:rFonts w:ascii="Times New Roman" w:cs="Times New Roman" w:eastAsia="Times New Roman" w:hAnsi="Times New Roman"/>
          <w:sz w:val="13"/>
          <w:szCs w:val="13"/>
          <w:b w:val="1"/>
          <w:bCs w:val="1"/>
          <w:color w:val="auto"/>
        </w:rPr>
        <w:t>GREEMENT</w:t>
      </w:r>
    </w:p>
    <w:p>
      <w:pPr>
        <w:spacing w:after="0" w:line="10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The Parties, intending to be legally bound, agree as follows: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Definitions and Interpretative Provisions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a) For purposes of the Agreement (including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1" w:right="100" w:firstLine="38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Acceptable Confidentiality Agreement</w:t>
      </w:r>
      <w:r>
        <w:rPr>
          <w:rFonts w:ascii="Times New Roman" w:cs="Times New Roman" w:eastAsia="Times New Roman" w:hAnsi="Times New Roman"/>
          <w:sz w:val="16"/>
          <w:szCs w:val="16"/>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Gem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61" w:lineRule="exact"/>
        <w:rPr>
          <w:sz w:val="20"/>
          <w:szCs w:val="20"/>
          <w:color w:val="auto"/>
        </w:rPr>
      </w:pPr>
    </w:p>
    <w:p>
      <w:pPr>
        <w:ind w:left="1"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Inquiry</w:t>
      </w:r>
      <w:r>
        <w:rPr>
          <w:rFonts w:ascii="Times New Roman" w:cs="Times New Roman" w:eastAsia="Times New Roman" w:hAnsi="Times New Roman"/>
          <w:sz w:val="16"/>
          <w:szCs w:val="16"/>
          <w:color w:val="auto"/>
        </w:rPr>
        <w:t>” means, with respect to a Party, an inquiry, indication of interest or request for information (other than an inquiry, indication of interest or request for information made or submitted by the Company, on the one hand, or Gem, on the other hand, to the other Party) that could reasonably be expected to lead to an Acquisition Proposal.</w:t>
      </w:r>
    </w:p>
    <w:p>
      <w:pPr>
        <w:spacing w:after="0" w:line="154" w:lineRule="exact"/>
        <w:rPr>
          <w:sz w:val="20"/>
          <w:szCs w:val="20"/>
          <w:color w:val="auto"/>
        </w:rPr>
      </w:pPr>
    </w:p>
    <w:p>
      <w:pPr>
        <w:ind w:left="1" w:right="8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Proposal</w:t>
      </w:r>
      <w:r>
        <w:rPr>
          <w:rFonts w:ascii="Times New Roman" w:cs="Times New Roman" w:eastAsia="Times New Roman" w:hAnsi="Times New Roman"/>
          <w:sz w:val="16"/>
          <w:szCs w:val="16"/>
          <w:color w:val="auto"/>
        </w:rPr>
        <w:t>” means, with respect to a Party, any offer or proposal, whether written or oral (other than an offer or proposal made or submitted by or on behalf of the Company or any of its Affiliates, on the one hand, or by or on behalf of Gem or any of its Affiliates, on the other hand, to the other Party) contemplating or otherwise relating to any Acquisition Transaction with such Party.</w:t>
      </w:r>
    </w:p>
    <w:p>
      <w:pPr>
        <w:spacing w:after="0" w:line="15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Transaction</w:t>
      </w:r>
      <w:r>
        <w:rPr>
          <w:rFonts w:ascii="Times New Roman" w:cs="Times New Roman" w:eastAsia="Times New Roman" w:hAnsi="Times New Roman"/>
          <w:sz w:val="16"/>
          <w:szCs w:val="16"/>
          <w:color w:val="auto"/>
        </w:rPr>
        <w:t>” means any transaction or series of related transactions involving:</w:t>
      </w:r>
    </w:p>
    <w:p>
      <w:pPr>
        <w:spacing w:after="0" w:line="102" w:lineRule="exact"/>
        <w:rPr>
          <w:sz w:val="20"/>
          <w:szCs w:val="20"/>
          <w:color w:val="auto"/>
        </w:rPr>
      </w:pPr>
    </w:p>
    <w:p>
      <w:pPr>
        <w:jc w:val="both"/>
        <w:ind w:left="1" w:right="80" w:firstLine="867"/>
        <w:spacing w:after="0" w:line="269" w:lineRule="auto"/>
        <w:tabs>
          <w:tab w:leader="none" w:pos="1084"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ind w:left="1" w:right="20" w:hanging="1"/>
        <w:spacing w:after="0" w:line="253" w:lineRule="auto"/>
        <w:tabs>
          <w:tab w:leader="none" w:pos="2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which a Party or any of its Subsidiaries issues securities representing more than 20% of the outstanding securities of any class of voting securities of such Party or any of its Subsidiaries;</w:t>
      </w:r>
    </w:p>
    <w:p>
      <w:pPr>
        <w:spacing w:after="0" w:line="67" w:lineRule="exact"/>
        <w:rPr>
          <w:rFonts w:ascii="Times New Roman" w:cs="Times New Roman" w:eastAsia="Times New Roman" w:hAnsi="Times New Roman"/>
          <w:sz w:val="16"/>
          <w:szCs w:val="16"/>
          <w:color w:val="auto"/>
        </w:rPr>
      </w:pPr>
    </w:p>
    <w:p>
      <w:pPr>
        <w:ind w:left="1" w:right="140" w:firstLine="867"/>
        <w:spacing w:after="0" w:line="276" w:lineRule="auto"/>
        <w:tabs>
          <w:tab w:leader="none" w:pos="1093"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 or</w:t>
      </w:r>
    </w:p>
    <w:p>
      <w:pPr>
        <w:spacing w:after="0" w:line="49" w:lineRule="exact"/>
        <w:rPr>
          <w:rFonts w:ascii="Times New Roman" w:cs="Times New Roman" w:eastAsia="Times New Roman" w:hAnsi="Times New Roman"/>
          <w:sz w:val="16"/>
          <w:szCs w:val="16"/>
          <w:color w:val="auto"/>
        </w:rPr>
      </w:pPr>
    </w:p>
    <w:p>
      <w:pPr>
        <w:ind w:left="1081" w:hanging="213"/>
        <w:spacing w:after="0"/>
        <w:tabs>
          <w:tab w:leader="none" w:pos="108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or become party to or adopt a plan of liquidation or dissolution with respect to any Party or any of its Subsidiaries.</w:t>
      </w:r>
    </w:p>
    <w:p>
      <w:pPr>
        <w:spacing w:after="0" w:line="19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shall have the meaning given to such term in Rule 145 under the Securities Act.</w:t>
      </w:r>
    </w:p>
    <w:p>
      <w:pPr>
        <w:spacing w:after="0" w:line="137"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41"/>
          </w:cols>
          <w:pgMar w:left="1119" w:top="251" w:right="113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5"/>
          <w:szCs w:val="15"/>
          <w:b w:val="1"/>
          <w:bCs w:val="1"/>
          <w:color w:val="auto"/>
        </w:rPr>
        <w:t>Affordable Care Act</w:t>
      </w:r>
      <w:r>
        <w:rPr>
          <w:rFonts w:ascii="Times New Roman" w:cs="Times New Roman" w:eastAsia="Times New Roman" w:hAnsi="Times New Roman"/>
          <w:sz w:val="15"/>
          <w:szCs w:val="15"/>
          <w:color w:val="auto"/>
        </w:rPr>
        <w:t>” means the Patient Protection and Affordable Care Act, as amended by the Health Care and Education Reconciliation Act.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Allocation Certificate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6.16</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Disposition Proceeds</w:t>
      </w:r>
      <w:r>
        <w:rPr>
          <w:rFonts w:ascii="Times New Roman" w:cs="Times New Roman" w:eastAsia="Times New Roman" w:hAnsi="Times New Roman"/>
          <w:sz w:val="16"/>
          <w:szCs w:val="16"/>
          <w:color w:val="auto"/>
        </w:rPr>
        <w:t>” means the proceeds, in whatever form or amount, received by Gem prior to the Effective Time in respect of any sale, transfer, license, assignment or other transaction with respect to any of Gem’s tangible or intangible assets.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a day on which banks in the State of New York are authorized or obligated to be closed.</w:t>
      </w:r>
    </w:p>
    <w:p>
      <w:pPr>
        <w:spacing w:after="0" w:line="194" w:lineRule="exact"/>
        <w:rPr>
          <w:sz w:val="20"/>
          <w:szCs w:val="20"/>
          <w:color w:val="auto"/>
        </w:rPr>
      </w:pPr>
    </w:p>
    <w:p>
      <w:pPr>
        <w:ind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COBRA</w:t>
      </w:r>
      <w:r>
        <w:rPr>
          <w:rFonts w:ascii="Times New Roman" w:cs="Times New Roman" w:eastAsia="Times New Roman" w:hAnsi="Times New Roman"/>
          <w:sz w:val="16"/>
          <w:szCs w:val="16"/>
          <w:color w:val="auto"/>
        </w:rPr>
        <w:t>” means the Consolidated Omnibus Budget Reconciliation Act of 1985, as set forth in Section 4980B of the Code and Part 6 of Title I of ERISA.</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194" w:lineRule="exact"/>
        <w:rPr>
          <w:sz w:val="20"/>
          <w:szCs w:val="20"/>
          <w:color w:val="auto"/>
        </w:rPr>
      </w:pPr>
    </w:p>
    <w:p>
      <w:pPr>
        <w:ind w:right="7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Associate</w:t>
      </w:r>
      <w:r>
        <w:rPr>
          <w:rFonts w:ascii="Times New Roman" w:cs="Times New Roman" w:eastAsia="Times New Roman" w:hAnsi="Times New Roman"/>
          <w:sz w:val="16"/>
          <w:szCs w:val="16"/>
          <w:color w:val="auto"/>
        </w:rPr>
        <w:t>” means any current or former employee, independent contractor, officer or director of the Company or any of its Subsidiaries.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Board</w:t>
      </w:r>
      <w:r>
        <w:rPr>
          <w:rFonts w:ascii="Times New Roman" w:cs="Times New Roman" w:eastAsia="Times New Roman" w:hAnsi="Times New Roman"/>
          <w:sz w:val="16"/>
          <w:szCs w:val="16"/>
          <w:color w:val="auto"/>
        </w:rPr>
        <w:t>” means the board of directors of the Company.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Capital Stock</w:t>
      </w:r>
      <w:r>
        <w:rPr>
          <w:rFonts w:ascii="Times New Roman" w:cs="Times New Roman" w:eastAsia="Times New Roman" w:hAnsi="Times New Roman"/>
          <w:sz w:val="16"/>
          <w:szCs w:val="16"/>
          <w:color w:val="auto"/>
        </w:rPr>
        <w:t>” means the Company Common Stock and the Company Preferred Stock.</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Capitalization Representations</w:t>
      </w:r>
      <w:r>
        <w:rPr>
          <w:rFonts w:ascii="Times New Roman" w:cs="Times New Roman" w:eastAsia="Times New Roman" w:hAnsi="Times New Roman"/>
          <w:sz w:val="16"/>
          <w:szCs w:val="16"/>
          <w:color w:val="auto"/>
        </w:rPr>
        <w:t xml:space="preserve">” means the representations and warranties of the Company set forth in </w:t>
      </w:r>
      <w:r>
        <w:rPr>
          <w:rFonts w:ascii="Times New Roman" w:cs="Times New Roman" w:eastAsia="Times New Roman" w:hAnsi="Times New Roman"/>
          <w:sz w:val="16"/>
          <w:szCs w:val="16"/>
          <w:u w:val="single" w:color="auto"/>
          <w:color w:val="auto"/>
        </w:rPr>
        <w:t>Sections 3.6(a)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3.6(d)</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Common Stock</w:t>
      </w:r>
      <w:r>
        <w:rPr>
          <w:rFonts w:ascii="Times New Roman" w:cs="Times New Roman" w:eastAsia="Times New Roman" w:hAnsi="Times New Roman"/>
          <w:sz w:val="16"/>
          <w:szCs w:val="16"/>
          <w:color w:val="auto"/>
        </w:rPr>
        <w:t>” means the common stock, $0.0001 par value per share, of the Company.</w:t>
      </w:r>
    </w:p>
    <w:p>
      <w:pPr>
        <w:spacing w:after="0" w:line="194" w:lineRule="exact"/>
        <w:rPr>
          <w:sz w:val="20"/>
          <w:szCs w:val="20"/>
          <w:color w:val="auto"/>
        </w:rPr>
      </w:pPr>
    </w:p>
    <w:p>
      <w:pPr>
        <w:jc w:val="both"/>
        <w:ind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Contract</w:t>
      </w:r>
      <w:r>
        <w:rPr>
          <w:rFonts w:ascii="Times New Roman" w:cs="Times New Roman" w:eastAsia="Times New Roman" w:hAnsi="Times New Roman"/>
          <w:sz w:val="16"/>
          <w:szCs w:val="16"/>
          <w:color w:val="auto"/>
        </w:rPr>
        <w:t>” means any Contract: (a) to which the Company or any of its Subsidiaries is a party, (b) by which the Company or any of its Subsidiaries is or may become bound or under which the Company or any of its Subsidiaries has, or may become subject to, any obligation or (c) under which the Company or any of its Subsidiaries has or may acquire any right or interest.</w:t>
      </w:r>
    </w:p>
    <w:p>
      <w:pPr>
        <w:spacing w:after="0" w:line="154"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Employee Plan</w:t>
      </w:r>
      <w:r>
        <w:rPr>
          <w:rFonts w:ascii="Times New Roman" w:cs="Times New Roman" w:eastAsia="Times New Roman" w:hAnsi="Times New Roman"/>
          <w:sz w:val="16"/>
          <w:szCs w:val="16"/>
          <w:color w:val="auto"/>
        </w:rPr>
        <w:t>” means any Employee Plan that the Company or any of its Subsidiaries sponsors, contributes to, or provides benefits under or through, or has any obligation to contribute to or provide benefits under or through, or if such plan provides benefits to or otherwise covers any current or former employee, officer, director or other service provider of the Company or any of its Subsidiaries (or their spouses, dependents, or beneficiaries) or with respect to which the Company or any of its Subsidiaries has or may have any liability (contingent or otherwise, including by reason of being an ERISA Affiliate).</w:t>
      </w:r>
    </w:p>
    <w:p>
      <w:pPr>
        <w:spacing w:after="0" w:line="162" w:lineRule="exact"/>
        <w:rPr>
          <w:sz w:val="20"/>
          <w:szCs w:val="20"/>
          <w:color w:val="auto"/>
        </w:rPr>
      </w:pPr>
    </w:p>
    <w:p>
      <w:pPr>
        <w:ind w:right="3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Fundamental Representations</w:t>
      </w:r>
      <w:r>
        <w:rPr>
          <w:rFonts w:ascii="Times New Roman" w:cs="Times New Roman" w:eastAsia="Times New Roman" w:hAnsi="Times New Roman"/>
          <w:sz w:val="16"/>
          <w:szCs w:val="16"/>
          <w:color w:val="auto"/>
        </w:rPr>
        <w:t xml:space="preserve">” means the representations and warranties of the Company set forth in </w:t>
      </w:r>
      <w:r>
        <w:rPr>
          <w:rFonts w:ascii="Times New Roman" w:cs="Times New Roman" w:eastAsia="Times New Roman" w:hAnsi="Times New Roman"/>
          <w:sz w:val="16"/>
          <w:szCs w:val="16"/>
          <w:u w:val="single" w:color="auto"/>
          <w:color w:val="auto"/>
        </w:rPr>
        <w:t>Sections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3.5(a)(i)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20"/>
          </w:cols>
          <w:pgMar w:left="1120" w:top="251" w:right="1159" w:bottom="1440" w:gutter="0" w:footer="0" w:header="0"/>
        </w:sectPr>
      </w:pPr>
    </w:p>
    <w:bookmarkStart w:id="19" w:name="page20"/>
    <w:bookmarkEnd w:id="19"/>
    <w:p>
      <w:pPr>
        <w:ind w:right="10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Company IP Rights</w:t>
      </w:r>
      <w:r>
        <w:rPr>
          <w:rFonts w:ascii="Times New Roman" w:cs="Times New Roman" w:eastAsia="Times New Roman" w:hAnsi="Times New Roman"/>
          <w:sz w:val="16"/>
          <w:szCs w:val="16"/>
          <w:color w:val="auto"/>
        </w:rPr>
        <w:t>” means all Intellectual Property owned, licensed, or controlled by the Company or any of its Subsidiaries that is necessary for or used in the operation of the business of the Company or any of its Subsidiaries as presently conducted.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IP Rights Agreement</w:t>
      </w:r>
      <w:r>
        <w:rPr>
          <w:rFonts w:ascii="Times New Roman" w:cs="Times New Roman" w:eastAsia="Times New Roman" w:hAnsi="Times New Roman"/>
          <w:sz w:val="15"/>
          <w:szCs w:val="15"/>
          <w:color w:val="auto"/>
        </w:rPr>
        <w:t>” means any instrument, Contract or agreement governing, related to or pertaining to any Company IP Rights.</w:t>
      </w:r>
    </w:p>
    <w:p>
      <w:pPr>
        <w:spacing w:after="0" w:line="206" w:lineRule="exact"/>
        <w:rPr>
          <w:sz w:val="20"/>
          <w:szCs w:val="20"/>
          <w:color w:val="auto"/>
        </w:rPr>
      </w:pPr>
    </w:p>
    <w:p>
      <w:pPr>
        <w:ind w:firstLine="386"/>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Material Adverse Effect</w:t>
      </w:r>
      <w:r>
        <w:rPr>
          <w:rFonts w:ascii="Times New Roman" w:cs="Times New Roman" w:eastAsia="Times New Roman" w:hAnsi="Times New Roman"/>
          <w:sz w:val="15"/>
          <w:szCs w:val="15"/>
          <w:color w:val="auto"/>
        </w:rPr>
        <w:t>”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or applicable Law or the interpretation thereof, or (e) general economic or political conditions or conditions generally affecting the industries in which the Company and its Subsidiaries operate; except in each case with respect to clauses (c), (d) and (e), to the extent disproportionately affecting the Company and its Subsidiaries, taken as a whole, relative to other similarly situated companies in the industries in which the Company and its Subsidiaries operate.</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Options</w:t>
      </w:r>
      <w:r>
        <w:rPr>
          <w:rFonts w:ascii="Times New Roman" w:cs="Times New Roman" w:eastAsia="Times New Roman" w:hAnsi="Times New Roman"/>
          <w:sz w:val="16"/>
          <w:szCs w:val="16"/>
          <w:color w:val="auto"/>
        </w:rPr>
        <w:t>” means options or other rights to purchase shares of Company Capital Stock issued by the Company.</w:t>
      </w:r>
    </w:p>
    <w:p>
      <w:pPr>
        <w:spacing w:after="0" w:line="194" w:lineRule="exact"/>
        <w:rPr>
          <w:sz w:val="20"/>
          <w:szCs w:val="20"/>
          <w:color w:val="auto"/>
        </w:rPr>
      </w:pPr>
    </w:p>
    <w:p>
      <w:pPr>
        <w:jc w:val="both"/>
        <w:ind w:right="18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Pre-Closing Financing</w:t>
      </w:r>
      <w:r>
        <w:rPr>
          <w:rFonts w:ascii="Times New Roman" w:cs="Times New Roman" w:eastAsia="Times New Roman" w:hAnsi="Times New Roman"/>
          <w:sz w:val="16"/>
          <w:szCs w:val="16"/>
          <w:color w:val="auto"/>
        </w:rPr>
        <w:t>” means an acquisition of Company Common Stock to be consummated prior to the Closing pursuant to the Subscription Agreement with aggregate gross cash proceeds to the Company not to exceed $53,500,000 (not including any conversion of promissory notes (which promissory notes were outstanding as of the date of this Agreement) in connection therewith).</w:t>
      </w:r>
    </w:p>
    <w:p>
      <w:pPr>
        <w:spacing w:after="0" w:line="154" w:lineRule="exact"/>
        <w:rPr>
          <w:sz w:val="20"/>
          <w:szCs w:val="20"/>
          <w:color w:val="auto"/>
        </w:rPr>
      </w:pPr>
    </w:p>
    <w:p>
      <w:pPr>
        <w:jc w:val="both"/>
        <w:ind w:right="28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Registered IP</w:t>
      </w:r>
      <w:r>
        <w:rPr>
          <w:rFonts w:ascii="Times New Roman" w:cs="Times New Roman" w:eastAsia="Times New Roman" w:hAnsi="Times New Roman"/>
          <w:sz w:val="16"/>
          <w:szCs w:val="16"/>
          <w:color w:val="auto"/>
        </w:rPr>
        <w:t>” means all Company IP Rights that are owned or exclusively licensed by the Company that are registered, filed or issued under the authority of, with or by any Governmental Authority, including all patents, registered copyrights and registered trademarks and any application or registration for any of the foregoing.</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Stockholder Support Agreements</w:t>
      </w:r>
      <w:r>
        <w:rPr>
          <w:rFonts w:ascii="Times New Roman" w:cs="Times New Roman" w:eastAsia="Times New Roman" w:hAnsi="Times New Roman"/>
          <w:sz w:val="16"/>
          <w:szCs w:val="16"/>
          <w:color w:val="auto"/>
        </w:rPr>
        <w:t>” shall have the meaning set forth in the recitals.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Stockholder Written Consent</w:t>
      </w:r>
      <w:r>
        <w:rPr>
          <w:rFonts w:ascii="Times New Roman" w:cs="Times New Roman" w:eastAsia="Times New Roman" w:hAnsi="Times New Roman"/>
          <w:sz w:val="16"/>
          <w:szCs w:val="16"/>
          <w:color w:val="auto"/>
        </w:rPr>
        <w:t>” shall have the meaning set forth in the recitals.</w:t>
      </w:r>
    </w:p>
    <w:p>
      <w:pPr>
        <w:spacing w:after="0" w:line="194" w:lineRule="exact"/>
        <w:rPr>
          <w:sz w:val="20"/>
          <w:szCs w:val="20"/>
          <w:color w:val="auto"/>
        </w:rPr>
      </w:pPr>
    </w:p>
    <w:p>
      <w:pPr>
        <w:ind w:right="22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Triggering Event</w:t>
      </w:r>
      <w:r>
        <w:rPr>
          <w:rFonts w:ascii="Times New Roman" w:cs="Times New Roman" w:eastAsia="Times New Roman" w:hAnsi="Times New Roman"/>
          <w:sz w:val="16"/>
          <w:szCs w:val="16"/>
          <w:color w:val="auto"/>
        </w:rPr>
        <w:t xml:space="preserve">” shall be deemed to have occurred if: (a) the Company Board or any committee thereof shall have made a Company Board Adverse Recommendation Change or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20"/>
          </w:cols>
          <w:pgMar w:left="1120" w:top="251" w:right="1159" w:bottom="1440" w:gutter="0" w:footer="0" w:header="0"/>
        </w:sectPr>
      </w:pPr>
    </w:p>
    <w:bookmarkStart w:id="20" w:name="page21"/>
    <w:bookmarkEnd w:id="20"/>
    <w:p>
      <w:pPr>
        <w:jc w:val="both"/>
        <w:ind w:left="1" w:right="30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Company Unaudited Interim Balance Sheet</w:t>
      </w:r>
      <w:r>
        <w:rPr>
          <w:rFonts w:ascii="Times New Roman" w:cs="Times New Roman" w:eastAsia="Times New Roman" w:hAnsi="Times New Roman"/>
          <w:sz w:val="16"/>
          <w:szCs w:val="16"/>
          <w:color w:val="auto"/>
        </w:rPr>
        <w:t>” means the unaudited consolidated balance sheet of the Company for the three- month period ended March 31, 2022 provided to Gem prior to the date of this Agreement.</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Confidentiality Agreement</w:t>
      </w:r>
      <w:r>
        <w:rPr>
          <w:rFonts w:ascii="Times New Roman" w:cs="Times New Roman" w:eastAsia="Times New Roman" w:hAnsi="Times New Roman"/>
          <w:sz w:val="16"/>
          <w:szCs w:val="16"/>
          <w:color w:val="auto"/>
        </w:rPr>
        <w:t>” means the Mutual Non-Disclosure Agreement, dated as of January 31, 2022, between the Company and Gem.</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w:t>
      </w:r>
      <w:r>
        <w:rPr>
          <w:rFonts w:ascii="Times New Roman" w:cs="Times New Roman" w:eastAsia="Times New Roman" w:hAnsi="Times New Roman"/>
          <w:sz w:val="16"/>
          <w:szCs w:val="16"/>
          <w:color w:val="auto"/>
        </w:rPr>
        <w:t>” means any approval, consent, ratification, permission, waiver or authorization (including any Governmental Authorization).</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Contemplated Transactions</w:t>
      </w:r>
      <w:r>
        <w:rPr>
          <w:rFonts w:ascii="Times New Roman" w:cs="Times New Roman" w:eastAsia="Times New Roman" w:hAnsi="Times New Roman"/>
          <w:sz w:val="16"/>
          <w:szCs w:val="16"/>
          <w:color w:val="auto"/>
        </w:rPr>
        <w:t>” means the Merger and the other transactions contemplated by this Agreement.</w:t>
      </w:r>
    </w:p>
    <w:p>
      <w:pPr>
        <w:spacing w:after="0" w:line="194" w:lineRule="exact"/>
        <w:rPr>
          <w:sz w:val="20"/>
          <w:szCs w:val="20"/>
          <w:color w:val="auto"/>
        </w:rPr>
      </w:pPr>
    </w:p>
    <w:p>
      <w:pPr>
        <w:jc w:val="both"/>
        <w:ind w:left="1" w:right="32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Contract</w:t>
      </w:r>
      <w:r>
        <w:rPr>
          <w:rFonts w:ascii="Times New Roman" w:cs="Times New Roman" w:eastAsia="Times New Roman" w:hAnsi="Times New Roman"/>
          <w:sz w:val="16"/>
          <w:szCs w:val="16"/>
          <w:color w:val="auto"/>
        </w:rPr>
        <w:t>” means any agreement, contract, instrument, subcontract, lease (whether for real or personal property), mortgage, license, or other legally binding commitment or undertaking of any nature to which such Person is a party or by which such Person or any of its assets are bound or affected, whether written or oral.</w:t>
      </w:r>
    </w:p>
    <w:p>
      <w:pPr>
        <w:spacing w:after="0" w:line="154" w:lineRule="exact"/>
        <w:rPr>
          <w:sz w:val="20"/>
          <w:szCs w:val="20"/>
          <w:color w:val="auto"/>
        </w:rPr>
      </w:pPr>
    </w:p>
    <w:p>
      <w:pPr>
        <w:ind w:left="1" w:firstLine="386"/>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Expenditure Amount</w:t>
      </w:r>
      <w:r>
        <w:rPr>
          <w:rFonts w:ascii="Times New Roman" w:cs="Times New Roman" w:eastAsia="Times New Roman" w:hAnsi="Times New Roman"/>
          <w:sz w:val="15"/>
          <w:szCs w:val="15"/>
          <w:color w:val="auto"/>
        </w:rPr>
        <w:t>” means an amount in dollars, equal to $250,000, to be deducted from the definition of Gem Net Cash and used by Gem solely to fund its activities pursuant to the CVR Agreement, including to maintain the viability of, and potentially sell, assign, license, or otherwise dispose of, in one or more transactions some or all of any non-cash assets of Gem that remain in possession or control of Gem as of the Closing.</w:t>
      </w:r>
    </w:p>
    <w:p>
      <w:pPr>
        <w:spacing w:after="0" w:line="136"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DGCL</w:t>
      </w:r>
      <w:r>
        <w:rPr>
          <w:rFonts w:ascii="Times New Roman" w:cs="Times New Roman" w:eastAsia="Times New Roman" w:hAnsi="Times New Roman"/>
          <w:sz w:val="16"/>
          <w:szCs w:val="16"/>
          <w:color w:val="auto"/>
        </w:rPr>
        <w:t>” means the General Corporation Law of the State of Delaware.</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w:t>
      </w:r>
      <w:r>
        <w:rPr>
          <w:rFonts w:ascii="Times New Roman" w:cs="Times New Roman" w:eastAsia="Times New Roman" w:hAnsi="Times New Roman"/>
          <w:sz w:val="16"/>
          <w:szCs w:val="16"/>
          <w:color w:val="auto"/>
        </w:rPr>
        <w:t>” means any effect, change, event, circumstance, or development.</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Employee Plan</w:t>
      </w:r>
      <w:r>
        <w:rPr>
          <w:rFonts w:ascii="Times New Roman" w:cs="Times New Roman" w:eastAsia="Times New Roman" w:hAnsi="Times New Roman"/>
          <w:sz w:val="16"/>
          <w:szCs w:val="16"/>
          <w:color w:val="auto"/>
        </w:rPr>
        <w:t>” means (A) an “employee benefit plan” within the meaning of Section 3(3) of ERISA, whether or not subject to ERISA;</w:t>
      </w:r>
    </w:p>
    <w:p>
      <w:pPr>
        <w:spacing w:after="0" w:line="24" w:lineRule="exact"/>
        <w:rPr>
          <w:sz w:val="20"/>
          <w:szCs w:val="20"/>
          <w:color w:val="auto"/>
        </w:rPr>
      </w:pPr>
    </w:p>
    <w:p>
      <w:pPr>
        <w:ind w:left="1" w:right="40" w:hanging="1"/>
        <w:spacing w:after="0" w:line="248" w:lineRule="auto"/>
        <w:tabs>
          <w:tab w:leader="none" w:pos="2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 plans, stock purchase plans, equity-based plans, retention plans, profit sharing plans, bonus (including any annual bonus and retention bonus) or incentive plans, programs or arrangements, deferred compensation arrangements or agreements, employment or severance pay plans, programs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66" w:lineRule="exact"/>
        <w:rPr>
          <w:sz w:val="20"/>
          <w:szCs w:val="20"/>
          <w:color w:val="auto"/>
        </w:rPr>
      </w:pPr>
    </w:p>
    <w:p>
      <w:pPr>
        <w:ind w:left="1" w:right="10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Encumbrance</w:t>
      </w:r>
      <w:r>
        <w:rPr>
          <w:rFonts w:ascii="Times New Roman" w:cs="Times New Roman" w:eastAsia="Times New Roman" w:hAnsi="Times New Roman"/>
          <w:sz w:val="16"/>
          <w:szCs w:val="16"/>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21"/>
          </w:cols>
          <w:pgMar w:left="1119" w:top="251" w:right="1159" w:bottom="1440" w:gutter="0" w:footer="0" w:header="0"/>
        </w:sectPr>
      </w:pPr>
    </w:p>
    <w:bookmarkStart w:id="21" w:name="page22"/>
    <w:bookmarkEnd w:id="21"/>
    <w:p>
      <w:pPr>
        <w:ind w:right="14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Enforceability Exceptions</w:t>
      </w:r>
      <w:r>
        <w:rPr>
          <w:rFonts w:ascii="Times New Roman" w:cs="Times New Roman" w:eastAsia="Times New Roman" w:hAnsi="Times New Roman"/>
          <w:sz w:val="16"/>
          <w:szCs w:val="16"/>
          <w:color w:val="auto"/>
        </w:rPr>
        <w:t>” means the (a) Laws of general application relating to bankruptcy, insolvency and the relief of debtors and (b) rules of law governing specific performance, injunctive relief and other equitable remedies.</w:t>
      </w:r>
    </w:p>
    <w:p>
      <w:pPr>
        <w:spacing w:after="0" w:line="141" w:lineRule="exact"/>
        <w:rPr>
          <w:sz w:val="20"/>
          <w:szCs w:val="20"/>
          <w:color w:val="auto"/>
        </w:rPr>
      </w:pPr>
    </w:p>
    <w:p>
      <w:pPr>
        <w:jc w:val="both"/>
        <w:ind w:right="30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Entity</w:t>
      </w:r>
      <w:r>
        <w:rPr>
          <w:rFonts w:ascii="Times New Roman" w:cs="Times New Roman" w:eastAsia="Times New Roman" w:hAnsi="Times New Roman"/>
          <w:sz w:val="16"/>
          <w:szCs w:val="16"/>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54" w:lineRule="exact"/>
        <w:rPr>
          <w:sz w:val="20"/>
          <w:szCs w:val="20"/>
          <w:color w:val="auto"/>
        </w:rPr>
      </w:pPr>
    </w:p>
    <w:p>
      <w:pPr>
        <w:ind w:right="8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Environmental Law</w:t>
      </w:r>
      <w:r>
        <w:rPr>
          <w:rFonts w:ascii="Times New Roman" w:cs="Times New Roman" w:eastAsia="Times New Roman" w:hAnsi="Times New Roman"/>
          <w:sz w:val="16"/>
          <w:szCs w:val="16"/>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as amended.</w:t>
      </w:r>
    </w:p>
    <w:p>
      <w:pPr>
        <w:spacing w:after="0" w:line="194" w:lineRule="exact"/>
        <w:rPr>
          <w:sz w:val="20"/>
          <w:szCs w:val="20"/>
          <w:color w:val="auto"/>
        </w:rPr>
      </w:pPr>
    </w:p>
    <w:p>
      <w:pPr>
        <w:ind w:right="4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 Affiliate</w:t>
      </w:r>
      <w:r>
        <w:rPr>
          <w:rFonts w:ascii="Times New Roman" w:cs="Times New Roman" w:eastAsia="Times New Roman" w:hAnsi="Times New Roman"/>
          <w:sz w:val="16"/>
          <w:szCs w:val="16"/>
          <w:color w:val="auto"/>
        </w:rPr>
        <w:t>” means, with respect to any Entity, any other entity, trade or business that is, or at any applicable time was, a member of a group described in Section 414(b), (c), (m) or (o) of the Code or Section 4001(b)(1) of ERISA that includes such Entity.</w:t>
      </w:r>
    </w:p>
    <w:p>
      <w:pPr>
        <w:spacing w:after="0" w:line="141" w:lineRule="exact"/>
        <w:rPr>
          <w:sz w:val="20"/>
          <w:szCs w:val="20"/>
          <w:color w:val="auto"/>
        </w:rPr>
      </w:pPr>
    </w:p>
    <w:p>
      <w:pPr>
        <w:jc w:val="both"/>
        <w:ind w:firstLine="386"/>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Plan Amendments</w:t>
      </w:r>
      <w:r>
        <w:rPr>
          <w:rFonts w:ascii="Times New Roman" w:cs="Times New Roman" w:eastAsia="Times New Roman" w:hAnsi="Times New Roman"/>
          <w:sz w:val="15"/>
          <w:szCs w:val="15"/>
          <w:color w:val="auto"/>
        </w:rPr>
        <w:t>” means (a) an amendment to the Gem 2021 Stock Option and Incentive Plan to provide for such number of shares of common stock of Gem equal to nine and a half percent (9.5%) on a fully diluted basis to be available for grant or issuance thereunder, as calculated to be as of immediately following the Closing, and (b) an amendment to the Gem ESPP to provide for such number of shares of common stock of Gem equal to one percent (1%) on a fully diluted basis to be available for purchase thereunder, as calculated to be as of immediately following the Closing.</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Ratio</w:t>
      </w:r>
      <w:r>
        <w:rPr>
          <w:rFonts w:ascii="Times New Roman" w:cs="Times New Roman" w:eastAsia="Times New Roman" w:hAnsi="Times New Roman"/>
          <w:sz w:val="15"/>
          <w:szCs w:val="15"/>
          <w:color w:val="auto"/>
        </w:rPr>
        <w:t xml:space="preserve">” means, subject to </w:t>
      </w:r>
      <w:r>
        <w:rPr>
          <w:rFonts w:ascii="Times New Roman" w:cs="Times New Roman" w:eastAsia="Times New Roman" w:hAnsi="Times New Roman"/>
          <w:sz w:val="15"/>
          <w:szCs w:val="15"/>
          <w:u w:val="single" w:color="auto"/>
          <w:color w:val="auto"/>
        </w:rPr>
        <w:t>Section 2.5(f)</w:t>
      </w:r>
      <w:r>
        <w:rPr>
          <w:rFonts w:ascii="Times New Roman" w:cs="Times New Roman" w:eastAsia="Times New Roman" w:hAnsi="Times New Roman"/>
          <w:sz w:val="15"/>
          <w:szCs w:val="15"/>
          <w:color w:val="auto"/>
        </w:rPr>
        <w:t>, the following ratio (rounded to four decimal places): the quotient obtained by dividing (a)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Merger Shares by (b) the Company Outstanding Shares, in which:</w:t>
      </w:r>
    </w:p>
    <w:p>
      <w:pPr>
        <w:spacing w:after="0" w:line="92" w:lineRule="exact"/>
        <w:rPr>
          <w:sz w:val="20"/>
          <w:szCs w:val="20"/>
          <w:color w:val="auto"/>
        </w:rPr>
      </w:pPr>
    </w:p>
    <w:p>
      <w:pPr>
        <w:ind w:left="1240" w:hanging="283"/>
        <w:spacing w:after="0"/>
        <w:tabs>
          <w:tab w:leader="none" w:pos="1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Aggregate Valuation</w:t>
      </w:r>
      <w:r>
        <w:rPr>
          <w:rFonts w:ascii="Times New Roman" w:cs="Times New Roman" w:eastAsia="Times New Roman" w:hAnsi="Times New Roman"/>
          <w:sz w:val="16"/>
          <w:szCs w:val="16"/>
          <w:color w:val="auto"/>
        </w:rPr>
        <w:t>” means the sum of (i) the Company Valuation, plus (ii) the Gem Valuation.</w:t>
      </w:r>
    </w:p>
    <w:p>
      <w:pPr>
        <w:spacing w:after="0" w:line="111" w:lineRule="exact"/>
        <w:rPr>
          <w:rFonts w:ascii="Times New Roman" w:cs="Times New Roman" w:eastAsia="Times New Roman" w:hAnsi="Times New Roman"/>
          <w:sz w:val="16"/>
          <w:szCs w:val="16"/>
          <w:color w:val="auto"/>
        </w:rPr>
      </w:pPr>
    </w:p>
    <w:p>
      <w:pPr>
        <w:ind w:left="1240" w:right="180" w:hanging="283"/>
        <w:spacing w:after="0" w:line="278" w:lineRule="auto"/>
        <w:tabs>
          <w:tab w:leader="none" w:pos="1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Allocation Percentage</w:t>
      </w:r>
      <w:r>
        <w:rPr>
          <w:rFonts w:ascii="Times New Roman" w:cs="Times New Roman" w:eastAsia="Times New Roman" w:hAnsi="Times New Roman"/>
          <w:sz w:val="16"/>
          <w:szCs w:val="16"/>
          <w:color w:val="auto"/>
        </w:rPr>
        <w:t>” means the quotient (rounded to four decimal places) determined by dividing (i) the Company Valuation by (ii) the Aggregate Valuation.</w:t>
      </w:r>
    </w:p>
    <w:p>
      <w:pPr>
        <w:spacing w:after="0" w:line="58" w:lineRule="exact"/>
        <w:rPr>
          <w:rFonts w:ascii="Times New Roman" w:cs="Times New Roman" w:eastAsia="Times New Roman" w:hAnsi="Times New Roman"/>
          <w:sz w:val="16"/>
          <w:szCs w:val="16"/>
          <w:color w:val="auto"/>
        </w:rPr>
      </w:pPr>
    </w:p>
    <w:p>
      <w:pPr>
        <w:ind w:left="1240" w:right="140" w:hanging="283"/>
        <w:spacing w:after="0" w:line="278" w:lineRule="auto"/>
        <w:tabs>
          <w:tab w:leader="none" w:pos="1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Merger Shares</w:t>
      </w:r>
      <w:r>
        <w:rPr>
          <w:rFonts w:ascii="Times New Roman" w:cs="Times New Roman" w:eastAsia="Times New Roman" w:hAnsi="Times New Roman"/>
          <w:sz w:val="16"/>
          <w:szCs w:val="16"/>
          <w:color w:val="auto"/>
        </w:rPr>
        <w:t>” means the product (rounded down to the nearest whole share) determined by multiplying (i) the Post-Closing Gem Shares by (ii) the Company Allocation Percentage.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40"/>
          </w:cols>
          <w:pgMar w:left="1120" w:top="251" w:right="1139" w:bottom="1440" w:gutter="0" w:footer="0" w:header="0"/>
        </w:sectPr>
      </w:pPr>
    </w:p>
    <w:bookmarkStart w:id="22" w:name="page23"/>
    <w:bookmarkEnd w:id="22"/>
    <w:p>
      <w:pPr>
        <w:ind w:left="920" w:hanging="283"/>
        <w:spacing w:after="0" w:line="250"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Company Outstanding Shares</w:t>
      </w:r>
      <w:r>
        <w:rPr>
          <w:rFonts w:ascii="Times New Roman" w:cs="Times New Roman" w:eastAsia="Times New Roman" w:hAnsi="Times New Roman"/>
          <w:sz w:val="16"/>
          <w:szCs w:val="16"/>
          <w:color w:val="auto"/>
        </w:rPr>
        <w:t xml:space="preserve">” means, subject to </w:t>
      </w:r>
      <w:r>
        <w:rPr>
          <w:rFonts w:ascii="Times New Roman" w:cs="Times New Roman" w:eastAsia="Times New Roman" w:hAnsi="Times New Roman"/>
          <w:sz w:val="16"/>
          <w:szCs w:val="16"/>
          <w:u w:val="single" w:color="auto"/>
          <w:color w:val="auto"/>
        </w:rPr>
        <w:t>Section 2.5(f)</w:t>
      </w:r>
      <w:r>
        <w:rPr>
          <w:rFonts w:ascii="Times New Roman" w:cs="Times New Roman" w:eastAsia="Times New Roman" w:hAnsi="Times New Roman"/>
          <w:sz w:val="16"/>
          <w:szCs w:val="16"/>
          <w:color w:val="auto"/>
        </w:rPr>
        <w:t xml:space="preserve">, the total number of shares of Company Capital Stock outstanding immediately prior to the Effective Time expressed on a fully-diluted and as-converted to Company Common Stock basis assuming, without limitation or duplication, (i) the exercise in full of all Company Options outstanding as of immediately prior to the Effective Time that are not cancelled at the Effective Time pursuant to </w:t>
      </w:r>
      <w:r>
        <w:rPr>
          <w:rFonts w:ascii="Times New Roman" w:cs="Times New Roman" w:eastAsia="Times New Roman" w:hAnsi="Times New Roman"/>
          <w:sz w:val="16"/>
          <w:szCs w:val="16"/>
          <w:u w:val="single" w:color="auto"/>
          <w:color w:val="auto"/>
        </w:rPr>
        <w:t>Section 6.5(a)</w:t>
      </w:r>
      <w:r>
        <w:rPr>
          <w:rFonts w:ascii="Times New Roman" w:cs="Times New Roman" w:eastAsia="Times New Roman" w:hAnsi="Times New Roman"/>
          <w:sz w:val="16"/>
          <w:szCs w:val="16"/>
          <w:color w:val="auto"/>
        </w:rPr>
        <w:t xml:space="preserve"> (and excluding any unvested Company Options that are forfeited at the Effective Time), (ii) the conversion of all shares of Company Preferred Stock into Company Common Stock, and (iii) the issuance of shares of Company Capital Stock in respect of all other outstanding options, warrants, restricted stock units, stock appreciation rights or rights to receive such shares, whether conditional or unconditional and including any outstanding options or rights triggered by or associated with the consummation of the Merger. Company Outstanding Shares shall include all shares of the Company issued in connection with the Company Pre-Closing Financing prior to the Effective Time and exclude any shares to be issued by the Company or Gem following the Effective Time and not in connection with the Merger or the Contemplated Transactions.</w:t>
      </w:r>
    </w:p>
    <w:p>
      <w:pPr>
        <w:spacing w:after="0" w:line="79" w:lineRule="exact"/>
        <w:rPr>
          <w:rFonts w:ascii="Times New Roman" w:cs="Times New Roman" w:eastAsia="Times New Roman" w:hAnsi="Times New Roman"/>
          <w:sz w:val="16"/>
          <w:szCs w:val="16"/>
          <w:color w:val="auto"/>
        </w:rPr>
      </w:pPr>
    </w:p>
    <w:p>
      <w:pPr>
        <w:ind w:left="920" w:right="60" w:hanging="283"/>
        <w:spacing w:after="0" w:line="257"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Valuation”</w:t>
      </w:r>
      <w:r>
        <w:rPr>
          <w:rFonts w:ascii="Times New Roman" w:cs="Times New Roman" w:eastAsia="Times New Roman" w:hAnsi="Times New Roman"/>
          <w:sz w:val="16"/>
          <w:szCs w:val="16"/>
          <w:color w:val="auto"/>
        </w:rPr>
        <w:t xml:space="preserve"> means (i) $260,000,000 plus (ii) the amount of net proceeds actually received by the Company (less any fees, costs and expenses incurred or payable by the Company in connection therewith) in connection with the Company Pre-Closing Financing prior to the Effective Time as set forth in the Allocation Certificate (provided that the gross proceeds of such Company Pre-Closing Financing on which such net proceeds are calculated shall not exceed $53,500,000).</w:t>
      </w:r>
    </w:p>
    <w:p>
      <w:pPr>
        <w:spacing w:after="0" w:line="75" w:lineRule="exact"/>
        <w:rPr>
          <w:rFonts w:ascii="Times New Roman" w:cs="Times New Roman" w:eastAsia="Times New Roman" w:hAnsi="Times New Roman"/>
          <w:sz w:val="16"/>
          <w:szCs w:val="16"/>
          <w:color w:val="auto"/>
        </w:rPr>
      </w:pPr>
    </w:p>
    <w:p>
      <w:pPr>
        <w:ind w:left="920" w:right="180" w:hanging="283"/>
        <w:spacing w:after="0" w:line="278"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Allocation Percentage</w:t>
      </w:r>
      <w:r>
        <w:rPr>
          <w:rFonts w:ascii="Times New Roman" w:cs="Times New Roman" w:eastAsia="Times New Roman" w:hAnsi="Times New Roman"/>
          <w:sz w:val="16"/>
          <w:szCs w:val="16"/>
          <w:color w:val="auto"/>
        </w:rPr>
        <w:t>” means the quotient (rounded to four decimal places) determined by dividing (i) the Gem Valuation by (ii) the Aggregate Valuation.</w:t>
      </w:r>
    </w:p>
    <w:p>
      <w:pPr>
        <w:spacing w:after="0" w:line="58" w:lineRule="exact"/>
        <w:rPr>
          <w:rFonts w:ascii="Times New Roman" w:cs="Times New Roman" w:eastAsia="Times New Roman" w:hAnsi="Times New Roman"/>
          <w:sz w:val="16"/>
          <w:szCs w:val="16"/>
          <w:color w:val="auto"/>
        </w:rPr>
      </w:pPr>
    </w:p>
    <w:p>
      <w:pPr>
        <w:ind w:left="920" w:hanging="283"/>
        <w:spacing w:after="0" w:line="250"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Outstanding Shares</w:t>
      </w:r>
      <w:r>
        <w:rPr>
          <w:rFonts w:ascii="Times New Roman" w:cs="Times New Roman" w:eastAsia="Times New Roman" w:hAnsi="Times New Roman"/>
          <w:sz w:val="16"/>
          <w:szCs w:val="16"/>
          <w:color w:val="auto"/>
        </w:rPr>
        <w:t xml:space="preserve">” means, subject to </w:t>
      </w:r>
      <w:r>
        <w:rPr>
          <w:rFonts w:ascii="Times New Roman" w:cs="Times New Roman" w:eastAsia="Times New Roman" w:hAnsi="Times New Roman"/>
          <w:sz w:val="16"/>
          <w:szCs w:val="16"/>
          <w:u w:val="single" w:color="auto"/>
          <w:color w:val="auto"/>
        </w:rPr>
        <w:t>Section 2.5(f)</w:t>
      </w:r>
      <w:r>
        <w:rPr>
          <w:rFonts w:ascii="Times New Roman" w:cs="Times New Roman" w:eastAsia="Times New Roman" w:hAnsi="Times New Roman"/>
          <w:sz w:val="16"/>
          <w:szCs w:val="16"/>
          <w:color w:val="auto"/>
        </w:rPr>
        <w:t xml:space="preserve"> (including, without limitation, the effects of the Nasdaq Reverse Split), the total number of shares of Gem Common Stock outstanding immediately prior to the Effective Time expressed on a fully-diluted basis, but assuming, without limitation or duplication, (i) the exercise in full of all Gem Options outstanding as of immediately prior to the Effective Time with a per share exercise price that is less than or equal to $4.50 (as adjusted for the Nasdaq Reverse Split), and (ii) the issuance of shares of Gem Common Stock in respect of all other outstanding options (not including Gem Options excluded by clause (i) above), warrants, restricted stock units, restricted stock awards or rights to receive such shares, whether conditional or unconditional and including any outstanding options (other than Gem Options excluded by clause (i) above) or rights triggered by or associated with the consummation of the Merger (but excluding any shares of Gem Common Stock reserved for issuance other than with respect to outstanding Gem Options, restricted stock units, restricted stock awards or rights to receive such shares under the Gem Stock Plans or Gem ESPP as of immediately prior to the Effective Time).</w:t>
      </w:r>
    </w:p>
    <w:p>
      <w:pPr>
        <w:spacing w:after="0" w:line="1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320"/>
          </w:cols>
          <w:pgMar w:left="1440" w:top="251" w:right="1139" w:bottom="1440" w:gutter="0" w:footer="0" w:header="0"/>
        </w:sectPr>
      </w:pPr>
    </w:p>
    <w:bookmarkStart w:id="23" w:name="page24"/>
    <w:bookmarkEnd w:id="23"/>
    <w:p>
      <w:pPr>
        <w:ind w:left="124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Gem Valuation</w:t>
      </w:r>
      <w:r>
        <w:rPr>
          <w:rFonts w:ascii="Times New Roman" w:cs="Times New Roman" w:eastAsia="Times New Roman" w:hAnsi="Times New Roman"/>
          <w:sz w:val="16"/>
          <w:szCs w:val="16"/>
          <w:color w:val="auto"/>
        </w:rPr>
        <w:t>” means $100,000,000 minus the Lower Gem Net Cash Amount (if any), plus the Higher Gem Net Cash Amount (if any), and plus the value of any Asset Disposition Proceeds.</w:t>
      </w:r>
    </w:p>
    <w:p>
      <w:pPr>
        <w:spacing w:after="0" w:line="58" w:lineRule="exact"/>
        <w:rPr>
          <w:rFonts w:ascii="Times New Roman" w:cs="Times New Roman" w:eastAsia="Times New Roman" w:hAnsi="Times New Roman"/>
          <w:sz w:val="16"/>
          <w:szCs w:val="16"/>
          <w:color w:val="auto"/>
        </w:rPr>
      </w:pPr>
    </w:p>
    <w:p>
      <w:pPr>
        <w:ind w:left="1240" w:right="16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Higher Gem Net Cash Amount</w:t>
      </w:r>
      <w:r>
        <w:rPr>
          <w:rFonts w:ascii="Times New Roman" w:cs="Times New Roman" w:eastAsia="Times New Roman" w:hAnsi="Times New Roman"/>
          <w:sz w:val="16"/>
          <w:szCs w:val="16"/>
          <w:color w:val="auto"/>
        </w:rPr>
        <w:t>” means if the Final Net Cash is more than $96,600,000, then the amount by which the Final Net Cash is more than $96,600,000.</w:t>
      </w:r>
    </w:p>
    <w:p>
      <w:pPr>
        <w:spacing w:after="0" w:line="58" w:lineRule="exact"/>
        <w:rPr>
          <w:rFonts w:ascii="Times New Roman" w:cs="Times New Roman" w:eastAsia="Times New Roman" w:hAnsi="Times New Roman"/>
          <w:sz w:val="16"/>
          <w:szCs w:val="16"/>
          <w:color w:val="auto"/>
        </w:rPr>
      </w:pPr>
    </w:p>
    <w:p>
      <w:pPr>
        <w:ind w:left="1240" w:right="2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Lower Gem Net Cash Amount</w:t>
      </w:r>
      <w:r>
        <w:rPr>
          <w:rFonts w:ascii="Times New Roman" w:cs="Times New Roman" w:eastAsia="Times New Roman" w:hAnsi="Times New Roman"/>
          <w:sz w:val="16"/>
          <w:szCs w:val="16"/>
          <w:color w:val="auto"/>
        </w:rPr>
        <w:t>” means if the Final Net Cash is less than $87,400,000, then the amount by which Final Net Cash is less than $87,400,000.</w:t>
      </w:r>
    </w:p>
    <w:p>
      <w:pPr>
        <w:spacing w:after="0" w:line="58" w:lineRule="exact"/>
        <w:rPr>
          <w:rFonts w:ascii="Times New Roman" w:cs="Times New Roman" w:eastAsia="Times New Roman" w:hAnsi="Times New Roman"/>
          <w:sz w:val="16"/>
          <w:szCs w:val="16"/>
          <w:color w:val="auto"/>
        </w:rPr>
      </w:pPr>
    </w:p>
    <w:p>
      <w:pPr>
        <w:ind w:left="1240" w:right="12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Post-Closing Gem Shares</w:t>
      </w:r>
      <w:r>
        <w:rPr>
          <w:rFonts w:ascii="Times New Roman" w:cs="Times New Roman" w:eastAsia="Times New Roman" w:hAnsi="Times New Roman"/>
          <w:sz w:val="16"/>
          <w:szCs w:val="16"/>
          <w:color w:val="auto"/>
        </w:rPr>
        <w:t>” mean the quotient determined by dividing (i) the Gem Outstanding Shares by (ii) the Gem Allocation Percentage.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Set forth on Annex A is an illustrative example of Exchange Ratio calculations.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Associate</w:t>
      </w:r>
      <w:r>
        <w:rPr>
          <w:rFonts w:ascii="Times New Roman" w:cs="Times New Roman" w:eastAsia="Times New Roman" w:hAnsi="Times New Roman"/>
          <w:sz w:val="16"/>
          <w:szCs w:val="16"/>
          <w:color w:val="auto"/>
        </w:rPr>
        <w:t>” means any current or former employee, independent contractor, officer or director of Gem or any of its Subsidiaries.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Board</w:t>
      </w:r>
      <w:r>
        <w:rPr>
          <w:rFonts w:ascii="Times New Roman" w:cs="Times New Roman" w:eastAsia="Times New Roman" w:hAnsi="Times New Roman"/>
          <w:sz w:val="16"/>
          <w:szCs w:val="16"/>
          <w:color w:val="auto"/>
        </w:rPr>
        <w:t>” means the board of directors of Gem.</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Gem Capitalization Representations</w:t>
      </w:r>
      <w:r>
        <w:rPr>
          <w:rFonts w:ascii="Times New Roman" w:cs="Times New Roman" w:eastAsia="Times New Roman" w:hAnsi="Times New Roman"/>
          <w:sz w:val="15"/>
          <w:szCs w:val="15"/>
          <w:color w:val="auto"/>
        </w:rPr>
        <w:t xml:space="preserve">” means the representations and warranties of Gem and Merger Sub set forth in </w:t>
      </w:r>
      <w:r>
        <w:rPr>
          <w:rFonts w:ascii="Times New Roman" w:cs="Times New Roman" w:eastAsia="Times New Roman" w:hAnsi="Times New Roman"/>
          <w:sz w:val="15"/>
          <w:szCs w:val="15"/>
          <w:u w:val="single" w:color="auto"/>
          <w:color w:val="auto"/>
        </w:rPr>
        <w:t>Sections 4.6(a)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4.6(d)</w:t>
      </w:r>
      <w:r>
        <w:rPr>
          <w:rFonts w:ascii="Times New Roman" w:cs="Times New Roman" w:eastAsia="Times New Roman" w:hAnsi="Times New Roman"/>
          <w:sz w:val="15"/>
          <w:szCs w:val="15"/>
          <w:color w:val="auto"/>
        </w:rPr>
        <w: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Common Stock</w:t>
      </w:r>
      <w:r>
        <w:rPr>
          <w:rFonts w:ascii="Times New Roman" w:cs="Times New Roman" w:eastAsia="Times New Roman" w:hAnsi="Times New Roman"/>
          <w:sz w:val="16"/>
          <w:szCs w:val="16"/>
          <w:color w:val="auto"/>
        </w:rPr>
        <w:t>” means the common stock, $0.0001 par value per share, of Gem.</w:t>
      </w:r>
    </w:p>
    <w:p>
      <w:pPr>
        <w:spacing w:after="0" w:line="194" w:lineRule="exact"/>
        <w:rPr>
          <w:sz w:val="20"/>
          <w:szCs w:val="20"/>
          <w:color w:val="auto"/>
        </w:rPr>
      </w:pPr>
    </w:p>
    <w:p>
      <w:pPr>
        <w:ind w:right="14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Contract</w:t>
      </w:r>
      <w:r>
        <w:rPr>
          <w:rFonts w:ascii="Times New Roman" w:cs="Times New Roman" w:eastAsia="Times New Roman" w:hAnsi="Times New Roman"/>
          <w:sz w:val="16"/>
          <w:szCs w:val="16"/>
          <w:color w:val="auto"/>
        </w:rPr>
        <w:t>” means any Contract: (a) to which Gem is a party, (b) by which Gem is or may become bound or under which Gem has, or may become subject to, any obligation or (c) under which Gem has or may acquire any right or interest.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Effective Date</w:t>
      </w:r>
      <w:r>
        <w:rPr>
          <w:rFonts w:ascii="Times New Roman" w:cs="Times New Roman" w:eastAsia="Times New Roman" w:hAnsi="Times New Roman"/>
          <w:sz w:val="16"/>
          <w:szCs w:val="16"/>
          <w:color w:val="auto"/>
        </w:rPr>
        <w:t>” means February 5, 2021.</w:t>
      </w:r>
    </w:p>
    <w:p>
      <w:pPr>
        <w:spacing w:after="0" w:line="194" w:lineRule="exact"/>
        <w:rPr>
          <w:sz w:val="20"/>
          <w:szCs w:val="20"/>
          <w:color w:val="auto"/>
        </w:rPr>
      </w:pPr>
    </w:p>
    <w:p>
      <w:pPr>
        <w:ind w:right="12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Employee Plan</w:t>
      </w:r>
      <w:r>
        <w:rPr>
          <w:rFonts w:ascii="Times New Roman" w:cs="Times New Roman" w:eastAsia="Times New Roman" w:hAnsi="Times New Roman"/>
          <w:sz w:val="16"/>
          <w:szCs w:val="16"/>
          <w:color w:val="auto"/>
        </w:rPr>
        <w:t>” means any Employee Plan that Gem or any of its Subsidiaries sponsors, contributes to, or provides benefits under or through, or has any obligation to contribute to or provide benefits under or through, or if such plan provides benefits to or otherwise covers any current or former employee, officer, director or other service provider of Gem or any of its Subsidiaries (or their spouses, dependents, or beneficiaries) or with respect to which Gem or any of its Subsidiaries has or may have any liability (contingent or otherwise, including by reason of being an ERISA Affiliate).</w:t>
      </w:r>
    </w:p>
    <w:p>
      <w:pPr>
        <w:spacing w:after="0" w:line="162" w:lineRule="exact"/>
        <w:rPr>
          <w:sz w:val="20"/>
          <w:szCs w:val="20"/>
          <w:color w:val="auto"/>
        </w:rPr>
      </w:pPr>
    </w:p>
    <w:p>
      <w:pPr>
        <w:ind w:right="4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Fundamental Representations</w:t>
      </w:r>
      <w:r>
        <w:rPr>
          <w:rFonts w:ascii="Times New Roman" w:cs="Times New Roman" w:eastAsia="Times New Roman" w:hAnsi="Times New Roman"/>
          <w:sz w:val="16"/>
          <w:szCs w:val="16"/>
          <w:color w:val="auto"/>
        </w:rPr>
        <w:t xml:space="preserve">” means the representations and warranties of Gem and Merger Sub set forth in </w:t>
      </w:r>
      <w:r>
        <w:rPr>
          <w:rFonts w:ascii="Times New Roman" w:cs="Times New Roman" w:eastAsia="Times New Roman" w:hAnsi="Times New Roman"/>
          <w:sz w:val="16"/>
          <w:szCs w:val="16"/>
          <w:u w:val="single" w:color="auto"/>
          <w:color w:val="auto"/>
        </w:rPr>
        <w:t>Sections 4.1(a)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4.21</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48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IP Rights</w:t>
      </w:r>
      <w:r>
        <w:rPr>
          <w:rFonts w:ascii="Times New Roman" w:cs="Times New Roman" w:eastAsia="Times New Roman" w:hAnsi="Times New Roman"/>
          <w:sz w:val="16"/>
          <w:szCs w:val="16"/>
          <w:color w:val="auto"/>
        </w:rPr>
        <w:t>” means all Intellectual Property owned, licensed or controlled by Gem that is necessary for or used in the operation of the business of Gem as presently conducted.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IP Rights Agreement</w:t>
      </w:r>
      <w:r>
        <w:rPr>
          <w:rFonts w:ascii="Times New Roman" w:cs="Times New Roman" w:eastAsia="Times New Roman" w:hAnsi="Times New Roman"/>
          <w:sz w:val="16"/>
          <w:szCs w:val="16"/>
          <w:color w:val="auto"/>
        </w:rPr>
        <w:t>” means any instrument, Contract or agreement governing, related or pertaining to any Gem IP Rights.</w:t>
      </w:r>
    </w:p>
    <w:p>
      <w:pPr>
        <w:spacing w:after="0" w:line="1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0"/>
          </w:cols>
          <w:pgMar w:left="1120" w:top="251" w:right="1139" w:bottom="1440" w:gutter="0" w:footer="0" w:header="0"/>
        </w:sectPr>
      </w:pPr>
    </w:p>
    <w:bookmarkStart w:id="24" w:name="page25"/>
    <w:bookmarkEnd w:id="24"/>
    <w:p>
      <w:pPr>
        <w:ind w:firstLine="386"/>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Gem Material Adverse Effect</w:t>
      </w:r>
      <w:r>
        <w:rPr>
          <w:rFonts w:ascii="Times New Roman" w:cs="Times New Roman" w:eastAsia="Times New Roman" w:hAnsi="Times New Roman"/>
          <w:sz w:val="16"/>
          <w:szCs w:val="16"/>
          <w:color w:val="auto"/>
        </w:rPr>
        <w:t>” means any Effect that, considered together with all other Effects that have occurred prior to the date of determination of the occurrence of the Gem Material Adverse Effect, has or would reasonably be expected to have a material adverse effect on the business, financial condition, assets, liabilities or results of operations of Gem; provided, however, that Effects arising or resulting from the following shall not be taken into account in determining whether there has been a Gem Material Adverse Effect: (a) the announcement of the Agreement or the pendency of the Contemplated Transactions, (b) any change in the stock price or trading volume of Gem Common Stock (it being understood, however, that any Effect causing or contributing to any change in stock price or trading volume of Gem Common Stock may be taken into account in determining whether a Gem Material Adverse Effect has occurred, unless such Effects are otherwise excepted from this definition), (c) the taking of any action, or the failure to take any action, by Gem that is required to comply with the terms of the Agreement or the taking of any action expressly permitted by Section 5.1(b) of the Gem Disclosure Schedule, (d)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or (f) general economic or political conditions or conditions generally affecting the industries in which Gem operates; except, in each case with respect to clauses (d), (e) and (f), to the extent disproportionately affecting Gem relative to other similarly situated companies in the industries in which Gem operates.</w:t>
      </w:r>
    </w:p>
    <w:p>
      <w:pPr>
        <w:spacing w:after="0" w:line="166" w:lineRule="exact"/>
        <w:rPr>
          <w:sz w:val="20"/>
          <w:szCs w:val="20"/>
          <w:color w:val="auto"/>
        </w:rPr>
      </w:pPr>
    </w:p>
    <w:p>
      <w:pPr>
        <w:ind w:right="20" w:firstLine="38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Net Cash</w:t>
      </w:r>
      <w:r>
        <w:rPr>
          <w:rFonts w:ascii="Times New Roman" w:cs="Times New Roman" w:eastAsia="Times New Roman" w:hAnsi="Times New Roman"/>
          <w:sz w:val="16"/>
          <w:szCs w:val="16"/>
          <w:color w:val="auto"/>
        </w:rPr>
        <w:t>” means, as of any applicable time of determination and without duplication, (A) the sum of (1) the cash, cash equivalents, restricted cash and marketable securities of such person and its Subsidiaries and (2) accounts receivable (including any Tax refund claims pending as of the date of this Agreement), deposits and interest, minus (B) the sum of (1) any unpaid Transaction Expenses of Gem or its Subsidiaries, (2) unpaid indebtedness for borrowed money of Gem and its Subsidiaries, (3) any accounts payable and accrued expenses (other than accrued expenses which are Transaction Expenses of Gem), including any such accounts payable or accrued expenses associated with the termination of any Gem Contracts which were in effect prior to the Effective Time (even if the applicable expenses are due and payable after the Effective Time), (4) any unpaid employer portion of payroll or employment Taxes incurred in connection with the grant, exercise, conversion, settlement or cancellation of any RSUs, options, equity compensation and other change in control or severance payments (including any bonuses payable) or any CVRs issued to holders of RSUs or options or otherwise as compensation (either incurred prior to or at the time of the Merger, and for the avoidance of doubt, not calculated as of the close of business on the Business Day prior to the Closing Date)), in each case with respect to this clause (4), incurred in connection with the Merger by Gem at or prior to the Effective Time (even if payable after the Effective Time), (5) any pre-payment, termination, “end of term” or similar fee or charge payable to any lender in connection with the repayment of indebtedness by Gem at or prior to the Effective Time, (6) contractual commitments for future payments by Gem or its Affiliates due prior to the one-year anniversary of the Closing Date; and (7) the CVR Expenditure Amount. Each component of Gem Net Cash, to the extent applicable, shall be determined in accordance with GAAP, applied on a basis consistent with the application of GAAP in the preparation of Gem’s most recent audited or reviewed financial statements. A sample calculation of Gem Net Cash and its components is set forth in Annex B for illustrative purposes only.</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00"/>
          </w:cols>
          <w:pgMar w:left="1120" w:top="251" w:right="1179" w:bottom="1440" w:gutter="0" w:footer="0" w:header="0"/>
        </w:sectPr>
      </w:pPr>
    </w:p>
    <w:bookmarkStart w:id="25" w:name="page26"/>
    <w:bookmarkEnd w:id="25"/>
    <w:p>
      <w:pPr>
        <w:ind w:right="30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Gem Options</w:t>
      </w:r>
      <w:r>
        <w:rPr>
          <w:rFonts w:ascii="Times New Roman" w:cs="Times New Roman" w:eastAsia="Times New Roman" w:hAnsi="Times New Roman"/>
          <w:sz w:val="16"/>
          <w:szCs w:val="16"/>
          <w:color w:val="auto"/>
        </w:rPr>
        <w:t>” means options or other rights to purchase shares of Gem Common Stock issued by Gem, other than options or other rights to purchase shares of Gem Common Stock under the Gem ESPP.</w:t>
      </w:r>
    </w:p>
    <w:p>
      <w:pPr>
        <w:spacing w:after="0" w:line="141" w:lineRule="exact"/>
        <w:rPr>
          <w:sz w:val="20"/>
          <w:szCs w:val="20"/>
          <w:color w:val="auto"/>
        </w:rPr>
      </w:pPr>
    </w:p>
    <w:p>
      <w:pPr>
        <w:jc w:val="both"/>
        <w:ind w:right="36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Registered IP</w:t>
      </w:r>
      <w:r>
        <w:rPr>
          <w:rFonts w:ascii="Times New Roman" w:cs="Times New Roman" w:eastAsia="Times New Roman" w:hAnsi="Times New Roman"/>
          <w:sz w:val="16"/>
          <w:szCs w:val="16"/>
          <w:color w:val="auto"/>
        </w:rPr>
        <w:t>” means all Gem IP Rights that are owned or exclusively licensed by Gem that are registered, filed or issued under the authority of, with or by any Governmental Authority, including all patents, registered copyrights and registered trademarks and any applications or registrations for any of the foregoing.</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RSU</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Gem RSUs</w:t>
      </w:r>
      <w:r>
        <w:rPr>
          <w:rFonts w:ascii="Times New Roman" w:cs="Times New Roman" w:eastAsia="Times New Roman" w:hAnsi="Times New Roman"/>
          <w:sz w:val="16"/>
          <w:szCs w:val="16"/>
          <w:color w:val="auto"/>
        </w:rPr>
        <w:t>” means restricted stock unit awards or similar rights to receive shares of Gem Common Stock issued by Gem.</w:t>
      </w:r>
    </w:p>
    <w:p>
      <w:pPr>
        <w:spacing w:after="0" w:line="194" w:lineRule="exact"/>
        <w:rPr>
          <w:sz w:val="20"/>
          <w:szCs w:val="20"/>
          <w:color w:val="auto"/>
        </w:rPr>
      </w:pPr>
    </w:p>
    <w:p>
      <w:pPr>
        <w:ind w:right="28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Stock Plans</w:t>
      </w:r>
      <w:r>
        <w:rPr>
          <w:rFonts w:ascii="Times New Roman" w:cs="Times New Roman" w:eastAsia="Times New Roman" w:hAnsi="Times New Roman"/>
          <w:sz w:val="16"/>
          <w:szCs w:val="16"/>
          <w:color w:val="auto"/>
        </w:rPr>
        <w:t>” means each of the Gem 2021 Stock Option and Incentive Plan, the Gem 2021 Inducement Plan, and the Gem 2017 Stock Option and Grant Plan, as amended, and the Gem 2015 Employee, Director and Consultant Stock Option Plan.</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Stockholder Support Agreements</w:t>
      </w:r>
      <w:r>
        <w:rPr>
          <w:rFonts w:ascii="Times New Roman" w:cs="Times New Roman" w:eastAsia="Times New Roman" w:hAnsi="Times New Roman"/>
          <w:sz w:val="16"/>
          <w:szCs w:val="16"/>
          <w:color w:val="auto"/>
        </w:rPr>
        <w:t>” shall have the meaning set forth in the recitals.</w:t>
      </w:r>
    </w:p>
    <w:p>
      <w:pPr>
        <w:spacing w:after="0" w:line="194" w:lineRule="exact"/>
        <w:rPr>
          <w:sz w:val="20"/>
          <w:szCs w:val="20"/>
          <w:color w:val="auto"/>
        </w:rPr>
      </w:pPr>
    </w:p>
    <w:p>
      <w:pPr>
        <w:ind w:firstLine="386"/>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Gem Triggering Event</w:t>
      </w:r>
      <w:r>
        <w:rPr>
          <w:rFonts w:ascii="Times New Roman" w:cs="Times New Roman" w:eastAsia="Times New Roman" w:hAnsi="Times New Roman"/>
          <w:sz w:val="15"/>
          <w:szCs w:val="15"/>
          <w:color w:val="auto"/>
        </w:rPr>
        <w:t xml:space="preserve">” shall be deemed to have occurred if: (a) Gem shall have failed to include in the Proxy Statement the Gem Board Recommendation, (b) the Gem Board or any committee thereof shall have made a Gem Board Adverse Recommendation Change or approved, endorsed or recommended any Acquisition Proposal (other than with the Company), or (c) Gem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5"/>
          <w:szCs w:val="15"/>
          <w:u w:val="single" w:color="auto"/>
          <w:color w:val="auto"/>
        </w:rPr>
        <w:t>Section 5.4</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ind w:right="1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Unaudited Interim Balance Sheet</w:t>
      </w:r>
      <w:r>
        <w:rPr>
          <w:rFonts w:ascii="Times New Roman" w:cs="Times New Roman" w:eastAsia="Times New Roman" w:hAnsi="Times New Roman"/>
          <w:sz w:val="16"/>
          <w:szCs w:val="16"/>
          <w:color w:val="auto"/>
        </w:rPr>
        <w:t>” means the unaudited consolidated balance sheet of Gem for the three-month period ended March 31, 2022 provided to the Company prior to the date of this Agreement.</w:t>
      </w:r>
    </w:p>
    <w:p>
      <w:pPr>
        <w:spacing w:after="0" w:line="141" w:lineRule="exact"/>
        <w:rPr>
          <w:sz w:val="20"/>
          <w:szCs w:val="20"/>
          <w:color w:val="auto"/>
        </w:rPr>
      </w:pPr>
    </w:p>
    <w:p>
      <w:pPr>
        <w:ind w:right="4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62" w:lineRule="exact"/>
        <w:rPr>
          <w:sz w:val="20"/>
          <w:szCs w:val="20"/>
          <w:color w:val="auto"/>
        </w:rPr>
      </w:pPr>
    </w:p>
    <w:p>
      <w:pPr>
        <w:ind w:right="2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Authorization</w:t>
      </w:r>
      <w:r>
        <w:rPr>
          <w:rFonts w:ascii="Times New Roman" w:cs="Times New Roman" w:eastAsia="Times New Roman" w:hAnsi="Times New Roman"/>
          <w:sz w:val="16"/>
          <w:szCs w:val="16"/>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54" w:lineRule="exact"/>
        <w:rPr>
          <w:sz w:val="20"/>
          <w:szCs w:val="20"/>
          <w:color w:val="auto"/>
        </w:rPr>
      </w:pPr>
    </w:p>
    <w:p>
      <w:pPr>
        <w:ind w:firstLine="386"/>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Hazardous Materials</w:t>
      </w:r>
      <w:r>
        <w:rPr>
          <w:rFonts w:ascii="Times New Roman" w:cs="Times New Roman" w:eastAsia="Times New Roman" w:hAnsi="Times New Roman"/>
          <w:sz w:val="15"/>
          <w:szCs w:val="15"/>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20"/>
          </w:cols>
          <w:pgMar w:left="1120" w:top="251" w:right="1159" w:bottom="1440" w:gutter="0" w:footer="0" w:header="0"/>
        </w:sectPr>
      </w:pPr>
    </w:p>
    <w:bookmarkStart w:id="26" w:name="page27"/>
    <w:bookmarkEnd w:id="26"/>
    <w:p>
      <w:pPr>
        <w:ind w:left="1" w:right="100" w:firstLine="386"/>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(b) trademarks, service marks, trade names, domain names, corporate names, brand names, URLs, trade dress, logos, social media accounts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6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IRS</w:t>
      </w:r>
      <w:r>
        <w:rPr>
          <w:rFonts w:ascii="Times New Roman" w:cs="Times New Roman" w:eastAsia="Times New Roman" w:hAnsi="Times New Roman"/>
          <w:sz w:val="16"/>
          <w:szCs w:val="16"/>
          <w:color w:val="auto"/>
        </w:rPr>
        <w:t>” means the United States Internal Revenue Service.</w:t>
      </w:r>
    </w:p>
    <w:p>
      <w:pPr>
        <w:spacing w:after="0" w:line="194" w:lineRule="exact"/>
        <w:rPr>
          <w:sz w:val="20"/>
          <w:szCs w:val="20"/>
          <w:color w:val="auto"/>
        </w:rPr>
      </w:pPr>
    </w:p>
    <w:p>
      <w:pPr>
        <w:ind w:left="1" w:right="36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Key Employee</w:t>
      </w:r>
      <w:r>
        <w:rPr>
          <w:rFonts w:ascii="Times New Roman" w:cs="Times New Roman" w:eastAsia="Times New Roman" w:hAnsi="Times New Roman"/>
          <w:sz w:val="16"/>
          <w:szCs w:val="16"/>
          <w:color w:val="auto"/>
        </w:rPr>
        <w:t>” means, with respect to the Company or Gem, an executive officer of such Party or any employee of such Party that reports directly to the board of directors of such Party or to the Chief Executive Officer or Chief Accounting Officer of such Party.</w:t>
      </w:r>
    </w:p>
    <w:p>
      <w:pPr>
        <w:spacing w:after="0" w:line="141" w:lineRule="exact"/>
        <w:rPr>
          <w:sz w:val="20"/>
          <w:szCs w:val="20"/>
          <w:color w:val="auto"/>
        </w:rPr>
      </w:pPr>
    </w:p>
    <w:p>
      <w:pPr>
        <w:ind w:left="1" w:right="4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Knowledge</w:t>
      </w:r>
      <w:r>
        <w:rPr>
          <w:rFonts w:ascii="Times New Roman" w:cs="Times New Roman" w:eastAsia="Times New Roman" w:hAnsi="Times New Roman"/>
          <w:sz w:val="16"/>
          <w:szCs w:val="16"/>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is actually aware of the relevant fact and such knowledge is imputed has or should reasonably be expected to have Knowledge of such fact or other matter.</w:t>
      </w:r>
    </w:p>
    <w:p>
      <w:pPr>
        <w:spacing w:after="0" w:line="158" w:lineRule="exact"/>
        <w:rPr>
          <w:sz w:val="20"/>
          <w:szCs w:val="20"/>
          <w:color w:val="auto"/>
        </w:rPr>
      </w:pPr>
    </w:p>
    <w:p>
      <w:pPr>
        <w:ind w:left="1" w:right="12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Law</w:t>
      </w:r>
      <w:r>
        <w:rPr>
          <w:rFonts w:ascii="Times New Roman" w:cs="Times New Roman" w:eastAsia="Times New Roman" w:hAnsi="Times New Roman"/>
          <w:sz w:val="16"/>
          <w:szCs w:val="16"/>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58" w:lineRule="exact"/>
        <w:rPr>
          <w:sz w:val="20"/>
          <w:szCs w:val="20"/>
          <w:color w:val="auto"/>
        </w:rPr>
      </w:pPr>
    </w:p>
    <w:p>
      <w:pPr>
        <w:ind w:left="1" w:right="42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Legal Proceeding</w:t>
      </w:r>
      <w:r>
        <w:rPr>
          <w:rFonts w:ascii="Times New Roman" w:cs="Times New Roman" w:eastAsia="Times New Roman" w:hAnsi="Times New Roman"/>
          <w:sz w:val="16"/>
          <w:szCs w:val="16"/>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54" w:lineRule="exact"/>
        <w:rPr>
          <w:sz w:val="20"/>
          <w:szCs w:val="20"/>
          <w:color w:val="auto"/>
        </w:rPr>
      </w:pPr>
    </w:p>
    <w:p>
      <w:pPr>
        <w:ind w:left="1" w:right="3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Continuing Obligation</w:t>
      </w:r>
      <w:r>
        <w:rPr>
          <w:rFonts w:ascii="Times New Roman" w:cs="Times New Roman" w:eastAsia="Times New Roman" w:hAnsi="Times New Roman"/>
          <w:sz w:val="16"/>
          <w:szCs w:val="16"/>
          <w:color w:val="auto"/>
        </w:rPr>
        <w:t>” shall mean, other than any obligations specifically set forth in the CVR Agreement, any non-competition obligation affecting any of the assets of the Company as they exist as of the date of this Agreement.</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Sub Board</w:t>
      </w:r>
      <w:r>
        <w:rPr>
          <w:rFonts w:ascii="Times New Roman" w:cs="Times New Roman" w:eastAsia="Times New Roman" w:hAnsi="Times New Roman"/>
          <w:sz w:val="16"/>
          <w:szCs w:val="16"/>
          <w:color w:val="auto"/>
        </w:rPr>
        <w:t>” means the board of directors of Merger Sub.</w:t>
      </w:r>
    </w:p>
    <w:p>
      <w:pPr>
        <w:spacing w:after="0" w:line="194" w:lineRule="exact"/>
        <w:rPr>
          <w:sz w:val="20"/>
          <w:szCs w:val="20"/>
          <w:color w:val="auto"/>
        </w:rPr>
      </w:pPr>
    </w:p>
    <w:p>
      <w:pPr>
        <w:ind w:left="1" w:right="1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Multiemployer Plan</w:t>
      </w:r>
      <w:r>
        <w:rPr>
          <w:rFonts w:ascii="Times New Roman" w:cs="Times New Roman" w:eastAsia="Times New Roman" w:hAnsi="Times New Roman"/>
          <w:sz w:val="16"/>
          <w:szCs w:val="16"/>
          <w:color w:val="auto"/>
        </w:rPr>
        <w:t>” means (a) a “multiemployer plan,” as defined in Section 3(37) or 4001(a)(3) of ERISA or (b) a plan which if maintained or administered in or otherwise subject to the laws of the United States would be described in clause (a) of this definition.</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Multiple Employer Plan</w:t>
      </w:r>
      <w:r>
        <w:rPr>
          <w:rFonts w:ascii="Times New Roman" w:cs="Times New Roman" w:eastAsia="Times New Roman" w:hAnsi="Times New Roman"/>
          <w:sz w:val="15"/>
          <w:szCs w:val="15"/>
          <w:color w:val="auto"/>
        </w:rPr>
        <w:t>” means (a) a “multiple employer plan” within the meaning of Section 413(c) of the Code or Section 210 of ERISA or</w:t>
      </w:r>
    </w:p>
    <w:p>
      <w:pPr>
        <w:spacing w:after="0" w:line="36" w:lineRule="exact"/>
        <w:rPr>
          <w:sz w:val="20"/>
          <w:szCs w:val="20"/>
          <w:color w:val="auto"/>
        </w:rPr>
      </w:pPr>
    </w:p>
    <w:p>
      <w:pPr>
        <w:ind w:left="221" w:hanging="221"/>
        <w:spacing w:after="0"/>
        <w:tabs>
          <w:tab w:leader="none" w:pos="221"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plan which if maintained or administered in or otherwise subject to the laws of the United States would be described in clause (a) of this definition.</w:t>
      </w:r>
    </w:p>
    <w:p>
      <w:pPr>
        <w:spacing w:after="0" w:line="129" w:lineRule="exact"/>
        <w:rPr>
          <w:rFonts w:ascii="Times New Roman" w:cs="Times New Roman" w:eastAsia="Times New Roman" w:hAnsi="Times New Roman"/>
          <w:sz w:val="15"/>
          <w:szCs w:val="15"/>
          <w:color w:val="auto"/>
        </w:rPr>
      </w:pPr>
    </w:p>
    <w:p>
      <w:pPr>
        <w:ind w:left="474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12</w:t>
      </w:r>
    </w:p>
    <w:p>
      <w:pPr>
        <w:sectPr>
          <w:pgSz w:w="11900" w:h="16838" w:orient="portrait"/>
          <w:cols w:equalWidth="0" w:num="1">
            <w:col w:w="9621"/>
          </w:cols>
          <w:pgMar w:left="1119" w:top="251" w:right="1159" w:bottom="1440" w:gutter="0" w:footer="0" w:header="0"/>
        </w:sectPr>
      </w:pPr>
    </w:p>
    <w:bookmarkStart w:id="27" w:name="page28"/>
    <w:bookmarkEnd w:id="27"/>
    <w:p>
      <w:pPr>
        <w:ind w:left="1" w:right="40" w:firstLine="386"/>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Multiple Employer Welfare Arrangement</w:t>
      </w:r>
      <w:r>
        <w:rPr>
          <w:rFonts w:ascii="Times New Roman" w:cs="Times New Roman" w:eastAsia="Times New Roman" w:hAnsi="Times New Roman"/>
          <w:sz w:val="16"/>
          <w:szCs w:val="16"/>
          <w:color w:val="auto"/>
        </w:rPr>
        <w:t>” means (a) a “multiple employer welfare arrangement” within the meaning of Section 3(40) of ERISA or (b) a plan which if maintained or administered in or otherwise subject to the laws of the United States would be described in clause (a) of this definition.</w:t>
      </w:r>
    </w:p>
    <w:p>
      <w:pPr>
        <w:spacing w:after="0" w:line="15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means The Nasdaq Stock Market.</w:t>
      </w:r>
    </w:p>
    <w:p>
      <w:pPr>
        <w:spacing w:after="0" w:line="194" w:lineRule="exact"/>
        <w:rPr>
          <w:sz w:val="20"/>
          <w:szCs w:val="20"/>
          <w:color w:val="auto"/>
        </w:rPr>
      </w:pPr>
    </w:p>
    <w:p>
      <w:pPr>
        <w:ind w:left="1" w:right="28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 Reverse Split</w:t>
      </w:r>
      <w:r>
        <w:rPr>
          <w:rFonts w:ascii="Times New Roman" w:cs="Times New Roman" w:eastAsia="Times New Roman" w:hAnsi="Times New Roman"/>
          <w:sz w:val="16"/>
          <w:szCs w:val="16"/>
          <w:color w:val="auto"/>
        </w:rPr>
        <w:t>” means a reverse stock split of all outstanding shares of Gem Common Stock at a reverse stock split ratio as mutually agreed to by Gem and the Company that is effected by Gem prior to the Effective Time.</w:t>
      </w:r>
    </w:p>
    <w:p>
      <w:pPr>
        <w:spacing w:after="0" w:line="141" w:lineRule="exact"/>
        <w:rPr>
          <w:sz w:val="20"/>
          <w:szCs w:val="20"/>
          <w:color w:val="auto"/>
        </w:rPr>
      </w:pPr>
    </w:p>
    <w:p>
      <w:pPr>
        <w:ind w:left="1" w:right="16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Order</w:t>
      </w:r>
      <w:r>
        <w:rPr>
          <w:rFonts w:ascii="Times New Roman" w:cs="Times New Roman" w:eastAsia="Times New Roman" w:hAnsi="Times New Roman"/>
          <w:sz w:val="16"/>
          <w:szCs w:val="16"/>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or arbitrator.</w:t>
      </w:r>
    </w:p>
    <w:p>
      <w:pPr>
        <w:spacing w:after="0" w:line="154" w:lineRule="exact"/>
        <w:rPr>
          <w:sz w:val="20"/>
          <w:szCs w:val="20"/>
          <w:color w:val="auto"/>
        </w:rPr>
      </w:pPr>
    </w:p>
    <w:p>
      <w:pPr>
        <w:ind w:left="1" w:right="140" w:firstLine="386"/>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Ordinary Course of Business</w:t>
      </w:r>
      <w:r>
        <w:rPr>
          <w:rFonts w:ascii="Times New Roman" w:cs="Times New Roman" w:eastAsia="Times New Roman" w:hAnsi="Times New Roman"/>
          <w:sz w:val="15"/>
          <w:szCs w:val="15"/>
          <w:color w:val="auto"/>
        </w:rPr>
        <w:t xml:space="preserve">” means, in the case of each of the Company and Gem, such actions taken in the ordinary course of its normal operations and consistent with its past practices;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during the Pre-Closing Period, the Ordinary Course of Business of Gem shall also be deemed to include actions taken to effect the sale, transfer and/or winding down of its prior research and development assets and activities.</w:t>
      </w:r>
    </w:p>
    <w:p>
      <w:pPr>
        <w:spacing w:after="0" w:line="136" w:lineRule="exact"/>
        <w:rPr>
          <w:sz w:val="20"/>
          <w:szCs w:val="20"/>
          <w:color w:val="auto"/>
        </w:rPr>
      </w:pPr>
    </w:p>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Organizational Documents</w:t>
      </w:r>
      <w:r>
        <w:rPr>
          <w:rFonts w:ascii="Times New Roman" w:cs="Times New Roman" w:eastAsia="Times New Roman" w:hAnsi="Times New Roman"/>
          <w:sz w:val="16"/>
          <w:szCs w:val="16"/>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6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means the Company, Merger Sub and Gem.</w:t>
      </w:r>
    </w:p>
    <w:p>
      <w:pPr>
        <w:spacing w:after="0" w:line="194" w:lineRule="exact"/>
        <w:rPr>
          <w:sz w:val="20"/>
          <w:szCs w:val="20"/>
          <w:color w:val="auto"/>
        </w:rPr>
      </w:pPr>
    </w:p>
    <w:p>
      <w:pPr>
        <w:ind w:left="1" w:right="36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Alternative Agreement</w:t>
      </w:r>
      <w:r>
        <w:rPr>
          <w:rFonts w:ascii="Times New Roman" w:cs="Times New Roman" w:eastAsia="Times New Roman" w:hAnsi="Times New Roman"/>
          <w:sz w:val="16"/>
          <w:szCs w:val="16"/>
          <w:color w:val="auto"/>
        </w:rPr>
        <w:t>” means a definitive agreement that contemplates or otherwise relates to an Acquisition Transaction that constitutes a Superior Offer.</w:t>
      </w:r>
    </w:p>
    <w:p>
      <w:pPr>
        <w:spacing w:after="0" w:line="141" w:lineRule="exact"/>
        <w:rPr>
          <w:sz w:val="20"/>
          <w:szCs w:val="20"/>
          <w:color w:val="auto"/>
        </w:rPr>
      </w:pPr>
    </w:p>
    <w:p>
      <w:pPr>
        <w:ind w:left="1" w:right="20" w:firstLine="386"/>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Encumbrance</w:t>
      </w:r>
      <w:r>
        <w:rPr>
          <w:rFonts w:ascii="Times New Roman" w:cs="Times New Roman" w:eastAsia="Times New Roman" w:hAnsi="Times New Roman"/>
          <w:sz w:val="15"/>
          <w:szCs w:val="15"/>
          <w:color w:val="auto"/>
        </w:rPr>
        <w:t>” means (a) any liens for current Taxes not yet due and payable or for Taxes that are being contested in good faith and for which adequate reserves have been made on the Company Unaudited Interim Balance Sheet or the Gem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Gem, as applicable, (c) statutory liens to secure obligations to landlords, lessors or renters under leases or rental agreements, (d) deposits or pledges made in connection with, or to secure payment of, workers’ compensation, unemployment insurance or similar programs mandated by Law and</w:t>
      </w:r>
    </w:p>
    <w:p>
      <w:pPr>
        <w:spacing w:after="0" w:line="3" w:lineRule="exact"/>
        <w:rPr>
          <w:sz w:val="20"/>
          <w:szCs w:val="20"/>
          <w:color w:val="auto"/>
        </w:rPr>
      </w:pPr>
    </w:p>
    <w:p>
      <w:pPr>
        <w:ind w:left="4741" w:right="1340" w:hanging="4741"/>
        <w:spacing w:after="0" w:line="423" w:lineRule="auto"/>
        <w:tabs>
          <w:tab w:leader="none" w:pos="20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statutory liens in favor of carriers, warehousemen, mechanics and materialmen, to secure claims for labor, materials or supplies. 13</w:t>
      </w:r>
    </w:p>
    <w:p>
      <w:pPr>
        <w:sectPr>
          <w:pgSz w:w="11900" w:h="16838" w:orient="portrait"/>
          <w:cols w:equalWidth="0" w:num="1">
            <w:col w:w="9621"/>
          </w:cols>
          <w:pgMar w:left="1119" w:top="251" w:right="1159"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Entity or Governmental Authority.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Personal Information</w:t>
      </w:r>
      <w:r>
        <w:rPr>
          <w:rFonts w:ascii="Times New Roman" w:cs="Times New Roman" w:eastAsia="Times New Roman" w:hAnsi="Times New Roman"/>
          <w:sz w:val="16"/>
          <w:szCs w:val="16"/>
          <w:color w:val="auto"/>
        </w:rPr>
        <w:t>” means information about an identified or identifiable individual.</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Privacy Laws</w:t>
      </w:r>
      <w:r>
        <w:rPr>
          <w:rFonts w:ascii="Times New Roman" w:cs="Times New Roman" w:eastAsia="Times New Roman" w:hAnsi="Times New Roman"/>
          <w:sz w:val="16"/>
          <w:szCs w:val="16"/>
          <w:color w:val="auto"/>
        </w:rPr>
        <w:t>” mean Laws relating to privacy, security and/or collection, use or other processing of Personal Information.</w:t>
      </w:r>
    </w:p>
    <w:p>
      <w:pPr>
        <w:spacing w:after="0" w:line="194" w:lineRule="exact"/>
        <w:rPr>
          <w:sz w:val="20"/>
          <w:szCs w:val="20"/>
          <w:color w:val="auto"/>
        </w:rPr>
      </w:pPr>
    </w:p>
    <w:p>
      <w:pPr>
        <w:ind w:right="1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Representatives</w:t>
      </w:r>
      <w:r>
        <w:rPr>
          <w:rFonts w:ascii="Times New Roman" w:cs="Times New Roman" w:eastAsia="Times New Roman" w:hAnsi="Times New Roman"/>
          <w:sz w:val="16"/>
          <w:szCs w:val="16"/>
          <w:color w:val="auto"/>
        </w:rPr>
        <w:t>” means directors, officers, equityholders, employees, agents, consultants, attorneys, accountants, investment bankers, advisors and other representatives.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Sarbanes-Oxley Act</w:t>
      </w:r>
      <w:r>
        <w:rPr>
          <w:rFonts w:ascii="Times New Roman" w:cs="Times New Roman" w:eastAsia="Times New Roman" w:hAnsi="Times New Roman"/>
          <w:sz w:val="16"/>
          <w:szCs w:val="16"/>
          <w:color w:val="auto"/>
        </w:rPr>
        <w:t>” means the Sarbanes-Oxley Act of 2002.</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w:t>
      </w:r>
    </w:p>
    <w:p>
      <w:pPr>
        <w:spacing w:after="0" w:line="194" w:lineRule="exact"/>
        <w:rPr>
          <w:sz w:val="20"/>
          <w:szCs w:val="20"/>
          <w:color w:val="auto"/>
        </w:rPr>
      </w:pPr>
    </w:p>
    <w:p>
      <w:pPr>
        <w:ind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xml:space="preserve">” means the Subscription Agreement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among the Company and the Persons named therein, pursuant to which such Persons have agreed to purchase the number of shares of Company Capital Stock set forth therein in connection with the Company Pre-Closing Financing.</w:t>
      </w:r>
    </w:p>
    <w:p>
      <w:pPr>
        <w:spacing w:after="0" w:line="154" w:lineRule="exact"/>
        <w:rPr>
          <w:sz w:val="20"/>
          <w:szCs w:val="20"/>
          <w:color w:val="auto"/>
        </w:rPr>
      </w:pPr>
    </w:p>
    <w:p>
      <w:pPr>
        <w:ind w:right="3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Transaction</w:t>
      </w:r>
      <w:r>
        <w:rPr>
          <w:rFonts w:ascii="Times New Roman" w:cs="Times New Roman" w:eastAsia="Times New Roman" w:hAnsi="Times New Roman"/>
          <w:sz w:val="16"/>
          <w:szCs w:val="16"/>
          <w:color w:val="auto"/>
        </w:rPr>
        <w:t>” means any Acquisition Transaction (with all references to 20% in the definition of Acquisition Transaction being treated as references to 70% for these purposes).</w:t>
      </w:r>
    </w:p>
    <w:p>
      <w:pPr>
        <w:spacing w:after="0" w:line="141" w:lineRule="exact"/>
        <w:rPr>
          <w:sz w:val="20"/>
          <w:szCs w:val="20"/>
          <w:color w:val="auto"/>
        </w:rPr>
      </w:pPr>
    </w:p>
    <w:p>
      <w:pPr>
        <w:ind w:right="20" w:firstLine="386"/>
        <w:spacing w:after="0" w:line="257" w:lineRule="auto"/>
        <w:rPr>
          <w:sz w:val="20"/>
          <w:szCs w:val="20"/>
          <w:color w:val="auto"/>
        </w:rPr>
      </w:pPr>
      <w:r>
        <w:rPr>
          <w:rFonts w:ascii="Times New Roman" w:cs="Times New Roman" w:eastAsia="Times New Roman" w:hAnsi="Times New Roman"/>
          <w:sz w:val="16"/>
          <w:szCs w:val="16"/>
          <w:color w:val="auto"/>
        </w:rPr>
        <w:t>An Entity shall be deemed to be a “</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58" w:lineRule="exact"/>
        <w:rPr>
          <w:sz w:val="20"/>
          <w:szCs w:val="20"/>
          <w:color w:val="auto"/>
        </w:rPr>
      </w:pPr>
    </w:p>
    <w:p>
      <w:pPr>
        <w:ind w:right="2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Superior Offer</w:t>
      </w:r>
      <w:r>
        <w:rPr>
          <w:rFonts w:ascii="Times New Roman" w:cs="Times New Roman" w:eastAsia="Times New Roman" w:hAnsi="Times New Roman"/>
          <w:sz w:val="16"/>
          <w:szCs w:val="16"/>
          <w:color w:val="auto"/>
        </w:rPr>
        <w:t>” means an unsolicited bona fide written Acquisition Proposal (with all references to 20% in the definition of Acquisition Transaction being treated as references to 70% for these purposes) that: (a) was not obtained or made as a direct or indirect result of a breach of (or in violation of) the Agreement, and (b) is on terms and conditions that the Gem Board or the Company Board, as applicable, determines in good faith, based on such matters that it deems relevant (including the likelihood of consummation thereof, the financing terms thereof, any termination or break-up fees and conditions to consummation), as well as any written offer by the other Party to the Agreement to amend the terms of the Agreement, and following consultation with its outside legal counsel and financial advisors, if any, are more favorable, from a financial point of view, to Gem’s stockholders or the Company’s stockholders, as applicable, than the terms of the Contemplated Transactions.</w:t>
      </w:r>
    </w:p>
    <w:p>
      <w:pPr>
        <w:spacing w:after="0" w:line="161" w:lineRule="exact"/>
        <w:rPr>
          <w:sz w:val="20"/>
          <w:szCs w:val="20"/>
          <w:color w:val="auto"/>
        </w:rPr>
      </w:pPr>
    </w:p>
    <w:p>
      <w:pPr>
        <w:ind w:right="14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or similar charge, and including any fine, penalty, addition to tax or interest with respect thereto imposed by a Governmental Authority.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40"/>
          </w:cols>
          <w:pgMar w:left="1120" w:top="251" w:right="113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Tax Opinion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14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Return</w:t>
      </w:r>
      <w:r>
        <w:rPr>
          <w:rFonts w:ascii="Times New Roman" w:cs="Times New Roman" w:eastAsia="Times New Roman" w:hAnsi="Times New Roman"/>
          <w:sz w:val="16"/>
          <w:szCs w:val="16"/>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6.11(b)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4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Expenses</w:t>
      </w:r>
      <w:r>
        <w:rPr>
          <w:rFonts w:ascii="Times New Roman" w:cs="Times New Roman" w:eastAsia="Times New Roman" w:hAnsi="Times New Roman"/>
          <w:sz w:val="16"/>
          <w:szCs w:val="16"/>
          <w:color w:val="auto"/>
        </w:rPr>
        <w:t xml:space="preserve">” means, with respect to any person as of the applicable time of determination and without duplication, the sum of (A) the cash cost of any change of control, bonus, severance, retention or similar payments that become due and payable by such person or any of its Subsidiaries at or prior to the Effective Time or as a result of the Merger or the transactions contemplated hereby, and (B) subject to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all costs, fees and expenses incurred by such person or its Subsidiaries at or prior to the Effective Time in connection with the negotiation, preparation and execution of this Agreement or any agreements, documents, certificates, opinions or other items contemplated hereby and the consummation of the Merger or the other transactions contemplated hereby and that are unpaid as of the Effective Time, including brokerage fees and commissions, finders’ fees or financial advisory fees payable by such person at or prior to the Effective Time.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Treasury Regulations</w:t>
      </w:r>
      <w:r>
        <w:rPr>
          <w:rFonts w:ascii="Times New Roman" w:cs="Times New Roman" w:eastAsia="Times New Roman" w:hAnsi="Times New Roman"/>
          <w:sz w:val="16"/>
          <w:szCs w:val="16"/>
          <w:color w:val="auto"/>
        </w:rPr>
        <w:t>” means the United States Treasury regulations promulgated under the Code.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Tax Treatment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2.10(a)</w:t>
      </w:r>
      <w:r>
        <w:rPr>
          <w:rFonts w:ascii="Times New Roman" w:cs="Times New Roman" w:eastAsia="Times New Roman" w:hAnsi="Times New Roman"/>
          <w:sz w:val="16"/>
          <w:szCs w:val="16"/>
          <w:color w:val="auto"/>
        </w:rPr>
        <w:t>.</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 Each of the following terms is defined in the Section set forth opposite such term: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578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Firm</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2.11(e)</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Agreement</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Anticipated Closing Date</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Option</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6.5(a)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Capitalization Date</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4.6(a)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Determination Time</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Certificate of Merger</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2.3</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2.3</w:t>
            </w:r>
          </w:p>
        </w:tc>
      </w:tr>
      <w:tr>
        <w:trPr>
          <w:trHeight w:val="319"/>
        </w:trPr>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8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15</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51" w:right="11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496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2.3</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Audited Financial Statements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3.7(e)</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Board Adverse Recommendation Change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6.2(d)</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6.2(c)</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Section 3</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Financials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3.7(a)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Interim Financial Statements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6.1(e)</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Lock-Up Agreements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Material Contract</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3.13(a)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Plan</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3.6(c)</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Permits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3.14(b)</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Preferred Stock</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3.6(a)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Preferred Stock Conversion</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Product Candidates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3.14(d)</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Real Estate Leases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3.11</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Regulatory Permits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3.14(d)</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Stock Certificate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2.6</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Stockholder Written Consents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Termination Fee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10.3(b)</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6.8(a)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Agreement</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D&amp;O Indemnified Parties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6.8(a)</w:t>
            </w:r>
          </w:p>
        </w:tc>
      </w:tr>
      <w:tr>
        <w:trPr>
          <w:trHeight w:val="319"/>
        </w:trPr>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96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16</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48" w:right="11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510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Delivery Date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 Notice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2.11(b)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Dissenting Shares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2.8(a)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5.1(b)(i)</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Drug Regulatory Agency</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Time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2.3</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Date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10.1(b)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Agent</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2.7(a)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FDA</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FDCA</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Final Net Cash</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2.11(c)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S-4</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6.1(a)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GAAP</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3.7(a)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Asset Disposition</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5.7</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Board Adverse Recommendation Change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6.3(b)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Board Recommendation</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6.3(b)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Disclosure Schedule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Section 4</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ESPP</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4.6(c)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Lock-Up Agreements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Material Contract</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4.13</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Permits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4.14(b)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Product Candidates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4.14(d)</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Regulatory Permits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4.14(d)</w:t>
            </w:r>
          </w:p>
        </w:tc>
      </w:tr>
      <w:tr>
        <w:trPr>
          <w:trHeight w:val="319"/>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0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17</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48" w:right="11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540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Real Estate Leases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4.11</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SEC Documents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4.7(a)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Stockholder Matters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6.3(a)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Stockholder Meeting</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6.3(a)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Stockholder Support Agreement</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Termination Fee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10.3(c)</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 Date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3.6(f)</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Investor Agreements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6.14</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Liability</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3.9</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2.5(a)(ii)</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Sub</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Calculation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Schedule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Notice Period</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6.2(d)</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PHSA</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Pre-Closing Period</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5.1(a)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Privacy Policies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3.22</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Proxy Statement</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Required Company Stockholder Vote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3.4</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Required Gem Stockholder Vote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4.4</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Response Date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2.11(b)</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 Notice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6.2(b)</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Surviving Corporation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 Litigation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6.19</w:t>
            </w:r>
          </w:p>
        </w:tc>
      </w:tr>
      <w:tr>
        <w:trPr>
          <w:trHeight w:val="319"/>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18</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48" w:right="1139" w:bottom="1440" w:gutter="0" w:footer="0" w:header="0"/>
        </w:sectPr>
      </w:pPr>
    </w:p>
    <w:bookmarkStart w:id="33" w:name="page34"/>
    <w:bookmarkEnd w:id="33"/>
    <w:p>
      <w:pPr>
        <w:ind w:firstLine="869"/>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1.2 </w:t>
      </w:r>
      <w:r>
        <w:rPr>
          <w:rFonts w:ascii="Times New Roman" w:cs="Times New Roman" w:eastAsia="Times New Roman" w:hAnsi="Times New Roman"/>
          <w:sz w:val="15"/>
          <w:szCs w:val="15"/>
          <w:u w:val="single" w:color="auto"/>
          <w:color w:val="auto"/>
        </w:rPr>
        <w:t>Other Definitional and Interpretative Provisions</w:t>
      </w:r>
      <w:r>
        <w:rPr>
          <w:rFonts w:ascii="Times New Roman" w:cs="Times New Roman" w:eastAsia="Times New Roman" w:hAnsi="Times New Roman"/>
          <w:sz w:val="15"/>
          <w:szCs w:val="15"/>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Gem Disclosure Schedule shall be arranged in sections and subsections corresponding to the numbered and lettered sections and subsections contained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respectively. The disclosures in any section or subsection of the Company Disclosure Schedule or the Gem Disclosure Schedule shall qualify other sections and subsections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Company Disclosure Schedule or Gem Disclosure Schedule (or any update thereto) shall not be deemed to be an admission or acknowledgement, in and of itself, that such information is required by the terms hereof to be disclosed, is material, has resulted in or would result in a Company Material Adverse Effect or Gem Material Adverse Effect, as the case may be, or its outside the Ordinary Course of Business.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620"/>
          </w:cols>
          <w:pgMar w:left="1120" w:top="253" w:right="11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2. </w:t>
      </w:r>
      <w:r>
        <w:rPr>
          <w:rFonts w:ascii="Times New Roman" w:cs="Times New Roman" w:eastAsia="Times New Roman" w:hAnsi="Times New Roman"/>
          <w:sz w:val="16"/>
          <w:szCs w:val="16"/>
          <w:u w:val="single" w:color="auto"/>
          <w:color w:val="auto"/>
        </w:rPr>
        <w:t>Description of Transaction</w:t>
      </w:r>
    </w:p>
    <w:p>
      <w:pPr>
        <w:spacing w:after="0" w:line="100"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6"/>
          <w:szCs w:val="16"/>
          <w:b w:val="1"/>
          <w:bCs w:val="1"/>
          <w:color w:val="auto"/>
        </w:rPr>
        <w:t>Surviving Corporation</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The Merger shall have the effects set forth in this Agreement and in the applicable provisions of the DGCL. As a result of the Merger, the Company will become a wholly owned subsidiary of Gem.</w:t>
      </w:r>
    </w:p>
    <w:p>
      <w:pPr>
        <w:spacing w:after="0" w:line="50"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Closing; Effective Time</w:t>
      </w:r>
      <w:r>
        <w:rPr>
          <w:rFonts w:ascii="Times New Roman" w:cs="Times New Roman" w:eastAsia="Times New Roman" w:hAnsi="Times New Roman"/>
          <w:sz w:val="16"/>
          <w:szCs w:val="16"/>
          <w:color w:val="auto"/>
        </w:rPr>
        <w:t xml:space="preserve">. Unless this Agreement is earlier terminated pursuant to the provisions of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and subject to the satisfaction or waiver of the conditions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the consummation of the Merger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other than those conditions that by their nature are to be satisfied at the Closing, but subject to the satisfaction or waiver of each of such conditions), or at such other time, date and place as Gem and the Company may mutually agree in writing. The date on which the Closing actually takes place is referred to as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cs="Times New Roman" w:eastAsia="Times New Roman" w:hAnsi="Times New Roman"/>
          <w:sz w:val="16"/>
          <w:szCs w:val="16"/>
          <w:b w:val="1"/>
          <w:bCs w:val="1"/>
          <w:color w:val="auto"/>
        </w:rPr>
        <w:t>Certificate of Merger</w:t>
      </w:r>
      <w:r>
        <w:rPr>
          <w:rFonts w:ascii="Times New Roman" w:cs="Times New Roman" w:eastAsia="Times New Roman" w:hAnsi="Times New Roman"/>
          <w:sz w:val="16"/>
          <w:szCs w:val="16"/>
          <w:color w:val="auto"/>
        </w:rPr>
        <w:t>”). The Merger shall become effective at the time of the filing of such Certificate of Merger with the Secretary of State of the State of Delaware or at such later time as may be specified in such Certificate of Merger with the consent of Gem and the Company (the time as of which the Merger becomes effective being referred to as the “</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w:t>
      </w:r>
    </w:p>
    <w:p>
      <w:pPr>
        <w:spacing w:after="0" w:line="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Certificate of Incorporation and Bylaws; Directors and Officers</w:t>
      </w:r>
      <w:r>
        <w:rPr>
          <w:rFonts w:ascii="Times New Roman" w:cs="Times New Roman" w:eastAsia="Times New Roman" w:hAnsi="Times New Roman"/>
          <w:sz w:val="16"/>
          <w:szCs w:val="16"/>
          <w:color w:val="auto"/>
        </w:rPr>
        <w:t>. At the Effective Time:</w:t>
      </w:r>
    </w:p>
    <w:p>
      <w:pPr>
        <w:spacing w:after="0" w:line="100" w:lineRule="exact"/>
        <w:rPr>
          <w:sz w:val="20"/>
          <w:szCs w:val="20"/>
          <w:color w:val="auto"/>
        </w:rPr>
      </w:pPr>
    </w:p>
    <w:p>
      <w:pPr>
        <w:ind w:firstLine="1253"/>
        <w:spacing w:after="0" w:line="276" w:lineRule="auto"/>
        <w:tabs>
          <w:tab w:leader="none" w:pos="146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virtue of the Merger, the certificate of incorporation of the Surviving Corporation shall be amended and restated as set forth in an exhibit to the Certificate of Merger, until thereafter amended as provided by the DGCL and such certificate of incorporation;</w:t>
      </w:r>
    </w:p>
    <w:p>
      <w:pPr>
        <w:spacing w:after="0" w:line="49" w:lineRule="exact"/>
        <w:rPr>
          <w:rFonts w:ascii="Times New Roman" w:cs="Times New Roman" w:eastAsia="Times New Roman" w:hAnsi="Times New Roman"/>
          <w:sz w:val="16"/>
          <w:szCs w:val="16"/>
          <w:color w:val="auto"/>
        </w:rPr>
      </w:pPr>
    </w:p>
    <w:p>
      <w:pPr>
        <w:jc w:val="both"/>
        <w:ind w:right="80" w:firstLine="1253"/>
        <w:spacing w:after="0" w:line="256" w:lineRule="auto"/>
        <w:tabs>
          <w:tab w:leader="none" w:pos="147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the shall take all actions necessary so that certificate of incorporation of Gem shall remain in effect following the Effective Time, until thereafter amended as provided by the DGCL; provided, however, that at or prior to the Effective Time, Gem shall file an amendment to its certificate of incorporation to (i) change the name of Gem to “Disc Medicine, Inc.”, (ii) effect the Nasdaq Reverse Split and (iii) make such other changes as are mutually agreeable to Gem and the Company;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640"/>
          </w:cols>
          <w:pgMar w:left="1120" w:top="253" w:right="1139" w:bottom="1440" w:gutter="0" w:footer="0" w:header="0"/>
        </w:sectPr>
      </w:pPr>
    </w:p>
    <w:bookmarkStart w:id="35" w:name="page36"/>
    <w:bookmarkEnd w:id="35"/>
    <w:p>
      <w:pPr>
        <w:ind w:right="400" w:firstLine="1253"/>
        <w:spacing w:after="0" w:line="276" w:lineRule="auto"/>
        <w:tabs>
          <w:tab w:leader="none" w:pos="14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bylaws of the Surviving Corporation shall be identical to the bylaws of Merger Sub as in effect immediately prior to the Effective Time, until thereafter amended as provided by the DGCL and such bylaws;</w:t>
      </w:r>
    </w:p>
    <w:p>
      <w:pPr>
        <w:spacing w:after="0" w:line="49" w:lineRule="exact"/>
        <w:rPr>
          <w:rFonts w:ascii="Times New Roman" w:cs="Times New Roman" w:eastAsia="Times New Roman" w:hAnsi="Times New Roman"/>
          <w:sz w:val="16"/>
          <w:szCs w:val="16"/>
          <w:color w:val="auto"/>
        </w:rPr>
      </w:pPr>
    </w:p>
    <w:p>
      <w:pPr>
        <w:ind w:right="200" w:firstLine="1253"/>
        <w:spacing w:after="0" w:line="276" w:lineRule="auto"/>
        <w:tabs>
          <w:tab w:leader="none" w:pos="147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take the actions necessary so that the directors and officers of Gem, each to hold office in accordance with the certificate of incorporation and bylaws of Gem, shall be as set forth in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 and</w:t>
      </w:r>
    </w:p>
    <w:p>
      <w:pPr>
        <w:spacing w:after="0" w:line="49" w:lineRule="exact"/>
        <w:rPr>
          <w:rFonts w:ascii="Times New Roman" w:cs="Times New Roman" w:eastAsia="Times New Roman" w:hAnsi="Times New Roman"/>
          <w:sz w:val="16"/>
          <w:szCs w:val="16"/>
          <w:color w:val="auto"/>
        </w:rPr>
      </w:pPr>
    </w:p>
    <w:p>
      <w:pPr>
        <w:ind w:right="160" w:firstLine="1253"/>
        <w:spacing w:after="0" w:line="261" w:lineRule="auto"/>
        <w:tabs>
          <w:tab w:leader="none" w:pos="14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take the actions necessary so that the directors and officers of the Surviving Corporation, each to hold office in accordance with the certificate of incorporation and bylaws of the Surviving Corporation, shall be the directors and officers of Gem as set forth in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 xml:space="preserve">, after giving effect to the provisions of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Conversion of Shares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00" w:firstLine="1253"/>
        <w:spacing w:after="0" w:line="276" w:lineRule="auto"/>
        <w:tabs>
          <w:tab w:leader="none" w:pos="14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(after giving effect to the Company Preferred Stock Conversion), by virtue of the Merger and without any further action on the part of Gem, Merger Sub, the Company or any stockholder of the Company or Gem:</w:t>
      </w:r>
    </w:p>
    <w:p>
      <w:pPr>
        <w:spacing w:after="0" w:line="49" w:lineRule="exact"/>
        <w:rPr>
          <w:rFonts w:ascii="Times New Roman" w:cs="Times New Roman" w:eastAsia="Times New Roman" w:hAnsi="Times New Roman"/>
          <w:sz w:val="16"/>
          <w:szCs w:val="16"/>
          <w:color w:val="auto"/>
        </w:rPr>
      </w:pPr>
    </w:p>
    <w:p>
      <w:pPr>
        <w:ind w:left="380" w:right="160" w:firstLine="1209"/>
        <w:spacing w:after="0" w:line="276" w:lineRule="auto"/>
        <w:tabs>
          <w:tab w:leader="none" w:pos="177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49" w:lineRule="exact"/>
        <w:rPr>
          <w:rFonts w:ascii="Times New Roman" w:cs="Times New Roman" w:eastAsia="Times New Roman" w:hAnsi="Times New Roman"/>
          <w:sz w:val="16"/>
          <w:szCs w:val="16"/>
          <w:color w:val="auto"/>
        </w:rPr>
      </w:pPr>
    </w:p>
    <w:p>
      <w:pPr>
        <w:ind w:left="380" w:firstLine="1209"/>
        <w:spacing w:after="0" w:line="256" w:lineRule="auto"/>
        <w:tabs>
          <w:tab w:leader="none" w:pos="181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2.5(c)</w:t>
      </w:r>
      <w:r>
        <w:rPr>
          <w:rFonts w:ascii="Times New Roman" w:cs="Times New Roman" w:eastAsia="Times New Roman" w:hAnsi="Times New Roman"/>
          <w:sz w:val="16"/>
          <w:szCs w:val="16"/>
          <w:color w:val="auto"/>
        </w:rPr>
        <w:t xml:space="preserve">, each share of Company Capital Stock (including any shares of Company Capital Stock issued pursuant to the Company Pre-Closing Financing) outstanding immediately prior to the Effective Time (excluding shares to be canceled pursuant to </w:t>
      </w:r>
      <w:r>
        <w:rPr>
          <w:rFonts w:ascii="Times New Roman" w:cs="Times New Roman" w:eastAsia="Times New Roman" w:hAnsi="Times New Roman"/>
          <w:sz w:val="16"/>
          <w:szCs w:val="16"/>
          <w:u w:val="single" w:color="auto"/>
          <w:color w:val="auto"/>
        </w:rPr>
        <w:t>Section 2.5(a)(i)</w:t>
      </w:r>
      <w:r>
        <w:rPr>
          <w:rFonts w:ascii="Times New Roman" w:cs="Times New Roman" w:eastAsia="Times New Roman" w:hAnsi="Times New Roman"/>
          <w:sz w:val="16"/>
          <w:szCs w:val="16"/>
          <w:color w:val="auto"/>
        </w:rPr>
        <w:t xml:space="preserve"> and excluding Dissenting Shares) shall be converted solely into the right to receive a number of shares of Gem Common Stock equal to the Exchange Ratio (the “</w:t>
      </w:r>
      <w:r>
        <w:rPr>
          <w:rFonts w:ascii="Times New Roman" w:cs="Times New Roman" w:eastAsia="Times New Roman" w:hAnsi="Times New Roman"/>
          <w:sz w:val="16"/>
          <w:szCs w:val="16"/>
          <w:b w:val="1"/>
          <w:bCs w:val="1"/>
          <w:color w:val="auto"/>
        </w:rPr>
        <w:t>Merger Consideration</w:t>
      </w: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ind w:right="20" w:firstLine="1253"/>
        <w:spacing w:after="0" w:line="252" w:lineRule="auto"/>
        <w:tabs>
          <w:tab w:leader="none" w:pos="147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shares of Company Capital Stock outstanding immediately prior to the Effective Time are unvested or are subject to a repurchase option or a risk of forfeiture under any applicable restricted stock award agreement or other similar agreement with the Company, then the shares of Gem Common Stock issued in exchange for such shares of Company Capital Stock will to the same extent be unvested and subject to the same repurchase option or risk of forfeiture, and such shares of Gem Common Stock shall accordingly be marked with appropriate legends. The Company shall take all actions that may be necessary to ensure that, from and after the Effective Time, Gem is entitled to exercise any such repurchase option or other right set forth in any such restricted stock award agreement or other agreement.</w:t>
      </w:r>
    </w:p>
    <w:p>
      <w:pPr>
        <w:spacing w:after="0" w:line="70" w:lineRule="exact"/>
        <w:rPr>
          <w:rFonts w:ascii="Times New Roman" w:cs="Times New Roman" w:eastAsia="Times New Roman" w:hAnsi="Times New Roman"/>
          <w:sz w:val="16"/>
          <w:szCs w:val="16"/>
          <w:color w:val="auto"/>
        </w:rPr>
      </w:pPr>
    </w:p>
    <w:p>
      <w:pPr>
        <w:ind w:right="40" w:firstLine="1253"/>
        <w:spacing w:after="0" w:line="251" w:lineRule="auto"/>
        <w:tabs>
          <w:tab w:leader="none" w:pos="14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fractional shares of Gem Common Stock shall be issued in connection with the Merger, and no certificates or scrip for any such fractional shares shall be issued. Notwithstanding any other provision of this Agreement, each holder of shares of Company Capital Stock converted pursuant to the Merger who would otherwise have been entitled to receive a fraction of a share of Gem Common Stock (after taking into account all Certificates delivered by such holder and the aggregate number of shares of Company Capital Stock represented thereby) shall receive, in lieu thereof, cash (without interest and subject to applicable Tax withholding) in an amount equal to such fractional part of a share of Gem Common Stock multiplied by the last reported sale price of Gem Common Stock at the 4:00 p.m., Eastern time, end of regular trading hours on Nasdaq on the last trading day prior to the Effective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640"/>
          </w:cols>
          <w:pgMar w:left="1120" w:top="253" w:right="1139" w:bottom="1440" w:gutter="0" w:footer="0" w:header="0"/>
        </w:sectPr>
      </w:pPr>
    </w:p>
    <w:bookmarkStart w:id="36" w:name="page37"/>
    <w:bookmarkEnd w:id="36"/>
    <w:p>
      <w:pPr>
        <w:ind w:right="80" w:firstLine="1253"/>
        <w:spacing w:after="0" w:line="276" w:lineRule="auto"/>
        <w:tabs>
          <w:tab w:leader="none" w:pos="147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All Company Options and all stock appreciation rights outstanding immediately prior to the Effective Time under the Company Plan shall be treated in accordance with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color w:val="auto"/>
        </w:rPr>
      </w:pPr>
    </w:p>
    <w:p>
      <w:pPr>
        <w:ind w:right="40" w:firstLine="1253"/>
        <w:spacing w:after="0" w:line="256" w:lineRule="auto"/>
        <w:tabs>
          <w:tab w:leader="none" w:pos="146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stock certificate of Merger Sub evidencing ownership of any such shares shall, as of the Effective Time, evidence ownership of such shares of common stock of the Surviving Corporation until presented for transfer or exchange.</w:t>
      </w:r>
    </w:p>
    <w:p>
      <w:pPr>
        <w:spacing w:after="0" w:line="66" w:lineRule="exact"/>
        <w:rPr>
          <w:rFonts w:ascii="Times New Roman" w:cs="Times New Roman" w:eastAsia="Times New Roman" w:hAnsi="Times New Roman"/>
          <w:sz w:val="16"/>
          <w:szCs w:val="16"/>
          <w:color w:val="auto"/>
        </w:rPr>
      </w:pPr>
    </w:p>
    <w:p>
      <w:pPr>
        <w:ind w:right="140" w:firstLine="1253"/>
        <w:spacing w:after="0" w:line="250" w:lineRule="auto"/>
        <w:tabs>
          <w:tab w:leader="none" w:pos="145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between the date of this Agreement and the Effective Time, the outstanding shares of Company Capital Stock or Gem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Gem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Gem to take any action with respect to Company Capital Stock or Gem Common Stock, respectively, that is prohibited or not expressly permitted by the terms of this Agreement.</w:t>
      </w:r>
    </w:p>
    <w:p>
      <w:pPr>
        <w:spacing w:after="0" w:line="73" w:lineRule="exact"/>
        <w:rPr>
          <w:sz w:val="20"/>
          <w:szCs w:val="20"/>
          <w:color w:val="auto"/>
        </w:rPr>
      </w:pPr>
    </w:p>
    <w:p>
      <w:pPr>
        <w:ind w:right="60" w:firstLine="869"/>
        <w:spacing w:after="0" w:line="270"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u w:val="single" w:color="auto"/>
          <w:color w:val="auto"/>
        </w:rPr>
        <w:t>Closing of the Company’s Transfer Books</w:t>
      </w:r>
      <w:r>
        <w:rPr>
          <w:rFonts w:ascii="Times New Roman" w:cs="Times New Roman" w:eastAsia="Times New Roman" w:hAnsi="Times New Roman"/>
          <w:sz w:val="15"/>
          <w:szCs w:val="15"/>
          <w:color w:val="auto"/>
        </w:rPr>
        <w:t xml:space="preserve">. At the Effective Time: (a) all shares of Company Capital Stock outstanding immediately prior to the Effective Time shall be treated in accordance with </w:t>
      </w:r>
      <w:r>
        <w:rPr>
          <w:rFonts w:ascii="Times New Roman" w:cs="Times New Roman" w:eastAsia="Times New Roman" w:hAnsi="Times New Roman"/>
          <w:sz w:val="15"/>
          <w:szCs w:val="15"/>
          <w:u w:val="single" w:color="auto"/>
          <w:color w:val="auto"/>
        </w:rPr>
        <w:t>Section 2.5(a)</w:t>
      </w:r>
      <w:r>
        <w:rPr>
          <w:rFonts w:ascii="Times New Roman" w:cs="Times New Roman" w:eastAsia="Times New Roman" w:hAnsi="Times New Roman"/>
          <w:sz w:val="15"/>
          <w:szCs w:val="15"/>
          <w:color w:val="auto"/>
        </w:rPr>
        <w:t>, and all holders of certificates representing shares of Company Capital Stock that were outstanding immediately prior to the Effective Time shall cease to have any rights as stockholders of the Company (other than the right to receive the Merger Consideration)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Times New Roman" w:cs="Times New Roman" w:eastAsia="Times New Roman" w:hAnsi="Times New Roman"/>
          <w:sz w:val="15"/>
          <w:szCs w:val="15"/>
          <w:b w:val="1"/>
          <w:bCs w:val="1"/>
          <w:color w:val="auto"/>
        </w:rPr>
        <w:t>Company Stock Certificate</w:t>
      </w:r>
      <w:r>
        <w:rPr>
          <w:rFonts w:ascii="Times New Roman" w:cs="Times New Roman" w:eastAsia="Times New Roman" w:hAnsi="Times New Roman"/>
          <w:sz w:val="15"/>
          <w:szCs w:val="15"/>
          <w:color w:val="auto"/>
        </w:rPr>
        <w:t xml:space="preserve">”) is presented to the Exchange Agent or to the Surviving Corporation, such Company Stock Certificate shall be canceled and shall be exchanged as provided in </w:t>
      </w:r>
      <w:r>
        <w:rPr>
          <w:rFonts w:ascii="Times New Roman" w:cs="Times New Roman" w:eastAsia="Times New Roman" w:hAnsi="Times New Roman"/>
          <w:sz w:val="15"/>
          <w:szCs w:val="15"/>
          <w:u w:val="single" w:color="auto"/>
          <w:color w:val="auto"/>
        </w:rPr>
        <w:t>Sections 2.5</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2.7</w:t>
      </w:r>
      <w:r>
        <w:rPr>
          <w:rFonts w:ascii="Times New Roman" w:cs="Times New Roman" w:eastAsia="Times New Roman" w:hAnsi="Times New Roman"/>
          <w:sz w:val="15"/>
          <w:szCs w:val="15"/>
          <w:color w:val="auto"/>
        </w:rPr>
        <w:t>.</w:t>
      </w:r>
    </w:p>
    <w:p>
      <w:pPr>
        <w:spacing w:after="0" w:line="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Surrender of Certificates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61" w:lineRule="auto"/>
        <w:tabs>
          <w:tab w:leader="none" w:pos="146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Gem shall select a reputable bank, transfer agent or trust company to act as exchange agent in the Merger (the “</w:t>
      </w:r>
      <w:r>
        <w:rPr>
          <w:rFonts w:ascii="Times New Roman" w:cs="Times New Roman" w:eastAsia="Times New Roman" w:hAnsi="Times New Roman"/>
          <w:sz w:val="16"/>
          <w:szCs w:val="16"/>
          <w:b w:val="1"/>
          <w:bCs w:val="1"/>
          <w:color w:val="auto"/>
        </w:rPr>
        <w:t>Exchange Agent</w:t>
      </w:r>
      <w:r>
        <w:rPr>
          <w:rFonts w:ascii="Times New Roman" w:cs="Times New Roman" w:eastAsia="Times New Roman" w:hAnsi="Times New Roman"/>
          <w:sz w:val="16"/>
          <w:szCs w:val="16"/>
          <w:color w:val="auto"/>
        </w:rPr>
        <w:t xml:space="preserve">”). At the Effective Time, Gem shall deposit with the Exchange Agent evidence of book-entry shares representing the shares of Gem Common Stock issuable pursuant to </w:t>
      </w:r>
      <w:r>
        <w:rPr>
          <w:rFonts w:ascii="Times New Roman" w:cs="Times New Roman" w:eastAsia="Times New Roman" w:hAnsi="Times New Roman"/>
          <w:sz w:val="16"/>
          <w:szCs w:val="16"/>
          <w:u w:val="single" w:color="auto"/>
          <w:color w:val="auto"/>
        </w:rPr>
        <w:t>Section 2.5(a)</w:t>
      </w:r>
      <w:r>
        <w:rPr>
          <w:rFonts w:ascii="Times New Roman" w:cs="Times New Roman" w:eastAsia="Times New Roman" w:hAnsi="Times New Roman"/>
          <w:sz w:val="16"/>
          <w:szCs w:val="16"/>
          <w:color w:val="auto"/>
        </w:rPr>
        <w:t xml:space="preserve"> in exchange for shares of Company Capital Stock.</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600"/>
          </w:cols>
          <w:pgMar w:left="1120" w:top="253" w:right="1179" w:bottom="1440" w:gutter="0" w:footer="0" w:header="0"/>
        </w:sectPr>
      </w:pPr>
    </w:p>
    <w:bookmarkStart w:id="37" w:name="page38"/>
    <w:bookmarkEnd w:id="37"/>
    <w:p>
      <w:pPr>
        <w:ind w:firstLine="1253"/>
        <w:spacing w:after="0" w:line="248" w:lineRule="auto"/>
        <w:tabs>
          <w:tab w:leader="none" w:pos="147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Gem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book-entry shares of Gem Common Stock. Upon surrender of a Company Stock Certificate to the Exchange Agent for exchange, together with a duly executed letter of transmittal and such other documents as may be reasonably required by the Exchange Agent or Gem: (A) the holder of such Company Stock Certificate shall be entitled to receive in exchange therefor book-entry shares representing the Merger Consideration (in a number of whole shares of Gem Common Stock) that such holder has the right to receive pursuant to the provisions of </w:t>
      </w:r>
      <w:r>
        <w:rPr>
          <w:rFonts w:ascii="Times New Roman" w:cs="Times New Roman" w:eastAsia="Times New Roman" w:hAnsi="Times New Roman"/>
          <w:sz w:val="16"/>
          <w:szCs w:val="16"/>
          <w:u w:val="single" w:color="auto"/>
          <w:color w:val="auto"/>
        </w:rPr>
        <w:t>Section 2.5(a)</w:t>
      </w:r>
      <w:r>
        <w:rPr>
          <w:rFonts w:ascii="Times New Roman" w:cs="Times New Roman" w:eastAsia="Times New Roman" w:hAnsi="Times New Roman"/>
          <w:sz w:val="16"/>
          <w:szCs w:val="16"/>
          <w:color w:val="auto"/>
        </w:rPr>
        <w:t xml:space="preserve"> and (B) the Company Stock Certificate so surrendered shall be canceled. Until surrendered as contemplated by this </w:t>
      </w:r>
      <w:r>
        <w:rPr>
          <w:rFonts w:ascii="Times New Roman" w:cs="Times New Roman" w:eastAsia="Times New Roman" w:hAnsi="Times New Roman"/>
          <w:sz w:val="16"/>
          <w:szCs w:val="16"/>
          <w:u w:val="single" w:color="auto"/>
          <w:color w:val="auto"/>
        </w:rPr>
        <w:t>Section 2.7(b)</w:t>
      </w:r>
      <w:r>
        <w:rPr>
          <w:rFonts w:ascii="Times New Roman" w:cs="Times New Roman" w:eastAsia="Times New Roman" w:hAnsi="Times New Roman"/>
          <w:sz w:val="16"/>
          <w:szCs w:val="16"/>
          <w:color w:val="auto"/>
        </w:rPr>
        <w:t>, each Company Stock Certificate shall be deemed, from and after the Effective Time, to represent only the right to receive book-entry shares of Gem Common Stock representing the Merger Consideration. If any Company Stock Certificate shall have been lost, stolen or destroyed, Gem may, in its discretion and as a condition precedent to the delivery of any shares of Gem Common Stock, require the owner of such lost, stolen or destroyed Company Stock Certificate to provide an applicable affidavit with respect to such Company Stock Certificate and post a bond indemnifying Gem against any claim suffered by Gem related to the lost, stolen or destroyed Company Stock Certificate or any Gem Common Stock issued in exchange therefor as Gem may reasonably request.</w:t>
      </w:r>
    </w:p>
    <w:p>
      <w:pPr>
        <w:spacing w:after="0" w:line="81" w:lineRule="exact"/>
        <w:rPr>
          <w:rFonts w:ascii="Times New Roman" w:cs="Times New Roman" w:eastAsia="Times New Roman" w:hAnsi="Times New Roman"/>
          <w:sz w:val="16"/>
          <w:szCs w:val="16"/>
          <w:color w:val="auto"/>
        </w:rPr>
      </w:pPr>
    </w:p>
    <w:p>
      <w:pPr>
        <w:ind w:right="20" w:firstLine="1253"/>
        <w:spacing w:after="0" w:line="254" w:lineRule="auto"/>
        <w:tabs>
          <w:tab w:leader="none" w:pos="146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dividends or other distributions declared or made with respect to Gem Common Stock with a record date after the Effective Time shall be paid to the holder of any unsurrendered Company Stock Certificate with respect to the shares of Gem Common Stock that such holder has the right to receive in the Merger until such holder surrenders such Company Stock Certificate or provides an affidavit of loss or destruction in lieu thereof in accordance with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(at which time such holder shall be entitled, subject to the effect of applicable abandoned property, escheat or similar Laws, to receive all such dividends and distributions, without interest).</w:t>
      </w:r>
    </w:p>
    <w:p>
      <w:pPr>
        <w:spacing w:after="0" w:line="67"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shares of Gem Common Stock deposited with the Exchange Agent that remain undistributed to holders of Company Stock Certificates as of the date that is 180 days after the Closing Date shall be delivered to Gem upon demand, and any holders of Company Stock Certificates who have not theretofore surrendered their Company Stock Certificates in accordance with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shall thereafter look only to Gem for satisfaction of their claims for Gem Common Stock and any dividends or distributions with respect to shares of Gem Common Stock.</w:t>
      </w:r>
    </w:p>
    <w:p>
      <w:pPr>
        <w:spacing w:after="0" w:line="66" w:lineRule="exact"/>
        <w:rPr>
          <w:rFonts w:ascii="Times New Roman" w:cs="Times New Roman" w:eastAsia="Times New Roman" w:hAnsi="Times New Roman"/>
          <w:sz w:val="16"/>
          <w:szCs w:val="16"/>
          <w:color w:val="auto"/>
        </w:rPr>
      </w:pPr>
    </w:p>
    <w:p>
      <w:pPr>
        <w:ind w:right="20" w:firstLine="1253"/>
        <w:spacing w:after="0" w:line="261" w:lineRule="auto"/>
        <w:tabs>
          <w:tab w:leader="none" w:pos="146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Party shall be liable to any holder of any Company Stock Certificate or to any other Person with respect to any shares of Gem Common Stock (or dividends or distributions with respect thereto) or for any cash amounts delivered to any public official pursuant to any applicable abandoned property Law, escheat Law or similar Law.</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640"/>
          </w:cols>
          <w:pgMar w:left="1120" w:top="253" w:right="1139" w:bottom="1440" w:gutter="0" w:footer="0" w:header="0"/>
        </w:sectPr>
      </w:pPr>
    </w:p>
    <w:bookmarkStart w:id="38" w:name="page39"/>
    <w:bookmarkEnd w:id="38"/>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2.8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40" w:firstLine="1253"/>
        <w:spacing w:after="0" w:line="250" w:lineRule="auto"/>
        <w:tabs>
          <w:tab w:leader="none" w:pos="14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6"/>
          <w:szCs w:val="16"/>
          <w:b w:val="1"/>
          <w:bCs w:val="1"/>
          <w:color w:val="auto"/>
        </w:rPr>
        <w:t>Dissenting Shares</w:t>
      </w:r>
      <w:r>
        <w:rPr>
          <w:rFonts w:ascii="Times New Roman" w:cs="Times New Roman" w:eastAsia="Times New Roman" w:hAnsi="Times New Roman"/>
          <w:sz w:val="16"/>
          <w:szCs w:val="16"/>
          <w:color w:val="auto"/>
        </w:rPr>
        <w:t xml:space="preserve">”) shall not be converted into or represent the right to receive the Merger Consideration described in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attributable to such Dissenting Shares. Such stockholders shall be entitled to receive payment of the appraised value of such shares of Company Capital Stock held by them as determined by the Delaware Court of Chancery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Capital Stock under the DGCL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80" w:firstLine="1253"/>
        <w:spacing w:after="0" w:line="256" w:lineRule="auto"/>
        <w:tabs>
          <w:tab w:leader="none" w:pos="14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give Gem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Gem’s prior written consent, make any payment with respect to, or settle or offer to settle, any such demands, or agree to do any of the foregoing.</w:t>
      </w:r>
    </w:p>
    <w:p>
      <w:pPr>
        <w:spacing w:after="0" w:line="66" w:lineRule="exact"/>
        <w:rPr>
          <w:sz w:val="20"/>
          <w:szCs w:val="20"/>
          <w:color w:val="auto"/>
        </w:rPr>
      </w:pPr>
    </w:p>
    <w:p>
      <w:pPr>
        <w:ind w:right="80" w:firstLine="869"/>
        <w:spacing w:after="0" w:line="254"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Further Action</w:t>
      </w:r>
      <w:r>
        <w:rPr>
          <w:rFonts w:ascii="Times New Roman" w:cs="Times New Roman" w:eastAsia="Times New Roman" w:hAnsi="Times New Roman"/>
          <w:sz w:val="16"/>
          <w:szCs w:val="16"/>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Tax Consequences; Withholding</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67" w:lineRule="auto"/>
        <w:tabs>
          <w:tab w:leader="none" w:pos="146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U.S. federal (and applicable state and local) income tax purposes, the Merger is intended to constitute a reorganization within the meaning of Section 368(a) of the Code (the “</w:t>
      </w:r>
      <w:r>
        <w:rPr>
          <w:rFonts w:ascii="Times New Roman" w:cs="Times New Roman" w:eastAsia="Times New Roman" w:hAnsi="Times New Roman"/>
          <w:sz w:val="15"/>
          <w:szCs w:val="15"/>
          <w:b w:val="1"/>
          <w:bCs w:val="1"/>
          <w:color w:val="auto"/>
        </w:rPr>
        <w:t>U.S. Tax Treatment</w:t>
      </w:r>
      <w:r>
        <w:rPr>
          <w:rFonts w:ascii="Times New Roman" w:cs="Times New Roman" w:eastAsia="Times New Roman" w:hAnsi="Times New Roman"/>
          <w:sz w:val="15"/>
          <w:szCs w:val="15"/>
          <w:color w:val="auto"/>
        </w:rPr>
        <w:t>”). The Parties hereby (i) adopt this Agreement insofar as it relates to the Merger as a “plan of reorganization” within the meaning of Treasury Regulations Section 1.368-2(g), (ii) agree to file and retain such information as shall be required under Treasury Regulations Section 1.368-3, and (iii) agree to file all Tax Returns on a basis consistent with the U.S. Tax Treatment, unless otherwise required by a “determination” that is final within the meaning of Section 1313(a) of the Code. Notwithstanding the foregoing or anything else to the contrary contained in this Agreement, the Parties acknowledge and agree that, other than the representations set forth in Sections 3.16(l) and</w:t>
      </w:r>
    </w:p>
    <w:p>
      <w:pPr>
        <w:spacing w:after="0" w:line="1" w:lineRule="exact"/>
        <w:rPr>
          <w:rFonts w:ascii="Times New Roman" w:cs="Times New Roman" w:eastAsia="Times New Roman" w:hAnsi="Times New Roman"/>
          <w:sz w:val="15"/>
          <w:szCs w:val="15"/>
          <w:color w:val="auto"/>
        </w:rPr>
      </w:pPr>
    </w:p>
    <w:p>
      <w:pPr>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4.16(k),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640"/>
          </w:cols>
          <w:pgMar w:left="1120" w:top="253" w:right="1139" w:bottom="1440" w:gutter="0" w:footer="0" w:header="0"/>
        </w:sectPr>
      </w:pPr>
    </w:p>
    <w:bookmarkStart w:id="39" w:name="page40"/>
    <w:bookmarkEnd w:id="39"/>
    <w:p>
      <w:pPr>
        <w:ind w:firstLine="1253"/>
        <w:spacing w:after="0" w:line="250" w:lineRule="auto"/>
        <w:tabs>
          <w:tab w:leader="none" w:pos="14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in connection with the preparation and filing of the Registration Statement or any other filing required by applicable Law or the SEC’s review thereof, the SEC requests or requires that a tax opinion with respect to the U.S. federal income tax consequences of the Merger be prepared and submitted (a “</w:t>
      </w:r>
      <w:r>
        <w:rPr>
          <w:rFonts w:ascii="Times New Roman" w:cs="Times New Roman" w:eastAsia="Times New Roman" w:hAnsi="Times New Roman"/>
          <w:sz w:val="16"/>
          <w:szCs w:val="16"/>
          <w:b w:val="1"/>
          <w:bCs w:val="1"/>
          <w:color w:val="auto"/>
        </w:rPr>
        <w:t>Tax Opinion</w:t>
      </w:r>
      <w:r>
        <w:rPr>
          <w:rFonts w:ascii="Times New Roman" w:cs="Times New Roman" w:eastAsia="Times New Roman" w:hAnsi="Times New Roman"/>
          <w:sz w:val="16"/>
          <w:szCs w:val="16"/>
          <w:color w:val="auto"/>
        </w:rPr>
        <w:t>”), (i) the Company and Gem shall each use their reasonable best efforts to deliver to Goodwin Procter LLP and Wilmer Cutler Pickering Hale and Dorr LLP, respectively, in connection with any Tax Opinion to be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Registration Statement or any other filing required by applicable Law, and (ii) the Company and Gem shall each use its reasonable best efforts to cause Goodwin Procter LLP and Wilmer Cutler Pickering Hale and Dorr LLP, respectively, to furnish a Tax Opinion, subject to customary assumptions and limitations, to the effect that the U.S. Tax Treatment should apply to the Merger. For the avoidance of doubt, in no event shall any such Tax Opinion be a condition to Closing.</w:t>
      </w:r>
    </w:p>
    <w:p>
      <w:pPr>
        <w:spacing w:after="0" w:line="70" w:lineRule="exact"/>
        <w:rPr>
          <w:rFonts w:ascii="Times New Roman" w:cs="Times New Roman" w:eastAsia="Times New Roman" w:hAnsi="Times New Roman"/>
          <w:sz w:val="16"/>
          <w:szCs w:val="16"/>
          <w:color w:val="auto"/>
        </w:rPr>
      </w:pPr>
    </w:p>
    <w:p>
      <w:pPr>
        <w:ind w:right="20" w:firstLine="1253"/>
        <w:spacing w:after="0" w:line="250" w:lineRule="auto"/>
        <w:tabs>
          <w:tab w:leader="none" w:pos="14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Exchange Agent, Gem and the Surviving Corporation shall be entitled to deduct and withhold from the amounts otherwise payable pursuant to this Agreement to any holder of shares of Company Capital Stock and any other recipient of payments hereunder such amounts as it reasonably determines that it is required to deduct and withhold with respect to the making of such payment under the Code, or any other applicable provision of Law. To the extent that amounts are so withheld and paid to the appropriate taxing authority by the Exchange Agent, the Surviving Corporation or Gem, as the case may be, such withheld amounts shall be treated for all purposes of this Agreement as having been paid to the holder of the shares of Company Capital Stock or other recipient of payments hereunder in respect of which such deduction and withholding was made by the Exchange Agent, the Surviving Corporation or Gem, as the case may be. Prior to the Exchange Agent, Gem or the Surviving Corporation making any deduction or withholding determined to be required under applicable Law,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Gem Net Cash</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40" w:firstLine="1253"/>
        <w:spacing w:after="0" w:line="254" w:lineRule="auto"/>
        <w:tabs>
          <w:tab w:leader="none" w:pos="146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ten (10) nor less than five (5) Business Days prior to the anticipated date for Closing (as mutually agreed in good faith by Gem and the Company) (the “Anticipated Closing Date”), Gem will deliver to the Company a schedule (the “Net Cash Schedule”) setting forth, in reasonable detail, Gem’s good faith estimated calculation of Gem Net Cash (the “Net Cash Calculation” and the date of delivery</w:t>
      </w:r>
    </w:p>
    <w:p>
      <w:pPr>
        <w:ind w:right="4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such schedule, the “Delivery Date”) as of 5:00 p.m. Eastern Time on the last Business Day prior to the Anticipated Closing Date (the “Cash Determination Time”), prepared and certified by Gem’s chief executive officer and chief financial officer (or if there is no chief financial officer at such time, the principal financial and accounting officer for Gem). Gem shall make available to the Company, or its accountants and/or counsel, the work papers and reasonable back-up materials used or useful in preparing the Net Cash Schedule, as reasonably requested by the Company (and at reasonable times and upon reasonable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40"/>
          </w:cols>
          <w:pgMar w:left="1120" w:top="253" w:right="1139" w:bottom="1440" w:gutter="0" w:footer="0" w:header="0"/>
        </w:sectPr>
      </w:pPr>
    </w:p>
    <w:bookmarkStart w:id="40" w:name="page41"/>
    <w:bookmarkEnd w:id="40"/>
    <w:p>
      <w:pPr>
        <w:ind w:right="240" w:firstLine="1253"/>
        <w:spacing w:after="0" w:line="286" w:lineRule="auto"/>
        <w:tabs>
          <w:tab w:leader="none" w:pos="147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Within three (3) Business Days after the Delivery Date (the last day of such period, the “Response Date”), the Company shall have the right to dispute any part of the Net Cash Calculation by delivering a written notice to that effect to Gem (a “Dispute Notice”). Any Dispute Notice shall identify in reasonable detail and to the extent known the nature and amounts of any proposed revisions to the Net Cash Calculation.</w:t>
      </w:r>
    </w:p>
    <w:p>
      <w:pPr>
        <w:spacing w:after="0" w:line="45" w:lineRule="exact"/>
        <w:rPr>
          <w:rFonts w:ascii="Times New Roman" w:cs="Times New Roman" w:eastAsia="Times New Roman" w:hAnsi="Times New Roman"/>
          <w:sz w:val="15"/>
          <w:szCs w:val="15"/>
          <w:color w:val="auto"/>
        </w:rPr>
      </w:pPr>
    </w:p>
    <w:p>
      <w:pPr>
        <w:ind w:right="80" w:firstLine="1253"/>
        <w:spacing w:after="0" w:line="256" w:lineRule="auto"/>
        <w:tabs>
          <w:tab w:leader="none" w:pos="14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prior to the Response Date, the Company notifies Gem in writing that it has no objections to the Net Cash Calculation or, if prior to 5:00 p.m. Eastern Time on the Response Date, the Company has failed to deliver a Dispute Notice as provided in </w:t>
      </w:r>
      <w:r>
        <w:rPr>
          <w:rFonts w:ascii="Times New Roman" w:cs="Times New Roman" w:eastAsia="Times New Roman" w:hAnsi="Times New Roman"/>
          <w:sz w:val="16"/>
          <w:szCs w:val="16"/>
          <w:u w:val="single" w:color="auto"/>
          <w:color w:val="auto"/>
        </w:rPr>
        <w:t>Section 2.11(b)</w:t>
      </w:r>
      <w:r>
        <w:rPr>
          <w:rFonts w:ascii="Times New Roman" w:cs="Times New Roman" w:eastAsia="Times New Roman" w:hAnsi="Times New Roman"/>
          <w:sz w:val="16"/>
          <w:szCs w:val="16"/>
          <w:color w:val="auto"/>
        </w:rPr>
        <w:t>, then the Net Cash Calculation as set forth in the Net Cash Schedule shall be deemed to have been finally determined for purposes of this Agreement and to represent the Net Cash at the Cash Determination Time (the “</w:t>
      </w:r>
      <w:r>
        <w:rPr>
          <w:rFonts w:ascii="Times New Roman" w:cs="Times New Roman" w:eastAsia="Times New Roman" w:hAnsi="Times New Roman"/>
          <w:sz w:val="16"/>
          <w:szCs w:val="16"/>
          <w:b w:val="1"/>
          <w:bCs w:val="1"/>
          <w:color w:val="auto"/>
        </w:rPr>
        <w:t>Final Net Cash</w:t>
      </w:r>
      <w:r>
        <w:rPr>
          <w:rFonts w:ascii="Times New Roman" w:cs="Times New Roman" w:eastAsia="Times New Roman" w:hAnsi="Times New Roman"/>
          <w:sz w:val="16"/>
          <w:szCs w:val="16"/>
          <w:color w:val="auto"/>
        </w:rPr>
        <w:t>”) for purposes of this Agreement.</w:t>
      </w:r>
    </w:p>
    <w:p>
      <w:pPr>
        <w:spacing w:after="0" w:line="66" w:lineRule="exact"/>
        <w:rPr>
          <w:rFonts w:ascii="Times New Roman" w:cs="Times New Roman" w:eastAsia="Times New Roman" w:hAnsi="Times New Roman"/>
          <w:sz w:val="16"/>
          <w:szCs w:val="16"/>
          <w:color w:val="auto"/>
        </w:rPr>
      </w:pPr>
    </w:p>
    <w:p>
      <w:pPr>
        <w:ind w:right="180" w:firstLine="1253"/>
        <w:spacing w:after="0" w:line="254" w:lineRule="auto"/>
        <w:tabs>
          <w:tab w:leader="none" w:pos="14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delivers a Dispute Notice on or prior to 5:00 p.m. Eastern Time on the Response Date, then Representatives of Gem and the Company shall promptly, and in no event later than one (1) calendar day after the Response Date, meet (in person, virtually or telephonically) and attempt in good faith to resolve the disputed item(s) and negotiate an agreed-upon determination of Gem Net Cash, which agreed upon Gem Net Cash amount shall be deemed to have been finally determined for purposes of this Agreement and to represent the Final Net Cash for purposes of this Agreement.</w:t>
      </w:r>
    </w:p>
    <w:p>
      <w:pPr>
        <w:spacing w:after="0" w:line="67" w:lineRule="exact"/>
        <w:rPr>
          <w:rFonts w:ascii="Times New Roman" w:cs="Times New Roman" w:eastAsia="Times New Roman" w:hAnsi="Times New Roman"/>
          <w:sz w:val="16"/>
          <w:szCs w:val="16"/>
          <w:color w:val="auto"/>
        </w:rPr>
      </w:pPr>
    </w:p>
    <w:p>
      <w:pPr>
        <w:ind w:firstLine="1253"/>
        <w:spacing w:after="0" w:line="248" w:lineRule="auto"/>
        <w:tabs>
          <w:tab w:leader="none" w:pos="14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Representatives of Gem and the Company are unable to negotiate an agreed-upon determination of Final Net Cash pursuant to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within two (2) calendar days after delivery of the Dispute Notice (or such other period as Gem and the Company may mutually agree upon), then any disputed items remaining under disagreement as to the calculation of Gem Net Cash shall be referred to an independent auditor of recognized national standing jointly selected and mutually agreed upon by Gem and the Company (the “</w:t>
      </w:r>
      <w:r>
        <w:rPr>
          <w:rFonts w:ascii="Times New Roman" w:cs="Times New Roman" w:eastAsia="Times New Roman" w:hAnsi="Times New Roman"/>
          <w:sz w:val="16"/>
          <w:szCs w:val="16"/>
          <w:b w:val="1"/>
          <w:bCs w:val="1"/>
          <w:color w:val="auto"/>
        </w:rPr>
        <w:t>Accounting Firm</w:t>
      </w:r>
      <w:r>
        <w:rPr>
          <w:rFonts w:ascii="Times New Roman" w:cs="Times New Roman" w:eastAsia="Times New Roman" w:hAnsi="Times New Roman"/>
          <w:sz w:val="16"/>
          <w:szCs w:val="16"/>
          <w:color w:val="auto"/>
        </w:rPr>
        <w:t xml:space="preserve">”). Gem shall promptly deliver to the Accounting Firm the work papers and back-up materials used in preparing the Net Cash Schedule, and Gem and the Company shall use commercially reasonable efforts to cause the Accounting Firm to make its determination within five (5) calendar days of accepting its selection. Gem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Gem and the Company. The determination of the Accounting Firm shall be limited to the disagreements submitted to the Accounting Firm. The determination of Gem Net Cash made by the Accounting Firm shall be made in writing delivered to each of Gem and the Company, shall be final and binding on Gem and the Company and shall be deemed to have been finally determined for purposes of this Agreement and to represent the Final Net Cash for purposes of this Agreement. The Parties shall delay the Closing until the resolution of the matters described in this </w:t>
      </w:r>
      <w:r>
        <w:rPr>
          <w:rFonts w:ascii="Times New Roman" w:cs="Times New Roman" w:eastAsia="Times New Roman" w:hAnsi="Times New Roman"/>
          <w:sz w:val="16"/>
          <w:szCs w:val="16"/>
          <w:u w:val="single" w:color="auto"/>
          <w:color w:val="auto"/>
        </w:rPr>
        <w:t>Section 2.11(e)</w:t>
      </w:r>
      <w:r>
        <w:rPr>
          <w:rFonts w:ascii="Times New Roman" w:cs="Times New Roman" w:eastAsia="Times New Roman" w:hAnsi="Times New Roman"/>
          <w:sz w:val="16"/>
          <w:szCs w:val="16"/>
          <w:color w:val="auto"/>
        </w:rPr>
        <w:t xml:space="preserve">. The fees and expenses of the Accounting Firm shall be allocated between Gem and the Company in the same proportion that the disputed amount of the Gem Net Cash that was unsuccessfully disputed by such Party (as finally determined by the Accounting Firm) bears to the total disputed amount of the Gem Net Cash amount. If this </w:t>
      </w:r>
      <w:r>
        <w:rPr>
          <w:rFonts w:ascii="Times New Roman" w:cs="Times New Roman" w:eastAsia="Times New Roman" w:hAnsi="Times New Roman"/>
          <w:sz w:val="16"/>
          <w:szCs w:val="16"/>
          <w:u w:val="single" w:color="auto"/>
          <w:color w:val="auto"/>
        </w:rPr>
        <w:t>Section 2.11(e)</w:t>
      </w:r>
      <w:r>
        <w:rPr>
          <w:rFonts w:ascii="Times New Roman" w:cs="Times New Roman" w:eastAsia="Times New Roman" w:hAnsi="Times New Roman"/>
          <w:sz w:val="16"/>
          <w:szCs w:val="16"/>
          <w:color w:val="auto"/>
        </w:rPr>
        <w:t xml:space="preserve"> applies as to the determination of the Final Net Cash described in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upon resolution of the matter in accordance with this </w:t>
      </w:r>
      <w:r>
        <w:rPr>
          <w:rFonts w:ascii="Times New Roman" w:cs="Times New Roman" w:eastAsia="Times New Roman" w:hAnsi="Times New Roman"/>
          <w:sz w:val="16"/>
          <w:szCs w:val="16"/>
          <w:u w:val="single" w:color="auto"/>
          <w:color w:val="auto"/>
        </w:rPr>
        <w:t>Section 2.11(e)</w:t>
      </w:r>
      <w:r>
        <w:rPr>
          <w:rFonts w:ascii="Times New Roman" w:cs="Times New Roman" w:eastAsia="Times New Roman" w:hAnsi="Times New Roman"/>
          <w:sz w:val="16"/>
          <w:szCs w:val="16"/>
          <w:color w:val="auto"/>
        </w:rPr>
        <w:t>, the Parties shall not be required to determine Gem Net Cash again even though the Closing Date may occur later than the Anticipated Closing Date, except that either Gem and the Company may require a redetermination of the Final Net Cash if the Closing Date is more than ten (10) calendar days after the Anticipated Closing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640"/>
          </w:cols>
          <w:pgMar w:left="1120" w:top="253" w:right="1139" w:bottom="1440" w:gutter="0" w:footer="0" w:header="0"/>
        </w:sectPr>
      </w:pPr>
    </w:p>
    <w:bookmarkStart w:id="41" w:name="page42"/>
    <w:bookmarkEnd w:id="41"/>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3. </w:t>
      </w: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ind w:left="1" w:right="620" w:firstLine="386"/>
        <w:spacing w:after="0" w:line="278" w:lineRule="auto"/>
        <w:rPr>
          <w:sz w:val="20"/>
          <w:szCs w:val="20"/>
          <w:color w:val="auto"/>
        </w:rPr>
      </w:pPr>
      <w:r>
        <w:rPr>
          <w:rFonts w:ascii="Times New Roman" w:cs="Times New Roman" w:eastAsia="Times New Roman" w:hAnsi="Times New Roman"/>
          <w:sz w:val="16"/>
          <w:szCs w:val="16"/>
          <w:color w:val="auto"/>
        </w:rPr>
        <w:t>Subject to Section 3, except as set forth in the written disclosure schedule delivered by the Company to Gem (the “</w:t>
      </w:r>
      <w:r>
        <w:rPr>
          <w:rFonts w:ascii="Times New Roman" w:cs="Times New Roman" w:eastAsia="Times New Roman" w:hAnsi="Times New Roman"/>
          <w:sz w:val="16"/>
          <w:szCs w:val="16"/>
          <w:b w:val="1"/>
          <w:bCs w:val="1"/>
          <w:color w:val="auto"/>
        </w:rPr>
        <w:t>Company Disclosure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Schedule</w:t>
      </w:r>
      <w:r>
        <w:rPr>
          <w:rFonts w:ascii="Times New Roman" w:cs="Times New Roman" w:eastAsia="Times New Roman" w:hAnsi="Times New Roman"/>
          <w:sz w:val="16"/>
          <w:szCs w:val="16"/>
          <w:color w:val="auto"/>
        </w:rPr>
        <w:t>”), the Company represents and warrants to Gem and Merger Sub as follows.</w:t>
      </w:r>
    </w:p>
    <w:p>
      <w:pPr>
        <w:spacing w:after="0" w:line="49"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Due Organization; Subsidiaries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firstLine="1253"/>
        <w:spacing w:after="0" w:line="279" w:lineRule="auto"/>
        <w:tabs>
          <w:tab w:leader="none" w:pos="147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49" w:lineRule="exact"/>
        <w:rPr>
          <w:rFonts w:ascii="Times New Roman" w:cs="Times New Roman" w:eastAsia="Times New Roman" w:hAnsi="Times New Roman"/>
          <w:sz w:val="15"/>
          <w:szCs w:val="15"/>
          <w:color w:val="auto"/>
        </w:rPr>
      </w:pPr>
    </w:p>
    <w:p>
      <w:pPr>
        <w:ind w:left="1" w:right="20" w:firstLine="1253"/>
        <w:spacing w:after="0" w:line="256" w:lineRule="auto"/>
        <w:tabs>
          <w:tab w:leader="none" w:pos="147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66" w:lineRule="exact"/>
        <w:rPr>
          <w:rFonts w:ascii="Times New Roman" w:cs="Times New Roman" w:eastAsia="Times New Roman" w:hAnsi="Times New Roman"/>
          <w:sz w:val="16"/>
          <w:szCs w:val="16"/>
          <w:color w:val="auto"/>
        </w:rPr>
      </w:pPr>
    </w:p>
    <w:p>
      <w:pPr>
        <w:ind w:left="1" w:right="60" w:firstLine="1253"/>
        <w:spacing w:after="0" w:line="251" w:lineRule="auto"/>
        <w:tabs>
          <w:tab w:leader="none" w:pos="14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has no Subsidiaries, except for the Entities identified in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and neither the Company nor any of the Entities identified in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Neither the Company nor any of its Subsidiaries is or has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69" w:lineRule="exact"/>
        <w:rPr>
          <w:sz w:val="20"/>
          <w:szCs w:val="20"/>
          <w:color w:val="auto"/>
        </w:rPr>
      </w:pPr>
    </w:p>
    <w:p>
      <w:pPr>
        <w:jc w:val="both"/>
        <w:ind w:left="1" w:right="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The Company has delivered to Gem accurate and complete copies of the Organizational Documents of the Company and each of its Subsidiaries. Neither the Company nor any of its Subsidiaries is in breach or violation of its Organizational Documents in any material respect.</w:t>
      </w:r>
    </w:p>
    <w:p>
      <w:pPr>
        <w:spacing w:after="0" w:line="62" w:lineRule="exact"/>
        <w:rPr>
          <w:sz w:val="20"/>
          <w:szCs w:val="20"/>
          <w:color w:val="auto"/>
        </w:rPr>
      </w:pPr>
    </w:p>
    <w:p>
      <w:pPr>
        <w:ind w:left="1" w:right="80" w:firstLine="869"/>
        <w:spacing w:after="0" w:line="275" w:lineRule="auto"/>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u w:val="single" w:color="auto"/>
          <w:color w:val="auto"/>
        </w:rPr>
        <w:t>Authority; Binding Nature of Agreement</w:t>
      </w:r>
      <w:r>
        <w:rPr>
          <w:rFonts w:ascii="Times New Roman" w:cs="Times New Roman" w:eastAsia="Times New Roman" w:hAnsi="Times New Roman"/>
          <w:sz w:val="15"/>
          <w:szCs w:val="15"/>
          <w:color w:val="auto"/>
        </w:rPr>
        <w:t>. The Company and each of its Subsidiaries have all necessary corporate power and authority to enter into and to perform its obligations under this Agreement and to consummate the Contemplated Transactions. The Company Board has</w:t>
      </w:r>
    </w:p>
    <w:p>
      <w:pPr>
        <w:ind w:left="1" w:right="120" w:hanging="1"/>
        <w:spacing w:after="0" w:line="253" w:lineRule="auto"/>
        <w:tabs>
          <w:tab w:leader="none" w:pos="18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the Contemplated Transactions are fair to, advisable and in the best interests of the Company and its stockholders, (ii) approved and declared advisable</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641"/>
          </w:cols>
          <w:pgMar w:left="1119" w:top="253" w:right="1139" w:bottom="1440" w:gutter="0" w:footer="0" w:header="0"/>
        </w:sectPr>
      </w:pPr>
    </w:p>
    <w:bookmarkStart w:id="42" w:name="page43"/>
    <w:bookmarkEnd w:id="42"/>
    <w:p>
      <w:pPr>
        <w:ind w:right="6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Gem and Merger Sub, constitutes the legal, valid and binding obligation of the Company, enforceable against the Company in accordance with its terms, subject to the Enforceability Exceptions. Prior to the execution of the Company Stockholder Support Agreements, the Company Board approved the Company Stockholder Support Agreements and the transactions contemplated thereby.</w:t>
      </w:r>
    </w:p>
    <w:p>
      <w:pPr>
        <w:spacing w:after="0" w:line="69" w:lineRule="exact"/>
        <w:rPr>
          <w:sz w:val="20"/>
          <w:szCs w:val="20"/>
          <w:color w:val="auto"/>
        </w:rPr>
      </w:pPr>
    </w:p>
    <w:p>
      <w:pPr>
        <w:ind w:firstLine="869"/>
        <w:spacing w:after="0" w:line="275"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Vote Required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affirmative vote of (i) the holders of a majority of the shares of Company Common Stock outstanding on the record date for the Company Stockholder Written Consent and entitled to vote thereon, voting as a single class, and (ii) the holders of Company Preferred Stock constituting the Requisite Holders (including at least one Specified Series B Holder) each as defined in the Company’s Second Amended and Restated Certificate of Incorporation, as in effect from time to time (the “</w:t>
      </w:r>
      <w:r>
        <w:rPr>
          <w:rFonts w:ascii="Times New Roman" w:cs="Times New Roman" w:eastAsia="Times New Roman" w:hAnsi="Times New Roman"/>
          <w:sz w:val="15"/>
          <w:szCs w:val="15"/>
          <w:b w:val="1"/>
          <w:bCs w:val="1"/>
          <w:color w:val="auto"/>
        </w:rPr>
        <w:t>Required Company Stockholder Vote</w:t>
      </w:r>
      <w:r>
        <w:rPr>
          <w:rFonts w:ascii="Times New Roman" w:cs="Times New Roman" w:eastAsia="Times New Roman" w:hAnsi="Times New Roman"/>
          <w:sz w:val="15"/>
          <w:szCs w:val="15"/>
          <w:color w:val="auto"/>
        </w:rPr>
        <w:t>”), is the only vote of the holders of any class or series of Company Capital Stock necessary to adopt and approve this Agreement and approve the Contemplated Transactions.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Non-Contravention; Consents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20" w:firstLine="1253"/>
        <w:spacing w:after="0" w:line="261" w:lineRule="auto"/>
        <w:tabs>
          <w:tab w:leader="none" w:pos="14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compliance with obtaining the Required Company Stockholder Vote and the filing of the Certificate of Merger with the Secretary of State of the State of Delaware pursuant to the DGCL, neither (x) the execution, delivery or performance of this Agreement by the Company, nor (y) the consummation of the Contemplated Transactions, will directly or indirectly (with or without notice or lapse of time):</w:t>
      </w:r>
    </w:p>
    <w:p>
      <w:pPr>
        <w:spacing w:after="0" w:line="62" w:lineRule="exact"/>
        <w:rPr>
          <w:rFonts w:ascii="Times New Roman" w:cs="Times New Roman" w:eastAsia="Times New Roman" w:hAnsi="Times New Roman"/>
          <w:sz w:val="16"/>
          <w:szCs w:val="16"/>
          <w:color w:val="auto"/>
        </w:rPr>
      </w:pPr>
    </w:p>
    <w:p>
      <w:pPr>
        <w:ind w:left="1780" w:hanging="191"/>
        <w:spacing w:after="0"/>
        <w:tabs>
          <w:tab w:leader="none" w:pos="17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of any of the provisions of the Company’s Organizational Documents;</w:t>
      </w:r>
    </w:p>
    <w:p>
      <w:pPr>
        <w:spacing w:after="0" w:line="99" w:lineRule="exact"/>
        <w:rPr>
          <w:rFonts w:ascii="Times New Roman" w:cs="Times New Roman" w:eastAsia="Times New Roman" w:hAnsi="Times New Roman"/>
          <w:sz w:val="16"/>
          <w:szCs w:val="16"/>
          <w:color w:val="auto"/>
        </w:rPr>
      </w:pPr>
    </w:p>
    <w:p>
      <w:pPr>
        <w:ind w:left="380" w:right="40" w:firstLine="1209"/>
        <w:spacing w:after="0" w:line="261" w:lineRule="auto"/>
        <w:tabs>
          <w:tab w:leader="none" w:pos="1816"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62" w:lineRule="exact"/>
        <w:rPr>
          <w:rFonts w:ascii="Times New Roman" w:cs="Times New Roman" w:eastAsia="Times New Roman" w:hAnsi="Times New Roman"/>
          <w:sz w:val="16"/>
          <w:szCs w:val="16"/>
          <w:color w:val="auto"/>
        </w:rPr>
      </w:pPr>
    </w:p>
    <w:p>
      <w:pPr>
        <w:jc w:val="both"/>
        <w:ind w:left="380" w:right="40" w:firstLine="1209"/>
        <w:spacing w:after="0" w:line="261" w:lineRule="auto"/>
        <w:tabs>
          <w:tab w:leader="none" w:pos="18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62" w:lineRule="exact"/>
        <w:rPr>
          <w:rFonts w:ascii="Times New Roman" w:cs="Times New Roman" w:eastAsia="Times New Roman" w:hAnsi="Times New Roman"/>
          <w:sz w:val="16"/>
          <w:szCs w:val="16"/>
          <w:color w:val="auto"/>
        </w:rPr>
      </w:pPr>
    </w:p>
    <w:p>
      <w:pPr>
        <w:jc w:val="both"/>
        <w:ind w:left="380" w:right="100" w:firstLine="1209"/>
        <w:spacing w:after="0" w:line="254" w:lineRule="auto"/>
        <w:tabs>
          <w:tab w:leader="none" w:pos="185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640"/>
          </w:cols>
          <w:pgMar w:left="1120" w:top="253" w:right="1139" w:bottom="1440" w:gutter="0" w:footer="0" w:header="0"/>
        </w:sectPr>
      </w:pPr>
    </w:p>
    <w:bookmarkStart w:id="43" w:name="page44"/>
    <w:bookmarkEnd w:id="43"/>
    <w:p>
      <w:pPr>
        <w:ind w:left="380" w:firstLine="1209"/>
        <w:spacing w:after="0" w:line="276" w:lineRule="auto"/>
        <w:tabs>
          <w:tab w:leader="none" w:pos="1808"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result in the imposition or creation of any Encumbrance upon or with respect to any asset owned or used by the Company or its Subsidiaries (except for Permitted Encumbrances).</w:t>
      </w:r>
    </w:p>
    <w:p>
      <w:pPr>
        <w:spacing w:after="0" w:line="49" w:lineRule="exact"/>
        <w:rPr>
          <w:rFonts w:ascii="Times New Roman" w:cs="Times New Roman" w:eastAsia="Times New Roman" w:hAnsi="Times New Roman"/>
          <w:sz w:val="16"/>
          <w:szCs w:val="16"/>
          <w:color w:val="auto"/>
        </w:rPr>
      </w:pPr>
    </w:p>
    <w:p>
      <w:pPr>
        <w:ind w:right="60" w:firstLine="1253"/>
        <w:spacing w:after="0" w:line="254" w:lineRule="auto"/>
        <w:tabs>
          <w:tab w:leader="none" w:pos="147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(i) the Required Company Stockholder Vote, (ii) the filing of the Certificate of Merger with the Secretary of State of the State of Delaware pursuant to the DGCL, and (iii) such consents, waivers, approvals, orders, authorizations, registrations, declarations and filings as may be required under applicable federal and state securities laws, neither the Company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67" w:lineRule="exact"/>
        <w:rPr>
          <w:rFonts w:ascii="Times New Roman" w:cs="Times New Roman" w:eastAsia="Times New Roman" w:hAnsi="Times New Roman"/>
          <w:sz w:val="16"/>
          <w:szCs w:val="16"/>
          <w:color w:val="auto"/>
        </w:rPr>
      </w:pPr>
    </w:p>
    <w:p>
      <w:pPr>
        <w:ind w:right="40" w:firstLine="1253"/>
        <w:spacing w:after="0" w:line="279" w:lineRule="auto"/>
        <w:tabs>
          <w:tab w:leader="none" w:pos="146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52" w:lineRule="auto"/>
        <w:tabs>
          <w:tab w:leader="none" w:pos="14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Company Capital Stock as of the date of this Agreement consists of (i) 109,395,840 shares of Company Common Stock, par value $0.0001 per share, of which 8,759,908 shares have been issued and are outstanding as of the date of this Agreement, and (ii) 84,166,666 shares of Preferred Stock, par value $0.0001 per share (the “</w:t>
      </w:r>
      <w:r>
        <w:rPr>
          <w:rFonts w:ascii="Times New Roman" w:cs="Times New Roman" w:eastAsia="Times New Roman" w:hAnsi="Times New Roman"/>
          <w:sz w:val="16"/>
          <w:szCs w:val="16"/>
          <w:b w:val="1"/>
          <w:bCs w:val="1"/>
          <w:color w:val="auto"/>
        </w:rPr>
        <w:t>Company Preferred Stock</w:t>
      </w:r>
      <w:r>
        <w:rPr>
          <w:rFonts w:ascii="Times New Roman" w:cs="Times New Roman" w:eastAsia="Times New Roman" w:hAnsi="Times New Roman"/>
          <w:sz w:val="16"/>
          <w:szCs w:val="16"/>
          <w:color w:val="auto"/>
        </w:rPr>
        <w:t>”), of which (a) 5,000,000 shares have been designated Series Seed Preferred Stock, all of which are issued and outstanding, (b) 41,666,666 shares have been designated Series A Preferred Stock, all of which are issued or outstanding, and (c) 37,500,000 shares have been designated Series B Preferred Stock, all of which are issued and outstanding as of the date of this Agreement. The Company does not hold any shares of its capital stock in its treasury.</w:t>
      </w:r>
    </w:p>
    <w:p>
      <w:pPr>
        <w:spacing w:after="0" w:line="70" w:lineRule="exact"/>
        <w:rPr>
          <w:rFonts w:ascii="Times New Roman" w:cs="Times New Roman" w:eastAsia="Times New Roman" w:hAnsi="Times New Roman"/>
          <w:sz w:val="16"/>
          <w:szCs w:val="16"/>
          <w:color w:val="auto"/>
        </w:rPr>
      </w:pPr>
    </w:p>
    <w:p>
      <w:pPr>
        <w:ind w:right="20" w:firstLine="1253"/>
        <w:spacing w:after="0" w:line="249" w:lineRule="auto"/>
        <w:tabs>
          <w:tab w:leader="none" w:pos="147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outstanding shares of Company Common Stock and Company Preferred Stock and all outstanding securities of the Subsidiaries as set out in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of the Company Disclosure Schedule have been duly authorized and validly issued, and are fully paid and nonassessable and are free of any Encumbrances. None of the outstanding shares of Company Common Stock or Company Preferred Stock is entitled or subject to any preemptive right, right of participation, right of maintenance or any similar right and none of the outstanding shares of Company Common Stock or Company Preferred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or Company Preferred Stock. The Company is not under any obligation, nor is it bound by any Contract pursuant to which it may become obligated, to repurchase, redeem or otherwise acquire any outstanding shares of Company Common Stock or other securities.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 Each share of Company Preferred Stock is convertible into one share of Company Common Stock.</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640"/>
          </w:cols>
          <w:pgMar w:left="1120" w:top="253" w:right="1139" w:bottom="1440" w:gutter="0" w:footer="0" w:header="0"/>
        </w:sectPr>
      </w:pPr>
    </w:p>
    <w:bookmarkStart w:id="44" w:name="page45"/>
    <w:bookmarkEnd w:id="44"/>
    <w:p>
      <w:pPr>
        <w:ind w:left="1" w:right="20" w:firstLine="1253"/>
        <w:spacing w:after="0" w:line="267" w:lineRule="auto"/>
        <w:tabs>
          <w:tab w:leader="none" w:pos="1470"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Except for the Company’s 2017 Stock Option and Grant Plan, as amended (the “</w:t>
      </w:r>
      <w:r>
        <w:rPr>
          <w:rFonts w:ascii="Times New Roman" w:cs="Times New Roman" w:eastAsia="Times New Roman" w:hAnsi="Times New Roman"/>
          <w:sz w:val="15"/>
          <w:szCs w:val="15"/>
          <w:b w:val="1"/>
          <w:bCs w:val="1"/>
          <w:color w:val="auto"/>
        </w:rPr>
        <w:t>Company Plan</w:t>
      </w:r>
      <w:r>
        <w:rPr>
          <w:rFonts w:ascii="Times New Roman" w:cs="Times New Roman" w:eastAsia="Times New Roman" w:hAnsi="Times New Roman"/>
          <w:sz w:val="15"/>
          <w:szCs w:val="15"/>
          <w:color w:val="auto"/>
        </w:rPr>
        <w:t xml:space="preserve">”), the Company does not have any stock option plan or any other plan, program, agreement or arrangement providing for any equity-based compensation for any Person. As of the date of this Agreement, the Company has reserved 17,503,334 shares of Company Common Stock for issuance under the Company Plan, of which 1,034,067 shares have been issued and are currently outstanding, 14,935,273 have been reserved for issuance upon exercise of Company Options granted under the Company Plan, and 1,533,994 shares of Company Common Stock remain available for future issuance pursuant to the Company Plan. </w:t>
      </w:r>
      <w:r>
        <w:rPr>
          <w:rFonts w:ascii="Times New Roman" w:cs="Times New Roman" w:eastAsia="Times New Roman" w:hAnsi="Times New Roman"/>
          <w:sz w:val="15"/>
          <w:szCs w:val="15"/>
          <w:u w:val="single" w:color="auto"/>
          <w:color w:val="auto"/>
        </w:rPr>
        <w:t>Section 3.6(c)</w:t>
      </w:r>
      <w:r>
        <w:rPr>
          <w:rFonts w:ascii="Times New Roman" w:cs="Times New Roman" w:eastAsia="Times New Roman" w:hAnsi="Times New Roman"/>
          <w:sz w:val="15"/>
          <w:szCs w:val="15"/>
          <w:color w:val="auto"/>
        </w:rPr>
        <w:t xml:space="preserve"> of the Company Disclosure Schedule sets forth the following information (A) with respect to each Company Option outstanding as of the date of this Agreement: (i) the name of the optionee, (ii) the number of shares of Company Common Stock subject to such Company Option at the time of grant,</w:t>
      </w:r>
    </w:p>
    <w:p>
      <w:pPr>
        <w:ind w:left="1" w:right="20" w:hanging="1"/>
        <w:spacing w:after="0" w:line="265" w:lineRule="auto"/>
        <w:tabs>
          <w:tab w:leader="none" w:pos="27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Company Common Stock subject to such Company Option as of the date of this Agreement, (iv) the exercise price of such Company Option, (v) the date on which such Company Option was granted, (vi) the applicable vesting schedule, including any acceleration provisions, and the number of vested and unvested options as of the date of this Agreement, (vii) the expiration date of such Company Option and (viii) whether such Company Option is intended to be an “incentive stock option” (as defined in the Code) or a non-qualified stock option and (B) with respect to each stock appreciation right granted by the Company as of the date of this Agreement (a “</w:t>
      </w:r>
      <w:r>
        <w:rPr>
          <w:rFonts w:ascii="Times New Roman" w:cs="Times New Roman" w:eastAsia="Times New Roman" w:hAnsi="Times New Roman"/>
          <w:sz w:val="15"/>
          <w:szCs w:val="15"/>
          <w:b w:val="1"/>
          <w:bCs w:val="1"/>
          <w:color w:val="auto"/>
        </w:rPr>
        <w:t>Company SAR</w:t>
      </w:r>
      <w:r>
        <w:rPr>
          <w:rFonts w:ascii="Times New Roman" w:cs="Times New Roman" w:eastAsia="Times New Roman" w:hAnsi="Times New Roman"/>
          <w:sz w:val="15"/>
          <w:szCs w:val="15"/>
          <w:color w:val="auto"/>
        </w:rPr>
        <w:t>”), (i) the name of the recipient of the grant of the Company SAR, (ii) the number of shares of Company Common Stock subject to such Company SAR at the time of grant, (iii) the number of shares of Company Common Stock subject to such Company SAR as of the date of this Agreement, (iv) the exercise price of such Company SAR, (v) the date on which such Company SAR was granted, (vi) the applicable vesting schedule, including any acceleration provisions, and the number of vested and unvested options as of the date of this Agreement, (vii) the expiration date of such Company SAR. The Company has made available to Gem an accurate and complete copy of the Company Plan, forms of all award agreements evidencing outstanding equity awards thereunder, any equity award agreements that differ in any material respect from the forms of award agreements and evidence of board and stockholder approval of the Company Plan and any amendments thereto. No vesting of Company Options will accelerate in connection with the closing of the Contemplated Transactions.</w:t>
      </w:r>
    </w:p>
    <w:p>
      <w:pPr>
        <w:spacing w:after="0" w:line="62" w:lineRule="exact"/>
        <w:rPr>
          <w:rFonts w:ascii="Times New Roman" w:cs="Times New Roman" w:eastAsia="Times New Roman" w:hAnsi="Times New Roman"/>
          <w:sz w:val="15"/>
          <w:szCs w:val="15"/>
          <w:color w:val="auto"/>
        </w:rPr>
      </w:pPr>
    </w:p>
    <w:p>
      <w:pPr>
        <w:ind w:left="1481" w:hanging="227"/>
        <w:spacing w:after="0"/>
        <w:tabs>
          <w:tab w:leader="none" w:pos="148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outstanding Company Options and Company SARs set forth on </w:t>
      </w:r>
      <w:r>
        <w:rPr>
          <w:rFonts w:ascii="Times New Roman" w:cs="Times New Roman" w:eastAsia="Times New Roman" w:hAnsi="Times New Roman"/>
          <w:sz w:val="16"/>
          <w:szCs w:val="16"/>
          <w:u w:val="single" w:color="auto"/>
          <w:color w:val="auto"/>
        </w:rPr>
        <w:t>Section 3.6(c)</w:t>
      </w:r>
      <w:r>
        <w:rPr>
          <w:rFonts w:ascii="Times New Roman" w:cs="Times New Roman" w:eastAsia="Times New Roman" w:hAnsi="Times New Roman"/>
          <w:sz w:val="16"/>
          <w:szCs w:val="16"/>
          <w:color w:val="auto"/>
        </w:rPr>
        <w:t xml:space="preserve"> of the Company Disclosure</w:t>
      </w:r>
    </w:p>
    <w:p>
      <w:pPr>
        <w:spacing w:after="0" w:line="22" w:lineRule="exact"/>
        <w:rPr>
          <w:rFonts w:ascii="Times New Roman" w:cs="Times New Roman" w:eastAsia="Times New Roman" w:hAnsi="Times New Roman"/>
          <w:sz w:val="16"/>
          <w:szCs w:val="16"/>
          <w:color w:val="auto"/>
        </w:rPr>
      </w:pPr>
    </w:p>
    <w:p>
      <w:pPr>
        <w:ind w:left="1"/>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 No consent of the holders of Company Options is required in connection with the actions contemplated by Article II.</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641"/>
          </w:cols>
          <w:pgMar w:left="1119" w:top="251" w:right="1139" w:bottom="1440" w:gutter="0" w:footer="0" w:header="0"/>
        </w:sectPr>
      </w:pPr>
    </w:p>
    <w:bookmarkStart w:id="45" w:name="page46"/>
    <w:bookmarkEnd w:id="45"/>
    <w:p>
      <w:pPr>
        <w:ind w:left="1" w:right="240" w:firstLine="1253"/>
        <w:spacing w:after="0" w:line="275" w:lineRule="auto"/>
        <w:tabs>
          <w:tab w:leader="none" w:pos="147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All outstanding shares of Company Common Stock, Company Preferred Stock, Company Options, Company SARs and other securities of the Company have been issued and granted in material compliance with (i) all applicable securities laws and other applicable Law and</w:t>
      </w:r>
    </w:p>
    <w:p>
      <w:pPr>
        <w:ind w:left="241" w:hanging="241"/>
        <w:spacing w:after="0"/>
        <w:tabs>
          <w:tab w:leader="none" w:pos="24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requirements set forth in applicable Contracts.</w:t>
      </w:r>
    </w:p>
    <w:p>
      <w:pPr>
        <w:spacing w:after="0" w:line="82" w:lineRule="exact"/>
        <w:rPr>
          <w:rFonts w:ascii="Times New Roman" w:cs="Times New Roman" w:eastAsia="Times New Roman" w:hAnsi="Times New Roman"/>
          <w:sz w:val="16"/>
          <w:szCs w:val="16"/>
          <w:color w:val="auto"/>
        </w:rPr>
      </w:pPr>
    </w:p>
    <w:p>
      <w:pPr>
        <w:ind w:left="1" w:right="120" w:firstLine="1253"/>
        <w:spacing w:after="0" w:line="251" w:lineRule="auto"/>
        <w:tabs>
          <w:tab w:leader="none" w:pos="1453"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Company Options and Company SARs, (i) each grant was duly authorized no later than the date on which the grant of such Company Option or Company SAR was by its terms to be effective (the “</w:t>
      </w:r>
      <w:r>
        <w:rPr>
          <w:rFonts w:ascii="Times New Roman" w:cs="Times New Roman" w:eastAsia="Times New Roman" w:hAnsi="Times New Roman"/>
          <w:sz w:val="16"/>
          <w:szCs w:val="16"/>
          <w:b w:val="1"/>
          <w:bCs w:val="1"/>
          <w:color w:val="auto"/>
        </w:rPr>
        <w:t>Grant Date</w:t>
      </w:r>
      <w:r>
        <w:rPr>
          <w:rFonts w:ascii="Times New Roman" w:cs="Times New Roman" w:eastAsia="Times New Roman" w:hAnsi="Times New Roman"/>
          <w:sz w:val="16"/>
          <w:szCs w:val="16"/>
          <w:color w:val="auto"/>
        </w:rPr>
        <w:t>”) by all necessary corporate action, (ii) each grant was made in all material respects in accordance with the terms of the Company Plan and (iii) the per share exercise price of each Company Option or Company SAR was not less than the fair market value of a share of Company Common Stock on the applicable Grant Date determined in a manner consistent with Section 409A of the Code and has not otherwise been subject to “modification” or “extension” within the meaning of Section 409A of the Code or has any feature for the deferral of compensation other than the deferral of recognition of income until the later of exercise or disposition of such option.</w:t>
      </w:r>
    </w:p>
    <w:p>
      <w:pPr>
        <w:spacing w:after="0" w:line="7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80" w:firstLine="1253"/>
        <w:spacing w:after="0" w:line="251" w:lineRule="auto"/>
        <w:tabs>
          <w:tab w:leader="none" w:pos="147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3.7(a)</w:t>
      </w:r>
      <w:r>
        <w:rPr>
          <w:rFonts w:ascii="Times New Roman" w:cs="Times New Roman" w:eastAsia="Times New Roman" w:hAnsi="Times New Roman"/>
          <w:sz w:val="16"/>
          <w:szCs w:val="16"/>
          <w:color w:val="auto"/>
        </w:rPr>
        <w:t xml:space="preserve"> of the Company Disclosure Schedule includes accurate and complete copies of (i) the Company’s audited consolidated balance sheets at December 31, 2020 and December 31, 2021, (ii) the Company Unaudited Interim Balance Sheet, (iii) the Company’s audited consolidated statements of income, cash flow and stockholders’ equity for the years ended 2021 and 2020 and (iv) the Company’s unaudited statements of income, cash flow and stockholders’ equity for the three months ended March 31, 2022 (collectively, the “</w:t>
      </w:r>
      <w:r>
        <w:rPr>
          <w:rFonts w:ascii="Times New Roman" w:cs="Times New Roman" w:eastAsia="Times New Roman" w:hAnsi="Times New Roman"/>
          <w:sz w:val="16"/>
          <w:szCs w:val="16"/>
          <w:b w:val="1"/>
          <w:bCs w:val="1"/>
          <w:color w:val="auto"/>
        </w:rPr>
        <w:t>Company Financials</w:t>
      </w:r>
      <w:r>
        <w:rPr>
          <w:rFonts w:ascii="Times New Roman" w:cs="Times New Roman" w:eastAsia="Times New Roman" w:hAnsi="Times New Roman"/>
          <w:sz w:val="16"/>
          <w:szCs w:val="16"/>
          <w:color w:val="auto"/>
        </w:rPr>
        <w:t>”). The Company Financials (A) were prepared in accordance with United States generally accepted accounting principles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(except as may be indicated in the footnotes to such Company Financials and that unaudited financial statements may not have notes thereto) applied on a consistent basis unless otherwise noted therein throughout the periods indicated and (B) fairly present, in all material respects, the financial position and operating results of the Company and its consolidated Subsidiaries as of the dates and for the periods indicated therein.</w:t>
      </w:r>
    </w:p>
    <w:p>
      <w:pPr>
        <w:spacing w:after="0" w:line="69" w:lineRule="exact"/>
        <w:rPr>
          <w:rFonts w:ascii="Times New Roman" w:cs="Times New Roman" w:eastAsia="Times New Roman" w:hAnsi="Times New Roman"/>
          <w:sz w:val="16"/>
          <w:szCs w:val="16"/>
          <w:color w:val="auto"/>
        </w:rPr>
      </w:pPr>
    </w:p>
    <w:p>
      <w:pPr>
        <w:ind w:left="1" w:firstLine="1253"/>
        <w:spacing w:after="0" w:line="251" w:lineRule="auto"/>
        <w:tabs>
          <w:tab w:leader="none" w:pos="147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The Company and each of its Subsidiaries maintains internal control over financial reporting that provides reasonable assurance regarding the reliability of financial reporting and the preparation of financial statements for external purposes in accordance with GAAP.</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641"/>
          </w:cols>
          <w:pgMar w:left="1119" w:top="253" w:right="1139" w:bottom="1440" w:gutter="0" w:footer="0" w:header="0"/>
        </w:sectPr>
      </w:pPr>
    </w:p>
    <w:bookmarkStart w:id="46" w:name="page47"/>
    <w:bookmarkEnd w:id="46"/>
    <w:p>
      <w:pPr>
        <w:ind w:left="1" w:firstLine="1253"/>
        <w:spacing w:after="0" w:line="261" w:lineRule="auto"/>
        <w:tabs>
          <w:tab w:leader="none" w:pos="147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3.7(c)</w:t>
      </w:r>
      <w:r>
        <w:rPr>
          <w:rFonts w:ascii="Times New Roman" w:cs="Times New Roman" w:eastAsia="Times New Roman" w:hAnsi="Times New Roman"/>
          <w:sz w:val="16"/>
          <w:szCs w:val="16"/>
          <w:color w:val="auto"/>
        </w:rPr>
        <w:t xml:space="preserve"> of the Company Disclosure Schedule lists, and the Company has delivered to Gem accurate and complete copies of the documentation creating or governing, all securitization transactions and “off-balance sheet arrangements” (as defined in Item 303(c) of Regulation S-K under the Exchange Act) effected by the Company or any of its Subsidiaries since January 1, 2019.</w:t>
      </w:r>
    </w:p>
    <w:p>
      <w:pPr>
        <w:spacing w:after="0" w:line="62" w:lineRule="exact"/>
        <w:rPr>
          <w:rFonts w:ascii="Times New Roman" w:cs="Times New Roman" w:eastAsia="Times New Roman" w:hAnsi="Times New Roman"/>
          <w:sz w:val="16"/>
          <w:szCs w:val="16"/>
          <w:color w:val="auto"/>
        </w:rPr>
      </w:pPr>
    </w:p>
    <w:p>
      <w:pPr>
        <w:ind w:left="1" w:right="60" w:firstLine="1253"/>
        <w:spacing w:after="0" w:line="254" w:lineRule="auto"/>
        <w:tabs>
          <w:tab w:leader="none" w:pos="1479"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2019,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2019, neither the Company nor its independent auditors have identified</w:t>
      </w:r>
    </w:p>
    <w:p>
      <w:pPr>
        <w:ind w:left="1" w:right="80" w:hanging="1"/>
        <w:spacing w:after="0" w:line="263" w:lineRule="auto"/>
        <w:tabs>
          <w:tab w:leader="none" w:pos="18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w:t>
      </w:r>
    </w:p>
    <w:p>
      <w:pPr>
        <w:ind w:left="281" w:hanging="281"/>
        <w:spacing w:after="0"/>
        <w:tabs>
          <w:tab w:leader="none" w:pos="2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or allegation regarding any of the foregoing.</w:t>
      </w:r>
    </w:p>
    <w:p>
      <w:pPr>
        <w:spacing w:after="0" w:line="82" w:lineRule="exact"/>
        <w:rPr>
          <w:rFonts w:ascii="Times New Roman" w:cs="Times New Roman" w:eastAsia="Times New Roman" w:hAnsi="Times New Roman"/>
          <w:sz w:val="16"/>
          <w:szCs w:val="16"/>
          <w:color w:val="auto"/>
        </w:rPr>
      </w:pPr>
    </w:p>
    <w:p>
      <w:pPr>
        <w:ind w:left="1" w:right="100" w:firstLine="1253"/>
        <w:spacing w:after="0" w:line="276" w:lineRule="auto"/>
        <w:tabs>
          <w:tab w:leader="none" w:pos="147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Gem audited financial statements of the Company for each of its fiscal years required to be included in the Proxy Registration Statement (the “</w:t>
      </w:r>
      <w:r>
        <w:rPr>
          <w:rFonts w:ascii="Times New Roman" w:cs="Times New Roman" w:eastAsia="Times New Roman" w:hAnsi="Times New Roman"/>
          <w:sz w:val="16"/>
          <w:szCs w:val="16"/>
          <w:b w:val="1"/>
          <w:bCs w:val="1"/>
          <w:color w:val="auto"/>
        </w:rPr>
        <w:t>Company Audited Financial Statements</w:t>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1" w:right="180" w:firstLine="869"/>
        <w:spacing w:after="0" w:line="252"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xml:space="preserve">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an event or development that would, individually or in the aggregate, reasonably be expected to have a Company Material Adverse Effect, or (b) action, event or occurrence that would have required consent of Gem pursuant to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of this Agreement had such action, event or occurrence taken place after the execution and delivery of this Agreement.</w:t>
      </w:r>
    </w:p>
    <w:p>
      <w:pPr>
        <w:spacing w:after="0" w:line="71" w:lineRule="exact"/>
        <w:rPr>
          <w:sz w:val="20"/>
          <w:szCs w:val="20"/>
          <w:color w:val="auto"/>
        </w:rPr>
      </w:pPr>
    </w:p>
    <w:p>
      <w:pPr>
        <w:jc w:val="both"/>
        <w:ind w:left="1" w:right="460" w:firstLine="869"/>
        <w:spacing w:after="0" w:line="271" w:lineRule="auto"/>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u w:val="single" w:color="auto"/>
          <w:color w:val="auto"/>
        </w:rPr>
        <w:t>Absence of Undisclosed Liabilities</w:t>
      </w:r>
      <w:r>
        <w:rPr>
          <w:rFonts w:ascii="Times New Roman" w:cs="Times New Roman" w:eastAsia="Times New Roman" w:hAnsi="Times New Roman"/>
          <w:sz w:val="15"/>
          <w:szCs w:val="15"/>
          <w:color w:val="auto"/>
        </w:rPr>
        <w:t>. Neither the Company nor any of its Subsidiaries has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5"/>
          <w:szCs w:val="15"/>
          <w:b w:val="1"/>
          <w:bCs w:val="1"/>
          <w:color w:val="auto"/>
        </w:rPr>
        <w:t>Liability</w:t>
      </w:r>
      <w:r>
        <w:rPr>
          <w:rFonts w:ascii="Times New Roman" w:cs="Times New Roman" w:eastAsia="Times New Roman" w:hAnsi="Times New Roman"/>
          <w:sz w:val="15"/>
          <w:szCs w:val="15"/>
          <w:color w:val="auto"/>
        </w:rPr>
        <w:t>”), in each case, of a type required to be reflected or reserved for on a balance sheet prepared in accordance with GAAP, except for:</w:t>
      </w:r>
    </w:p>
    <w:p>
      <w:pPr>
        <w:spacing w:after="0" w:line="1" w:lineRule="exact"/>
        <w:rPr>
          <w:sz w:val="20"/>
          <w:szCs w:val="20"/>
          <w:color w:val="auto"/>
        </w:rPr>
      </w:pPr>
    </w:p>
    <w:p>
      <w:pPr>
        <w:ind w:left="1" w:right="40" w:hanging="1"/>
        <w:spacing w:after="0" w:line="248" w:lineRule="auto"/>
        <w:tabs>
          <w:tab w:leader="none" w:pos="21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and (d) Liabilities incurred in connection with the Contemplated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41"/>
          </w:cols>
          <w:pgMar w:left="1119" w:top="253" w:right="1139" w:bottom="1440" w:gutter="0" w:footer="0" w:header="0"/>
        </w:sectPr>
      </w:pPr>
    </w:p>
    <w:bookmarkStart w:id="47" w:name="page48"/>
    <w:bookmarkEnd w:id="47"/>
    <w:p>
      <w:pPr>
        <w:ind w:left="1"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3.10 </w:t>
      </w:r>
      <w:r>
        <w:rPr>
          <w:rFonts w:ascii="Times New Roman" w:cs="Times New Roman" w:eastAsia="Times New Roman" w:hAnsi="Times New Roman"/>
          <w:sz w:val="16"/>
          <w:szCs w:val="16"/>
          <w:u w:val="single" w:color="auto"/>
          <w:color w:val="auto"/>
        </w:rPr>
        <w:t>Title to Assets</w:t>
      </w:r>
      <w:r>
        <w:rPr>
          <w:rFonts w:ascii="Times New Roman" w:cs="Times New Roman" w:eastAsia="Times New Roman" w:hAnsi="Times New Roman"/>
          <w:sz w:val="16"/>
          <w:szCs w:val="16"/>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w:t>
      </w:r>
    </w:p>
    <w:p>
      <w:pPr>
        <w:spacing w:after="0" w:line="1" w:lineRule="exact"/>
        <w:rPr>
          <w:sz w:val="20"/>
          <w:szCs w:val="20"/>
          <w:color w:val="auto"/>
        </w:rPr>
      </w:pPr>
    </w:p>
    <w:p>
      <w:pPr>
        <w:jc w:val="both"/>
        <w:ind w:left="1" w:right="40"/>
        <w:spacing w:after="0" w:line="250" w:lineRule="auto"/>
        <w:rPr>
          <w:sz w:val="20"/>
          <w:szCs w:val="20"/>
          <w:color w:val="auto"/>
        </w:rPr>
      </w:pPr>
      <w:r>
        <w:rPr>
          <w:rFonts w:ascii="Times New Roman" w:cs="Times New Roman" w:eastAsia="Times New Roman" w:hAnsi="Times New Roman"/>
          <w:sz w:val="16"/>
          <w:szCs w:val="16"/>
          <w:color w:val="auto"/>
        </w:rPr>
        <w:t>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70" w:lineRule="exact"/>
        <w:rPr>
          <w:sz w:val="20"/>
          <w:szCs w:val="20"/>
          <w:color w:val="auto"/>
        </w:rPr>
      </w:pPr>
    </w:p>
    <w:p>
      <w:pPr>
        <w:ind w:left="1" w:right="80" w:firstLine="869"/>
        <w:spacing w:after="0" w:line="254"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Real Property; Leasehold</w:t>
      </w:r>
      <w:r>
        <w:rPr>
          <w:rFonts w:ascii="Times New Roman" w:cs="Times New Roman" w:eastAsia="Times New Roman" w:hAnsi="Times New Roman"/>
          <w:sz w:val="16"/>
          <w:szCs w:val="16"/>
          <w:color w:val="auto"/>
        </w:rPr>
        <w:t>. Neither the Company nor any of its Subsidiaries owns or has ever owned any real property. The Company has made available to Gem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Times New Roman" w:cs="Times New Roman" w:eastAsia="Times New Roman" w:hAnsi="Times New Roman"/>
          <w:sz w:val="16"/>
          <w:szCs w:val="16"/>
          <w:b w:val="1"/>
          <w:bCs w:val="1"/>
          <w:color w:val="auto"/>
        </w:rPr>
        <w:t>Company Real Estate Leases</w:t>
      </w:r>
      <w:r>
        <w:rPr>
          <w:rFonts w:ascii="Times New Roman" w:cs="Times New Roman" w:eastAsia="Times New Roman" w:hAnsi="Times New Roman"/>
          <w:sz w:val="16"/>
          <w:szCs w:val="16"/>
          <w:color w:val="auto"/>
        </w:rPr>
        <w:t>”), each of which is in full force and effect, with no existing material default thereunder.</w:t>
      </w:r>
    </w:p>
    <w:p>
      <w:pPr>
        <w:spacing w:after="0" w:line="6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120" w:firstLine="1253"/>
        <w:spacing w:after="0" w:line="256" w:lineRule="auto"/>
        <w:tabs>
          <w:tab w:leader="none" w:pos="147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3.12(a)</w:t>
      </w:r>
      <w:r>
        <w:rPr>
          <w:rFonts w:ascii="Times New Roman" w:cs="Times New Roman" w:eastAsia="Times New Roman" w:hAnsi="Times New Roman"/>
          <w:sz w:val="16"/>
          <w:szCs w:val="16"/>
          <w:color w:val="auto"/>
        </w:rPr>
        <w:t xml:space="preserve"> of the Company Disclosure Schedule is a complete listing of all Company Registered IP, in each case enumerating specifically the applicable filing or registration number, title, jurisdiction in which filing was made or from which registration issued, date of filing or issuance, and names of all current registered owners(s), as applicable, or in the case of domain names or social media accounts, the URL or social media account, the registrar or social media company and the date on which such URL or social media account expires (if any).</w:t>
      </w:r>
    </w:p>
    <w:p>
      <w:pPr>
        <w:spacing w:after="0" w:line="66" w:lineRule="exact"/>
        <w:rPr>
          <w:rFonts w:ascii="Times New Roman" w:cs="Times New Roman" w:eastAsia="Times New Roman" w:hAnsi="Times New Roman"/>
          <w:sz w:val="16"/>
          <w:szCs w:val="16"/>
          <w:color w:val="auto"/>
        </w:rPr>
      </w:pPr>
    </w:p>
    <w:p>
      <w:pPr>
        <w:ind w:left="1" w:firstLine="1253"/>
        <w:spacing w:after="0" w:line="268" w:lineRule="auto"/>
        <w:tabs>
          <w:tab w:leader="none" w:pos="1479"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3.12(b)</w:t>
      </w:r>
      <w:r>
        <w:rPr>
          <w:rFonts w:ascii="Times New Roman" w:cs="Times New Roman" w:eastAsia="Times New Roman" w:hAnsi="Times New Roman"/>
          <w:sz w:val="15"/>
          <w:szCs w:val="15"/>
          <w:color w:val="auto"/>
        </w:rPr>
        <w:t xml:space="preserve"> of the Company Disclosure Schedule sets forth (i) all material Company Contracts pursuant to which Company IP Rights are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w:t>
      </w:r>
    </w:p>
    <w:p>
      <w:pPr>
        <w:ind w:left="1" w:right="140" w:hanging="1"/>
        <w:spacing w:after="0" w:line="274" w:lineRule="auto"/>
        <w:tabs>
          <w:tab w:leader="none" w:pos="251"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confidential information provided under confidentiality agreements and (D) agreements between Company and its employees in Company’s standard form thereof),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54" w:lineRule="exact"/>
        <w:rPr>
          <w:rFonts w:ascii="Times New Roman" w:cs="Times New Roman" w:eastAsia="Times New Roman" w:hAnsi="Times New Roman"/>
          <w:sz w:val="15"/>
          <w:szCs w:val="15"/>
          <w:color w:val="auto"/>
        </w:rPr>
      </w:pPr>
    </w:p>
    <w:p>
      <w:pPr>
        <w:ind w:left="1" w:firstLine="1253"/>
        <w:spacing w:after="0" w:line="254" w:lineRule="auto"/>
        <w:tabs>
          <w:tab w:leader="none" w:pos="147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3.12(c)</w:t>
      </w:r>
      <w:r>
        <w:rPr>
          <w:rFonts w:ascii="Times New Roman" w:cs="Times New Roman" w:eastAsia="Times New Roman" w:hAnsi="Times New Roman"/>
          <w:sz w:val="16"/>
          <w:szCs w:val="16"/>
          <w:color w:val="auto"/>
        </w:rPr>
        <w:t xml:space="preserve"> of the Company Disclosure Schedule sets forth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spacing w:after="0" w:line="67" w:lineRule="exact"/>
        <w:rPr>
          <w:rFonts w:ascii="Times New Roman" w:cs="Times New Roman" w:eastAsia="Times New Roman" w:hAnsi="Times New Roman"/>
          <w:sz w:val="16"/>
          <w:szCs w:val="16"/>
          <w:color w:val="auto"/>
        </w:rPr>
      </w:pPr>
    </w:p>
    <w:p>
      <w:pPr>
        <w:jc w:val="both"/>
        <w:ind w:left="1" w:right="100" w:firstLine="1253"/>
        <w:spacing w:after="0" w:line="261" w:lineRule="auto"/>
        <w:tabs>
          <w:tab w:leader="none" w:pos="1479"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bound by, and no Company IP Rights are subject to, any Contract containing any covenant or other provision that in any way limits or restricts the ability of the Company or any of its Subsidiaries to use, exploit, assert, defend, or enforce any Company IP Rights anywhere in the world.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641"/>
          </w:cols>
          <w:pgMar w:left="1119" w:top="253" w:right="1139" w:bottom="1440" w:gutter="0" w:footer="0" w:header="0"/>
        </w:sectPr>
      </w:pPr>
    </w:p>
    <w:bookmarkStart w:id="48" w:name="page49"/>
    <w:bookmarkEnd w:id="48"/>
    <w:p>
      <w:pPr>
        <w:ind w:left="1461" w:hanging="207"/>
        <w:spacing w:after="0"/>
        <w:tabs>
          <w:tab w:leader="none" w:pos="146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or one of its Subsidiaries exclusively owns all right, title, and interest to and in Company IP Rights (other than</w:t>
      </w:r>
    </w:p>
    <w:p>
      <w:pPr>
        <w:spacing w:after="0" w:line="22" w:lineRule="exact"/>
        <w:rPr>
          <w:rFonts w:ascii="Times New Roman" w:cs="Times New Roman" w:eastAsia="Times New Roman" w:hAnsi="Times New Roman"/>
          <w:sz w:val="16"/>
          <w:szCs w:val="16"/>
          <w:color w:val="auto"/>
        </w:rPr>
      </w:pPr>
    </w:p>
    <w:p>
      <w:pPr>
        <w:ind w:left="1" w:right="140" w:hanging="1"/>
        <w:spacing w:after="0" w:line="247" w:lineRule="auto"/>
        <w:tabs>
          <w:tab w:leader="none" w:pos="18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Company IP Rights exclusively and non-exclusively licensed to the Company or one of its Subsidiaries, or co-owned rights, each as set forth in </w:t>
      </w:r>
      <w:r>
        <w:rPr>
          <w:rFonts w:ascii="Times New Roman" w:cs="Times New Roman" w:eastAsia="Times New Roman" w:hAnsi="Times New Roman"/>
          <w:sz w:val="16"/>
          <w:szCs w:val="16"/>
          <w:u w:val="single" w:color="auto"/>
          <w:color w:val="auto"/>
        </w:rPr>
        <w:t>Section 3.12(b)</w:t>
      </w:r>
      <w:r>
        <w:rPr>
          <w:rFonts w:ascii="Times New Roman" w:cs="Times New Roman" w:eastAsia="Times New Roman" w:hAnsi="Times New Roman"/>
          <w:sz w:val="16"/>
          <w:szCs w:val="16"/>
          <w:color w:val="auto"/>
        </w:rPr>
        <w:t xml:space="preserve">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76" w:lineRule="exact"/>
        <w:rPr>
          <w:rFonts w:ascii="Times New Roman" w:cs="Times New Roman" w:eastAsia="Times New Roman" w:hAnsi="Times New Roman"/>
          <w:sz w:val="16"/>
          <w:szCs w:val="16"/>
          <w:color w:val="auto"/>
        </w:rPr>
      </w:pPr>
    </w:p>
    <w:p>
      <w:pPr>
        <w:ind w:left="381" w:right="40" w:firstLine="1209"/>
        <w:spacing w:after="0" w:line="276" w:lineRule="auto"/>
        <w:tabs>
          <w:tab w:leader="none" w:pos="1774"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49" w:lineRule="exact"/>
        <w:rPr>
          <w:rFonts w:ascii="Times New Roman" w:cs="Times New Roman" w:eastAsia="Times New Roman" w:hAnsi="Times New Roman"/>
          <w:sz w:val="16"/>
          <w:szCs w:val="16"/>
          <w:color w:val="auto"/>
        </w:rPr>
      </w:pPr>
    </w:p>
    <w:p>
      <w:pPr>
        <w:ind w:left="381" w:firstLine="1209"/>
        <w:spacing w:after="0" w:line="256" w:lineRule="auto"/>
        <w:tabs>
          <w:tab w:leader="none" w:pos="1817"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66" w:lineRule="exact"/>
        <w:rPr>
          <w:rFonts w:ascii="Times New Roman" w:cs="Times New Roman" w:eastAsia="Times New Roman" w:hAnsi="Times New Roman"/>
          <w:sz w:val="16"/>
          <w:szCs w:val="16"/>
          <w:color w:val="auto"/>
        </w:rPr>
      </w:pPr>
    </w:p>
    <w:p>
      <w:pPr>
        <w:ind w:left="381" w:right="40" w:firstLine="1209"/>
        <w:spacing w:after="0" w:line="251" w:lineRule="auto"/>
        <w:tabs>
          <w:tab w:leader="none" w:pos="1861"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current or former stockholder, officer, director, or employee of the Company or any of its Subsidiaries has any claim, right (whether or not currently exercisable), or interest to or in any Company IP Rights owned or purported to be owned by the Company. To the Knowledge of the Company, no employee of the Company or any of its Subsidiaries is (a) bound by or otherwise subject to any Contract restricting such employee from performing such employee’s duties for the Company or such Subsidiary or (b) in breach of any Contract with any former employer or other Person concerning Company IP Rights owned or purported to be owned by the Company or confidentiality provisions protecting trade secrets and confidential information comprising Company IP Rights owned or purported to be owned by the Company.</w:t>
      </w:r>
    </w:p>
    <w:p>
      <w:pPr>
        <w:spacing w:after="0" w:line="72" w:lineRule="exact"/>
        <w:rPr>
          <w:rFonts w:ascii="Times New Roman" w:cs="Times New Roman" w:eastAsia="Times New Roman" w:hAnsi="Times New Roman"/>
          <w:sz w:val="16"/>
          <w:szCs w:val="16"/>
          <w:color w:val="auto"/>
        </w:rPr>
      </w:pPr>
    </w:p>
    <w:p>
      <w:pPr>
        <w:ind w:left="381" w:right="140" w:firstLine="1209"/>
        <w:spacing w:after="0" w:line="276" w:lineRule="auto"/>
        <w:tabs>
          <w:tab w:leader="none" w:pos="1853"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funding, facilities, or personnel of any Governmental Authority were used, directly or indirectly, to develop or create, in whole or in part, any Company IP Rights in which the Company or any of its Subsidiaries has an ownership interest.</w:t>
      </w:r>
    </w:p>
    <w:p>
      <w:pPr>
        <w:spacing w:after="0" w:line="49" w:lineRule="exact"/>
        <w:rPr>
          <w:rFonts w:ascii="Times New Roman" w:cs="Times New Roman" w:eastAsia="Times New Roman" w:hAnsi="Times New Roman"/>
          <w:sz w:val="16"/>
          <w:szCs w:val="16"/>
          <w:color w:val="auto"/>
        </w:rPr>
      </w:pPr>
    </w:p>
    <w:p>
      <w:pPr>
        <w:ind w:left="381" w:right="220" w:firstLine="1209"/>
        <w:spacing w:after="0" w:line="256" w:lineRule="auto"/>
        <w:tabs>
          <w:tab w:leader="none" w:pos="1809"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 There has been no unauthorized disclosure of any trade secret of the Company. No trade secret that is material to the Company has been disclosed to any third party under any confidentiality agreement with a limited term of protection.</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641"/>
          </w:cols>
          <w:pgMar w:left="1119" w:top="253" w:right="1139" w:bottom="1440" w:gutter="0" w:footer="0" w:header="0"/>
        </w:sectPr>
      </w:pPr>
    </w:p>
    <w:bookmarkStart w:id="49" w:name="page50"/>
    <w:bookmarkEnd w:id="49"/>
    <w:p>
      <w:pPr>
        <w:ind w:left="360" w:right="60" w:firstLine="1209"/>
        <w:spacing w:after="0" w:line="276" w:lineRule="auto"/>
        <w:tabs>
          <w:tab w:leader="none" w:pos="183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Neither the Company nor any of its Subsidiaries has assigned or otherwise transferred ownership of, or agreed to assign or otherwise transfer ownership of, any Company IP Rights to any other Person.</w:t>
      </w:r>
    </w:p>
    <w:p>
      <w:pPr>
        <w:spacing w:after="0" w:line="49" w:lineRule="exact"/>
        <w:rPr>
          <w:rFonts w:ascii="Times New Roman" w:cs="Times New Roman" w:eastAsia="Times New Roman" w:hAnsi="Times New Roman"/>
          <w:sz w:val="16"/>
          <w:szCs w:val="16"/>
          <w:color w:val="auto"/>
        </w:rPr>
      </w:pPr>
    </w:p>
    <w:p>
      <w:pPr>
        <w:ind w:left="360" w:right="40" w:firstLine="1209"/>
        <w:spacing w:after="0" w:line="276" w:lineRule="auto"/>
        <w:tabs>
          <w:tab w:leader="none" w:pos="187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the Company IP Rights constitute all Intellectual Property necessary for the Company and its Subsidiaries to conduct its business as currently conducted and planned to be conducted.</w:t>
      </w:r>
    </w:p>
    <w:p>
      <w:pPr>
        <w:spacing w:after="0" w:line="49" w:lineRule="exact"/>
        <w:rPr>
          <w:rFonts w:ascii="Times New Roman" w:cs="Times New Roman" w:eastAsia="Times New Roman" w:hAnsi="Times New Roman"/>
          <w:sz w:val="16"/>
          <w:szCs w:val="16"/>
          <w:color w:val="auto"/>
        </w:rPr>
      </w:pPr>
    </w:p>
    <w:p>
      <w:pPr>
        <w:ind w:left="-20" w:firstLine="1253"/>
        <w:spacing w:after="0" w:line="252" w:lineRule="auto"/>
        <w:tabs>
          <w:tab w:leader="none" w:pos="143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or made available to Gem a complete and accurate copy of all Company IP Rights Agreements. With respect to each of the Company IP Rights Agreements: (i) each such agreement is valid and binding on the Company or its Subsidiaries, as applicable, and the applicable counterparty so such Company IP Rights Agreement, and in full force and effect, (ii) the Company has not received any written notice of termination or cancellation under such agreement, or received any written notice of breach or default under such Company IP Rights Agreement, which breach has not been cured or waived and (iii) neither the Company nor its Subsidiaries, and to the Knowledge of the Company, no other party to any such agreement, is in breach or default thereof in any material respect.</w:t>
      </w:r>
    </w:p>
    <w:p>
      <w:pPr>
        <w:spacing w:after="0" w:line="70" w:lineRule="exact"/>
        <w:rPr>
          <w:rFonts w:ascii="Times New Roman" w:cs="Times New Roman" w:eastAsia="Times New Roman" w:hAnsi="Times New Roman"/>
          <w:sz w:val="16"/>
          <w:szCs w:val="16"/>
          <w:color w:val="auto"/>
        </w:rPr>
      </w:pPr>
    </w:p>
    <w:p>
      <w:pPr>
        <w:ind w:left="-20" w:right="80" w:firstLine="1253"/>
        <w:spacing w:after="0" w:line="251" w:lineRule="auto"/>
        <w:tabs>
          <w:tab w:leader="none" w:pos="145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manufacture, marketing, license, sale, offering for sale, importation, use, or intended use or other disposal of any product or technology as currently licensed or sold or under development by the Company or any of its Subsidiaries does not violate any license or agreement between the Company or any of its Subsidiaries and any third party, and, to the Knowledge of the Company, does not infringe, misappropriate or otherwise violate any Intellectual Property right of any other Person, other than any Company Intellectual Property licensed to the Company by any other Person. To the Knowledge of the Company, no third party is infringing, misappropriating or otherwise violating any Intellectual Property owned by Company within the Company IP Rights, or breaching any license or agreement with the Company or its Subsidiaries relating to any Company IP Rights.</w:t>
      </w:r>
    </w:p>
    <w:p>
      <w:pPr>
        <w:spacing w:after="0" w:line="72" w:lineRule="exact"/>
        <w:rPr>
          <w:rFonts w:ascii="Times New Roman" w:cs="Times New Roman" w:eastAsia="Times New Roman" w:hAnsi="Times New Roman"/>
          <w:sz w:val="16"/>
          <w:szCs w:val="16"/>
          <w:color w:val="auto"/>
        </w:rPr>
      </w:pPr>
    </w:p>
    <w:p>
      <w:pPr>
        <w:ind w:left="-20" w:right="40" w:firstLine="1253"/>
        <w:spacing w:after="0" w:line="251" w:lineRule="auto"/>
        <w:tabs>
          <w:tab w:leader="none" w:pos="145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Neither the Company nor any of its Subsidiaries has received any written notice asserting that any Company IP Rights or the proposed use, sale, offer for sale, license or disposition of products, methods, or processes claimed or covered thereunder conflicts with or infringes, misappropriates or otherwise violates the rights of any other Person or that the Company or any of its Subsidiaries have otherwise infringed, misappropriated or otherwise violated any Intellectual Property of any Person. None of the Company IP Rights is subject to any outstanding Order of or agreement with any Governmental Authority or arbitrator that limits the ability of the Company to exploit any Company IP Rights.</w:t>
      </w:r>
    </w:p>
    <w:p>
      <w:pPr>
        <w:spacing w:after="0" w:line="69"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2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620"/>
          </w:cols>
          <w:pgMar w:left="1140" w:top="253" w:right="1139" w:bottom="1440" w:gutter="0" w:footer="0" w:header="0"/>
        </w:sectPr>
      </w:pPr>
    </w:p>
    <w:bookmarkStart w:id="50" w:name="page51"/>
    <w:bookmarkEnd w:id="50"/>
    <w:p>
      <w:pPr>
        <w:ind w:left="-20" w:right="100" w:firstLine="1253"/>
        <w:spacing w:after="0" w:line="252" w:lineRule="auto"/>
        <w:tabs>
          <w:tab w:leader="none" w:pos="14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 The Company has not granted any license under any trademark or trade name owned or purported to be owned by the Company.</w:t>
      </w:r>
    </w:p>
    <w:p>
      <w:pPr>
        <w:spacing w:after="0" w:line="70" w:lineRule="exact"/>
        <w:rPr>
          <w:rFonts w:ascii="Times New Roman" w:cs="Times New Roman" w:eastAsia="Times New Roman" w:hAnsi="Times New Roman"/>
          <w:sz w:val="16"/>
          <w:szCs w:val="16"/>
          <w:color w:val="auto"/>
        </w:rPr>
      </w:pPr>
    </w:p>
    <w:p>
      <w:pPr>
        <w:ind w:left="-20" w:firstLine="1253"/>
        <w:spacing w:after="0" w:line="251" w:lineRule="auto"/>
        <w:tabs>
          <w:tab w:leader="none" w:pos="145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Sections 3.12(b)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3.12(c)</w:t>
      </w:r>
      <w:r>
        <w:rPr>
          <w:rFonts w:ascii="Times New Roman" w:cs="Times New Roman" w:eastAsia="Times New Roman" w:hAnsi="Times New Roman"/>
          <w:sz w:val="16"/>
          <w:szCs w:val="16"/>
          <w:color w:val="auto"/>
        </w:rPr>
        <w:t xml:space="preserve"> of the Company Disclosure Schedule or as contained in license, distribution and service agreements entered into in the Ordinary Course of Business by the Company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72" w:lineRule="exact"/>
        <w:rPr>
          <w:rFonts w:ascii="Times New Roman" w:cs="Times New Roman" w:eastAsia="Times New Roman" w:hAnsi="Times New Roman"/>
          <w:sz w:val="16"/>
          <w:szCs w:val="16"/>
          <w:color w:val="auto"/>
        </w:rPr>
      </w:pPr>
    </w:p>
    <w:p>
      <w:pPr>
        <w:ind w:left="-20" w:right="80" w:firstLine="1253"/>
        <w:spacing w:after="0" w:line="254" w:lineRule="auto"/>
        <w:tabs>
          <w:tab w:leader="none" w:pos="14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defend or enforce any Company IP Rights, except for the occurrence of any such grant or impairment that would not individually or in the aggregate reasonably be expected to result in a Company Material Adverse Effect.</w:t>
      </w:r>
    </w:p>
    <w:p>
      <w:pPr>
        <w:spacing w:after="0" w:line="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Agreements, Contracts and Commitments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0" w:right="480" w:firstLine="1253"/>
        <w:spacing w:after="0" w:line="276" w:lineRule="auto"/>
        <w:tabs>
          <w:tab w:leader="none" w:pos="144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Schedule lists the following Company Contracts in effect as of the date of this Agreement (each, a “</w:t>
      </w:r>
      <w:r>
        <w:rPr>
          <w:rFonts w:ascii="Times New Roman" w:cs="Times New Roman" w:eastAsia="Times New Roman" w:hAnsi="Times New Roman"/>
          <w:sz w:val="16"/>
          <w:szCs w:val="16"/>
          <w:b w:val="1"/>
          <w:bCs w:val="1"/>
          <w:color w:val="auto"/>
        </w:rPr>
        <w:t>Company Material Contract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Company Material Contracts</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color w:val="auto"/>
        </w:rPr>
      </w:pPr>
    </w:p>
    <w:p>
      <w:pPr>
        <w:ind w:left="360" w:right="60" w:firstLine="1209"/>
        <w:spacing w:after="0" w:line="254" w:lineRule="auto"/>
        <w:tabs>
          <w:tab w:leader="none" w:pos="1752"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requiring payments by the Company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calendar days’ or less notice without liability, except to the extent general principles of wrongful termination Law may limit the Company’s, its Subsidiaries’ or such successor’s ability to terminate employees at will;</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620"/>
          </w:cols>
          <w:pgMar w:left="1140" w:top="253" w:right="1139" w:bottom="1440" w:gutter="0" w:footer="0" w:header="0"/>
        </w:sectPr>
      </w:pPr>
    </w:p>
    <w:bookmarkStart w:id="51" w:name="page52"/>
    <w:bookmarkEnd w:id="51"/>
    <w:p>
      <w:pPr>
        <w:ind w:left="60" w:right="520" w:firstLine="1209"/>
        <w:spacing w:after="0" w:line="276" w:lineRule="auto"/>
        <w:tabs>
          <w:tab w:leader="none" w:pos="149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Company Contract relating to any agreement of holding harmless, indemnification, defending, reimbursing or guaranty not entered into in the Ordinary Course of Business;</w:t>
      </w:r>
    </w:p>
    <w:p>
      <w:pPr>
        <w:spacing w:after="0" w:line="49" w:lineRule="exact"/>
        <w:rPr>
          <w:rFonts w:ascii="Times New Roman" w:cs="Times New Roman" w:eastAsia="Times New Roman" w:hAnsi="Times New Roman"/>
          <w:sz w:val="16"/>
          <w:szCs w:val="16"/>
          <w:color w:val="auto"/>
        </w:rPr>
      </w:pPr>
    </w:p>
    <w:p>
      <w:pPr>
        <w:ind w:left="60" w:right="60" w:firstLine="1209"/>
        <w:spacing w:after="0" w:line="254" w:lineRule="auto"/>
        <w:tabs>
          <w:tab w:leader="none" w:pos="1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nation” arrangement, including any most-favored pricing provision, (C) any exclusivity provision, (D) any non-solicitation provision, (E) any right of first refusal, right of first negotiation or similar right or (F) any grant of any option to any Intellectual Property rights;</w:t>
      </w:r>
    </w:p>
    <w:p>
      <w:pPr>
        <w:spacing w:after="0" w:line="67" w:lineRule="exact"/>
        <w:rPr>
          <w:rFonts w:ascii="Times New Roman" w:cs="Times New Roman" w:eastAsia="Times New Roman" w:hAnsi="Times New Roman"/>
          <w:sz w:val="16"/>
          <w:szCs w:val="16"/>
          <w:color w:val="auto"/>
        </w:rPr>
      </w:pPr>
    </w:p>
    <w:p>
      <w:pPr>
        <w:ind w:left="1540" w:hanging="271"/>
        <w:spacing w:after="0"/>
        <w:tabs>
          <w:tab w:leader="none" w:pos="1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Company Contract required to be set forth in </w:t>
      </w:r>
      <w:r>
        <w:rPr>
          <w:rFonts w:ascii="Times New Roman" w:cs="Times New Roman" w:eastAsia="Times New Roman" w:hAnsi="Times New Roman"/>
          <w:sz w:val="16"/>
          <w:szCs w:val="16"/>
          <w:u w:val="single" w:color="auto"/>
          <w:color w:val="auto"/>
        </w:rPr>
        <w:t>Sections 3.12(b)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3.12(c)</w:t>
      </w:r>
      <w:r>
        <w:rPr>
          <w:rFonts w:ascii="Times New Roman" w:cs="Times New Roman" w:eastAsia="Times New Roman" w:hAnsi="Times New Roman"/>
          <w:sz w:val="16"/>
          <w:szCs w:val="16"/>
          <w:color w:val="auto"/>
        </w:rPr>
        <w:t xml:space="preserve"> of the Company Disclosure Schedule;</w:t>
      </w:r>
    </w:p>
    <w:p>
      <w:pPr>
        <w:spacing w:after="0" w:line="99" w:lineRule="exact"/>
        <w:rPr>
          <w:rFonts w:ascii="Times New Roman" w:cs="Times New Roman" w:eastAsia="Times New Roman" w:hAnsi="Times New Roman"/>
          <w:sz w:val="16"/>
          <w:szCs w:val="16"/>
          <w:color w:val="auto"/>
        </w:rPr>
      </w:pPr>
    </w:p>
    <w:p>
      <w:pPr>
        <w:ind w:left="60" w:right="100" w:firstLine="1209"/>
        <w:spacing w:after="0" w:line="276" w:lineRule="auto"/>
        <w:tabs>
          <w:tab w:leader="none" w:pos="148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relating to capital expenditures and requiring payments after the date of this Agreement in excess of $250,000 pursuant to its express terms and not cancelable without penalty;</w:t>
      </w:r>
    </w:p>
    <w:p>
      <w:pPr>
        <w:spacing w:after="0" w:line="49" w:lineRule="exact"/>
        <w:rPr>
          <w:rFonts w:ascii="Times New Roman" w:cs="Times New Roman" w:eastAsia="Times New Roman" w:hAnsi="Times New Roman"/>
          <w:sz w:val="16"/>
          <w:szCs w:val="16"/>
          <w:color w:val="auto"/>
        </w:rPr>
      </w:pPr>
    </w:p>
    <w:p>
      <w:pPr>
        <w:ind w:left="1540" w:hanging="271"/>
        <w:spacing w:after="0"/>
        <w:tabs>
          <w:tab w:leader="none" w:pos="1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Contract relating to the disposition or acquisition of material assets or any ownership interest in any Entity;</w:t>
      </w:r>
    </w:p>
    <w:p>
      <w:pPr>
        <w:spacing w:after="0" w:line="111" w:lineRule="exact"/>
        <w:rPr>
          <w:rFonts w:ascii="Times New Roman" w:cs="Times New Roman" w:eastAsia="Times New Roman" w:hAnsi="Times New Roman"/>
          <w:sz w:val="15"/>
          <w:szCs w:val="15"/>
          <w:color w:val="auto"/>
        </w:rPr>
      </w:pPr>
    </w:p>
    <w:p>
      <w:pPr>
        <w:ind w:left="60" w:right="60" w:firstLine="1209"/>
        <w:spacing w:after="0" w:line="256" w:lineRule="auto"/>
        <w:tabs>
          <w:tab w:leader="none" w:pos="157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relating to any mortgages, indentures, loans, notes or credit agreements, security agreements or other agreements or instruments relating to the borrowing of money or extension of credit in excess of $250,000, creating any Encumbrance with respect to any Company IP Right or creating any material Encumbrances with respect to any other assets of the Company or any of its Subsidiaries or any loans or debt obligations with officers or directors of the Company;</w:t>
      </w:r>
    </w:p>
    <w:p>
      <w:pPr>
        <w:spacing w:after="0" w:line="66" w:lineRule="exact"/>
        <w:rPr>
          <w:rFonts w:ascii="Times New Roman" w:cs="Times New Roman" w:eastAsia="Times New Roman" w:hAnsi="Times New Roman"/>
          <w:sz w:val="16"/>
          <w:szCs w:val="16"/>
          <w:color w:val="auto"/>
        </w:rPr>
      </w:pPr>
    </w:p>
    <w:p>
      <w:pPr>
        <w:ind w:left="60" w:right="20" w:firstLine="1209"/>
        <w:spacing w:after="0" w:line="269" w:lineRule="auto"/>
        <w:tabs>
          <w:tab w:leader="none" w:pos="161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collaboration, cooperation, development or other agreement currently in force under which the Company has continuing obligations to research,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57" w:lineRule="exact"/>
        <w:rPr>
          <w:rFonts w:ascii="Times New Roman" w:cs="Times New Roman" w:eastAsia="Times New Roman" w:hAnsi="Times New Roman"/>
          <w:sz w:val="15"/>
          <w:szCs w:val="15"/>
          <w:color w:val="auto"/>
        </w:rPr>
      </w:pPr>
    </w:p>
    <w:p>
      <w:pPr>
        <w:ind w:left="60" w:right="440" w:firstLine="1209"/>
        <w:spacing w:after="0" w:line="276" w:lineRule="auto"/>
        <w:tabs>
          <w:tab w:leader="none" w:pos="153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with any Person, including any financial advisor, broker, finder, investment banker or other Person, providing advisory services to the Company in connection with the Contemplated Transactions;</w:t>
      </w:r>
    </w:p>
    <w:p>
      <w:pPr>
        <w:spacing w:after="0" w:line="8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280"/>
          </w:cols>
          <w:pgMar w:left="1440" w:top="253" w:right="1179" w:bottom="1440" w:gutter="0" w:footer="0" w:header="0"/>
        </w:sectPr>
      </w:pPr>
    </w:p>
    <w:bookmarkStart w:id="52" w:name="page53"/>
    <w:bookmarkEnd w:id="52"/>
    <w:p>
      <w:pPr>
        <w:ind w:left="1780" w:hanging="231"/>
        <w:spacing w:after="0"/>
        <w:tabs>
          <w:tab w:leader="none" w:pos="178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Company Real Estate Lease;</w:t>
      </w:r>
    </w:p>
    <w:p>
      <w:pPr>
        <w:spacing w:after="0" w:line="99" w:lineRule="exact"/>
        <w:rPr>
          <w:rFonts w:ascii="Times New Roman" w:cs="Times New Roman" w:eastAsia="Times New Roman" w:hAnsi="Times New Roman"/>
          <w:sz w:val="16"/>
          <w:szCs w:val="16"/>
          <w:color w:val="auto"/>
        </w:rPr>
      </w:pPr>
    </w:p>
    <w:p>
      <w:pPr>
        <w:ind w:left="340" w:right="20" w:firstLine="1209"/>
        <w:spacing w:after="0" w:line="276" w:lineRule="auto"/>
        <w:tabs>
          <w:tab w:leader="none" w:pos="1811"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that would be a material contract as defined in Item 601(b)(10) of Regulation S-K as promulgated under the Securities Act if the Company were subject to such regulation;</w:t>
      </w:r>
    </w:p>
    <w:p>
      <w:pPr>
        <w:spacing w:after="0" w:line="49" w:lineRule="exact"/>
        <w:rPr>
          <w:rFonts w:ascii="Times New Roman" w:cs="Times New Roman" w:eastAsia="Times New Roman" w:hAnsi="Times New Roman"/>
          <w:sz w:val="16"/>
          <w:szCs w:val="16"/>
          <w:color w:val="auto"/>
        </w:rPr>
      </w:pPr>
    </w:p>
    <w:p>
      <w:pPr>
        <w:ind w:left="340" w:right="460" w:firstLine="1209"/>
        <w:spacing w:after="0" w:line="276" w:lineRule="auto"/>
        <w:tabs>
          <w:tab w:leader="none" w:pos="185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under which a third party would be entitled to receive a license or have any other rights in Intellectual Property of the Company, Gem or any of their Subsidiaries at the time of or immediately after the Effective Time;</w:t>
      </w:r>
    </w:p>
    <w:p>
      <w:pPr>
        <w:spacing w:after="0" w:line="49" w:lineRule="exact"/>
        <w:rPr>
          <w:rFonts w:ascii="Times New Roman" w:cs="Times New Roman" w:eastAsia="Times New Roman" w:hAnsi="Times New Roman"/>
          <w:sz w:val="16"/>
          <w:szCs w:val="16"/>
          <w:color w:val="auto"/>
        </w:rPr>
      </w:pPr>
    </w:p>
    <w:p>
      <w:pPr>
        <w:ind w:left="340" w:right="120" w:firstLine="1209"/>
        <w:spacing w:after="0" w:line="276" w:lineRule="auto"/>
        <w:tabs>
          <w:tab w:leader="none" w:pos="189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under which the consequences of a default or termination would reasonably be likely to have a Company Material Adverse Effect;</w:t>
      </w:r>
    </w:p>
    <w:p>
      <w:pPr>
        <w:spacing w:after="0" w:line="49" w:lineRule="exact"/>
        <w:rPr>
          <w:rFonts w:ascii="Times New Roman" w:cs="Times New Roman" w:eastAsia="Times New Roman" w:hAnsi="Times New Roman"/>
          <w:sz w:val="16"/>
          <w:szCs w:val="16"/>
          <w:color w:val="auto"/>
        </w:rPr>
      </w:pPr>
    </w:p>
    <w:p>
      <w:pPr>
        <w:ind w:left="340" w:right="180" w:firstLine="1209"/>
        <w:spacing w:after="0" w:line="276" w:lineRule="auto"/>
        <w:tabs>
          <w:tab w:leader="none" w:pos="189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plan, program, or policy providing for severance, termination compensation, retention or stay pay, change in control payments, or transaction-based bonuses;</w:t>
      </w:r>
    </w:p>
    <w:p>
      <w:pPr>
        <w:spacing w:after="0" w:line="49" w:lineRule="exact"/>
        <w:rPr>
          <w:rFonts w:ascii="Times New Roman" w:cs="Times New Roman" w:eastAsia="Times New Roman" w:hAnsi="Times New Roman"/>
          <w:sz w:val="16"/>
          <w:szCs w:val="16"/>
          <w:color w:val="auto"/>
        </w:rPr>
      </w:pPr>
    </w:p>
    <w:p>
      <w:pPr>
        <w:ind w:left="340" w:right="580" w:firstLine="1209"/>
        <w:spacing w:after="0" w:line="261" w:lineRule="auto"/>
        <w:tabs>
          <w:tab w:leader="none" w:pos="1846"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settlement Company Contract or settlement-related Company Contract (including any Company Contract in connection with which any employment-related claim has been settled) under which either party to the settlement Company Contract or settlement-related Company Contract has continuing obligations;</w:t>
      </w:r>
    </w:p>
    <w:p>
      <w:pPr>
        <w:spacing w:after="0" w:line="62" w:lineRule="exact"/>
        <w:rPr>
          <w:rFonts w:ascii="Times New Roman" w:cs="Times New Roman" w:eastAsia="Times New Roman" w:hAnsi="Times New Roman"/>
          <w:sz w:val="16"/>
          <w:szCs w:val="16"/>
          <w:color w:val="auto"/>
        </w:rPr>
      </w:pPr>
    </w:p>
    <w:p>
      <w:pPr>
        <w:ind w:left="340" w:right="180" w:firstLine="1209"/>
        <w:spacing w:after="0" w:line="276" w:lineRule="auto"/>
        <w:tabs>
          <w:tab w:leader="none" w:pos="189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dealer, distribution, joint marketing, joint venture, joint development, partnership, strategic alliance, collaboration, development agreement or outsourcing arrangement or other similar Company Contract;</w:t>
      </w:r>
    </w:p>
    <w:p>
      <w:pPr>
        <w:spacing w:after="0" w:line="49" w:lineRule="exact"/>
        <w:rPr>
          <w:rFonts w:ascii="Times New Roman" w:cs="Times New Roman" w:eastAsia="Times New Roman" w:hAnsi="Times New Roman"/>
          <w:sz w:val="16"/>
          <w:szCs w:val="16"/>
          <w:color w:val="auto"/>
        </w:rPr>
      </w:pPr>
    </w:p>
    <w:p>
      <w:pPr>
        <w:ind w:left="340" w:right="40" w:firstLine="1209"/>
        <w:spacing w:after="0" w:line="276" w:lineRule="auto"/>
        <w:tabs>
          <w:tab w:leader="none" w:pos="193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which would give rise to or otherwise result in proxy statement disclosure pursuant to Item 404 of Regulation S-K (assuming the Company was subject to the requirements of the Exchange Act; or</w:t>
      </w:r>
    </w:p>
    <w:p>
      <w:pPr>
        <w:spacing w:after="0" w:line="49" w:lineRule="exact"/>
        <w:rPr>
          <w:rFonts w:ascii="Times New Roman" w:cs="Times New Roman" w:eastAsia="Times New Roman" w:hAnsi="Times New Roman"/>
          <w:sz w:val="16"/>
          <w:szCs w:val="16"/>
          <w:color w:val="auto"/>
        </w:rPr>
      </w:pPr>
    </w:p>
    <w:p>
      <w:pPr>
        <w:ind w:left="340" w:firstLine="1209"/>
        <w:spacing w:after="0" w:line="256" w:lineRule="auto"/>
        <w:tabs>
          <w:tab w:leader="none" w:pos="1978"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Company Contract (A) which involves payment or receipt by the Company or its Subsidiaries after the date of this Agreement under any such agreement, contract or commitment of more than $250,000 in the aggregate, or obligations after the date of this Agreement in excess of $250,000 in the aggregate or (B) that is material to the business or operations of the Company and its Subsidiaries, taken as a whole.</w:t>
      </w:r>
    </w:p>
    <w:p>
      <w:pPr>
        <w:spacing w:after="0" w:line="66" w:lineRule="exact"/>
        <w:rPr>
          <w:rFonts w:ascii="Times New Roman" w:cs="Times New Roman" w:eastAsia="Times New Roman" w:hAnsi="Times New Roman"/>
          <w:sz w:val="16"/>
          <w:szCs w:val="16"/>
          <w:color w:val="auto"/>
        </w:rPr>
      </w:pPr>
    </w:p>
    <w:p>
      <w:pPr>
        <w:ind w:left="-40" w:right="100" w:firstLine="1253"/>
        <w:spacing w:after="0" w:line="251" w:lineRule="auto"/>
        <w:tabs>
          <w:tab w:leader="none" w:pos="143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or made available to Gem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560"/>
          </w:cols>
          <w:pgMar w:left="1160" w:top="253" w:right="1179" w:bottom="1440" w:gutter="0" w:footer="0" w:header="0"/>
        </w:sectPr>
      </w:pPr>
    </w:p>
    <w:bookmarkStart w:id="53" w:name="page54"/>
    <w:bookmarkEnd w:id="53"/>
    <w:p>
      <w:pPr>
        <w:ind w:right="1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Compliance; Permits; Restrictions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51" w:lineRule="auto"/>
        <w:tabs>
          <w:tab w:leader="none" w:pos="146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are, and since January 1, 2019 have been, in compliance in all material respects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69" w:lineRule="exact"/>
        <w:rPr>
          <w:rFonts w:ascii="Times New Roman" w:cs="Times New Roman" w:eastAsia="Times New Roman" w:hAnsi="Times New Roman"/>
          <w:sz w:val="16"/>
          <w:szCs w:val="16"/>
          <w:color w:val="auto"/>
        </w:rPr>
      </w:pPr>
    </w:p>
    <w:p>
      <w:pPr>
        <w:ind w:right="60" w:firstLine="1253"/>
        <w:spacing w:after="0" w:line="251" w:lineRule="auto"/>
        <w:tabs>
          <w:tab w:leader="none" w:pos="147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hold all required Governmental Authorizations which are material to the operation of the business of the Company and its Subsidiaries as currently conducted (the “</w:t>
      </w:r>
      <w:r>
        <w:rPr>
          <w:rFonts w:ascii="Times New Roman" w:cs="Times New Roman" w:eastAsia="Times New Roman" w:hAnsi="Times New Roman"/>
          <w:sz w:val="16"/>
          <w:szCs w:val="16"/>
          <w:b w:val="1"/>
          <w:bCs w:val="1"/>
          <w:color w:val="auto"/>
        </w:rPr>
        <w:t>Company Permits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3.14(b)</w:t>
      </w:r>
      <w:r>
        <w:rPr>
          <w:rFonts w:ascii="Times New Roman" w:cs="Times New Roman" w:eastAsia="Times New Roman" w:hAnsi="Times New Roman"/>
          <w:sz w:val="16"/>
          <w:szCs w:val="16"/>
          <w:color w:val="auto"/>
        </w:rPr>
        <w:t xml:space="preserve"> of the Company Disclosure Schedule identifies each Company Permit. Each of the Company and its Subsidiaries is in material compliance with the terms of the Company Permits. No Legal Proceeding is pending or, to the Knowledge of the Company, threatened in writing,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72" w:lineRule="exact"/>
        <w:rPr>
          <w:rFonts w:ascii="Times New Roman" w:cs="Times New Roman" w:eastAsia="Times New Roman" w:hAnsi="Times New Roman"/>
          <w:sz w:val="16"/>
          <w:szCs w:val="16"/>
          <w:color w:val="auto"/>
        </w:rPr>
      </w:pPr>
    </w:p>
    <w:p>
      <w:pPr>
        <w:ind w:right="60" w:firstLine="1253"/>
        <w:spacing w:after="0" w:line="275" w:lineRule="auto"/>
        <w:tabs>
          <w:tab w:leader="none" w:pos="146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Legal Proceedings pending or, to the Knowledge of the Company, threatened with respect to an alleged material violation by the Company or any of its Subsidiaries of the Federal Food, Drug, and Cosmetic Act (“</w:t>
      </w:r>
      <w:r>
        <w:rPr>
          <w:rFonts w:ascii="Times New Roman" w:cs="Times New Roman" w:eastAsia="Times New Roman" w:hAnsi="Times New Roman"/>
          <w:sz w:val="15"/>
          <w:szCs w:val="15"/>
          <w:b w:val="1"/>
          <w:bCs w:val="1"/>
          <w:color w:val="auto"/>
        </w:rPr>
        <w:t>FDCA</w:t>
      </w:r>
      <w:r>
        <w:rPr>
          <w:rFonts w:ascii="Times New Roman" w:cs="Times New Roman" w:eastAsia="Times New Roman" w:hAnsi="Times New Roman"/>
          <w:sz w:val="15"/>
          <w:szCs w:val="15"/>
          <w:color w:val="auto"/>
        </w:rPr>
        <w:t>”), the Public Health Service Act (“</w:t>
      </w:r>
      <w:r>
        <w:rPr>
          <w:rFonts w:ascii="Times New Roman" w:cs="Times New Roman" w:eastAsia="Times New Roman" w:hAnsi="Times New Roman"/>
          <w:sz w:val="15"/>
          <w:szCs w:val="15"/>
          <w:b w:val="1"/>
          <w:bCs w:val="1"/>
          <w:color w:val="auto"/>
        </w:rPr>
        <w:t>PHSA</w:t>
      </w:r>
      <w:r>
        <w:rPr>
          <w:rFonts w:ascii="Times New Roman" w:cs="Times New Roman" w:eastAsia="Times New Roman" w:hAnsi="Times New Roman"/>
          <w:sz w:val="15"/>
          <w:szCs w:val="15"/>
          <w:color w:val="auto"/>
        </w:rPr>
        <w:t>”), the U.S. Food and Drug Administration (“</w:t>
      </w:r>
      <w:r>
        <w:rPr>
          <w:rFonts w:ascii="Times New Roman" w:cs="Times New Roman" w:eastAsia="Times New Roman" w:hAnsi="Times New Roman"/>
          <w:sz w:val="15"/>
          <w:szCs w:val="15"/>
          <w:b w:val="1"/>
          <w:bCs w:val="1"/>
          <w:color w:val="auto"/>
        </w:rPr>
        <w:t>FDA</w:t>
      </w:r>
      <w:r>
        <w:rPr>
          <w:rFonts w:ascii="Times New Roman" w:cs="Times New Roman" w:eastAsia="Times New Roman" w:hAnsi="Times New Roman"/>
          <w:sz w:val="15"/>
          <w:szCs w:val="15"/>
          <w:color w:val="auto"/>
        </w:rPr>
        <w:t>”) regulations adopted thereunder, the Controlled Substances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Times New Roman" w:cs="Times New Roman" w:eastAsia="Times New Roman" w:hAnsi="Times New Roman"/>
          <w:sz w:val="15"/>
          <w:szCs w:val="15"/>
          <w:b w:val="1"/>
          <w:bCs w:val="1"/>
          <w:color w:val="auto"/>
        </w:rPr>
        <w:t>Drug Regulatory Agency</w:t>
      </w:r>
      <w:r>
        <w:rPr>
          <w:rFonts w:ascii="Times New Roman" w:cs="Times New Roman" w:eastAsia="Times New Roman" w:hAnsi="Times New Roman"/>
          <w:sz w:val="15"/>
          <w:szCs w:val="15"/>
          <w:color w:val="auto"/>
        </w:rPr>
        <w:t>”).</w:t>
      </w:r>
    </w:p>
    <w:p>
      <w:pPr>
        <w:spacing w:after="0" w:line="52" w:lineRule="exact"/>
        <w:rPr>
          <w:rFonts w:ascii="Times New Roman" w:cs="Times New Roman" w:eastAsia="Times New Roman" w:hAnsi="Times New Roman"/>
          <w:sz w:val="15"/>
          <w:szCs w:val="15"/>
          <w:color w:val="auto"/>
        </w:rPr>
      </w:pPr>
    </w:p>
    <w:p>
      <w:pPr>
        <w:ind w:right="80" w:firstLine="1253"/>
        <w:spacing w:after="0" w:line="252" w:lineRule="auto"/>
        <w:tabs>
          <w:tab w:leader="none" w:pos="147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6"/>
          <w:szCs w:val="16"/>
          <w:b w:val="1"/>
          <w:bCs w:val="1"/>
          <w:color w:val="auto"/>
        </w:rPr>
        <w:t>Company Product Candidates</w:t>
      </w:r>
      <w:r>
        <w:rPr>
          <w:rFonts w:ascii="Times New Roman" w:cs="Times New Roman" w:eastAsia="Times New Roman" w:hAnsi="Times New Roman"/>
          <w:sz w:val="16"/>
          <w:szCs w:val="16"/>
          <w:color w:val="auto"/>
        </w:rPr>
        <w:t>”) (collectively, the “</w:t>
      </w:r>
      <w:r>
        <w:rPr>
          <w:rFonts w:ascii="Times New Roman" w:cs="Times New Roman" w:eastAsia="Times New Roman" w:hAnsi="Times New Roman"/>
          <w:sz w:val="16"/>
          <w:szCs w:val="16"/>
          <w:b w:val="1"/>
          <w:bCs w:val="1"/>
          <w:color w:val="auto"/>
        </w:rPr>
        <w:t>Company Regulatory Permits</w:t>
      </w:r>
      <w:r>
        <w:rPr>
          <w:rFonts w:ascii="Times New Roman" w:cs="Times New Roman" w:eastAsia="Times New Roman" w:hAnsi="Times New Roman"/>
          <w:sz w:val="16"/>
          <w:szCs w:val="16"/>
          <w:color w:val="auto"/>
        </w:rPr>
        <w:t>”) and no such Company Regulatory Permit has been (i) revoked, withdrawn, suspended, cancelled or terminated or (ii) modified in any adverse manner, other than immaterial adverse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620"/>
          </w:cols>
          <w:pgMar w:left="1120" w:top="253" w:right="1159" w:bottom="1440" w:gutter="0" w:footer="0" w:header="0"/>
        </w:sectPr>
      </w:pPr>
    </w:p>
    <w:bookmarkStart w:id="54" w:name="page55"/>
    <w:bookmarkEnd w:id="54"/>
    <w:p>
      <w:pPr>
        <w:ind w:right="60"/>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modifications. The Company and each of its Subsidiaries have timely maintained and are in compliance in all material respects with the Company Regulatory Permits and have not, since January 1, 2019,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Gem all information requested by Gem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76" w:lineRule="exact"/>
        <w:rPr>
          <w:sz w:val="20"/>
          <w:szCs w:val="20"/>
          <w:color w:val="auto"/>
        </w:rPr>
      </w:pPr>
    </w:p>
    <w:p>
      <w:pPr>
        <w:ind w:firstLine="1253"/>
        <w:spacing w:after="0" w:line="249" w:lineRule="auto"/>
        <w:tabs>
          <w:tab w:leader="none" w:pos="146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in material compliance with the applicable protocols, and in compliance in all material respects with the applicable regulations of the Drug Regulatory Agencies and other applicable Law, including 21 C.F.R. Parts 50, 54, 56, 58 and 312. 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74" w:lineRule="exact"/>
        <w:rPr>
          <w:rFonts w:ascii="Times New Roman" w:cs="Times New Roman" w:eastAsia="Times New Roman" w:hAnsi="Times New Roman"/>
          <w:sz w:val="16"/>
          <w:szCs w:val="16"/>
          <w:color w:val="auto"/>
        </w:rPr>
      </w:pPr>
    </w:p>
    <w:p>
      <w:pPr>
        <w:ind w:firstLine="1253"/>
        <w:spacing w:after="0" w:line="271" w:lineRule="auto"/>
        <w:tabs>
          <w:tab w:leader="none" w:pos="1451"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or any contract manufacturer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640"/>
          </w:cols>
          <w:pgMar w:left="1120" w:top="253" w:right="1139" w:bottom="1440" w:gutter="0" w:footer="0" w:header="0"/>
        </w:sectPr>
      </w:pPr>
    </w:p>
    <w:bookmarkStart w:id="55" w:name="page56"/>
    <w:bookmarkEnd w:id="55"/>
    <w:p>
      <w:pPr>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any Company Product Candidate, or any of their respective officers, directors, employees or agents has been convicted of any crime or engaged in any conduct that could result in a debarment or exclusion under (i) 21 U.S.C. Section 335a or (ii) any similar applicable Law, or is or has ever been debarred or excluded.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67" w:lineRule="exact"/>
        <w:rPr>
          <w:sz w:val="20"/>
          <w:szCs w:val="20"/>
          <w:color w:val="auto"/>
        </w:rPr>
      </w:pPr>
    </w:p>
    <w:p>
      <w:pPr>
        <w:ind w:firstLine="1253"/>
        <w:spacing w:after="0" w:line="254" w:lineRule="auto"/>
        <w:tabs>
          <w:tab w:leader="none" w:pos="147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manufacturing operations conducted by, or to the Knowledge of the Company, for the benefit of, the Company or its Subsidiaries in connection with any Company Product Candidate, since January 1, 2019, have been and are being conducted in compliance in all material respects with applicable Laws, including the FDA’s standards for current good manufacturing practices, including applicable requirements contained in 21 C.F.R. Parts 210, 211, 600-680, and 1271, and the respective counterparts thereof promulgated by Governmental Authorities in countries outside the United States.</w:t>
      </w:r>
    </w:p>
    <w:p>
      <w:pPr>
        <w:spacing w:after="0" w:line="67" w:lineRule="exact"/>
        <w:rPr>
          <w:rFonts w:ascii="Times New Roman" w:cs="Times New Roman" w:eastAsia="Times New Roman" w:hAnsi="Times New Roman"/>
          <w:sz w:val="16"/>
          <w:szCs w:val="16"/>
          <w:color w:val="auto"/>
        </w:rPr>
      </w:pPr>
    </w:p>
    <w:p>
      <w:pPr>
        <w:ind w:right="20" w:firstLine="1253"/>
        <w:spacing w:after="0" w:line="252" w:lineRule="auto"/>
        <w:tabs>
          <w:tab w:leader="none" w:pos="147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been complied with or closed to the satisfaction of the relevant Governmental Authority, and, to the Knowledge of the Company, neither the FDA nor any other Governmental Authority is considering such action.</w:t>
      </w:r>
    </w:p>
    <w:p>
      <w:pPr>
        <w:spacing w:after="0" w:line="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Legal Proceedings; Orders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1253"/>
        <w:spacing w:after="0" w:line="256" w:lineRule="auto"/>
        <w:tabs>
          <w:tab w:leader="none" w:pos="146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66" w:lineRule="exact"/>
        <w:rPr>
          <w:rFonts w:ascii="Times New Roman" w:cs="Times New Roman" w:eastAsia="Times New Roman" w:hAnsi="Times New Roman"/>
          <w:sz w:val="16"/>
          <w:szCs w:val="16"/>
          <w:color w:val="auto"/>
        </w:rPr>
      </w:pPr>
    </w:p>
    <w:p>
      <w:pPr>
        <w:jc w:val="both"/>
        <w:ind w:right="80" w:firstLine="1253"/>
        <w:spacing w:after="0" w:line="256" w:lineRule="auto"/>
        <w:tabs>
          <w:tab w:leader="none" w:pos="1478"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640"/>
          </w:cols>
          <w:pgMar w:left="1120" w:top="253" w:right="1139" w:bottom="1440" w:gutter="0" w:footer="0" w:header="0"/>
        </w:sectPr>
      </w:pPr>
    </w:p>
    <w:bookmarkStart w:id="56" w:name="page57"/>
    <w:bookmarkEnd w:id="56"/>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3.16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00" w:firstLine="1253"/>
        <w:spacing w:after="0" w:line="256" w:lineRule="auto"/>
        <w:tabs>
          <w:tab w:leader="none" w:pos="146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timely filed all federal income Tax Returns and other material Tax Returns that it was required to file under applicable Law. All such Tax Returns are true, correct and complete in all material respects and have been prepared in material compliance with all applicable Laws. No written claim has ever been made by a Governmental Authority in a jurisdiction where the Company or any of its Subsidiaries does not file Tax Returns that the Company or any such Subsidiary is subject to taxation by that jurisdiction.</w:t>
      </w:r>
    </w:p>
    <w:p>
      <w:pPr>
        <w:spacing w:after="0" w:line="66" w:lineRule="exact"/>
        <w:rPr>
          <w:rFonts w:ascii="Times New Roman" w:cs="Times New Roman" w:eastAsia="Times New Roman" w:hAnsi="Times New Roman"/>
          <w:sz w:val="16"/>
          <w:szCs w:val="16"/>
          <w:color w:val="auto"/>
        </w:rPr>
      </w:pPr>
    </w:p>
    <w:p>
      <w:pPr>
        <w:jc w:val="both"/>
        <w:ind w:right="120" w:firstLine="1253"/>
        <w:spacing w:after="0" w:line="261" w:lineRule="auto"/>
        <w:tabs>
          <w:tab w:leader="none" w:pos="14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62" w:lineRule="exact"/>
        <w:rPr>
          <w:rFonts w:ascii="Times New Roman" w:cs="Times New Roman" w:eastAsia="Times New Roman" w:hAnsi="Times New Roman"/>
          <w:sz w:val="16"/>
          <w:szCs w:val="16"/>
          <w:color w:val="auto"/>
        </w:rPr>
      </w:pPr>
    </w:p>
    <w:p>
      <w:pPr>
        <w:ind w:right="20" w:firstLine="1253"/>
        <w:spacing w:after="0" w:line="276" w:lineRule="auto"/>
        <w:tabs>
          <w:tab w:leader="none" w:pos="146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withheld and paid all material Taxes required to have been withheld and paid by it in connection with any amounts paid or owing to any employee, independent contractor, creditor, stockholder, or other third party.</w:t>
      </w:r>
    </w:p>
    <w:p>
      <w:pPr>
        <w:spacing w:after="0" w:line="49"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Encumbrances for Taxes (other than Permitted Encumbrances) upon any of the assets of the Company or any of its</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Subsidiaries.</w:t>
      </w:r>
    </w:p>
    <w:p>
      <w:pPr>
        <w:spacing w:after="0" w:line="82" w:lineRule="exact"/>
        <w:rPr>
          <w:rFonts w:ascii="Times New Roman" w:cs="Times New Roman" w:eastAsia="Times New Roman" w:hAnsi="Times New Roman"/>
          <w:sz w:val="15"/>
          <w:szCs w:val="15"/>
          <w:color w:val="auto"/>
        </w:rPr>
      </w:pPr>
    </w:p>
    <w:p>
      <w:pPr>
        <w:ind w:firstLine="1253"/>
        <w:spacing w:after="0" w:line="254" w:lineRule="auto"/>
        <w:tabs>
          <w:tab w:leader="none" w:pos="146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deficiencies for Taxes with respect to the Company or any of its Subsidiaries have been claimed, proposed or assessed by any Governmental Authority in writing that have not been resolved or settled in full. There are no pending (or, based on written notice, threatened) audits, assessments or other actions for or relating to any liability in respect of Taxes of the Company or any of its Subsidiaries. Neither the Company nor any of its Subsidiaries (or any of their predecessors) has waived any statute of limitations in respect of Taxes or agreed to any extension of time with respect to a Tax assessment or deficiency, which waiver or extension is currently in effect.</w:t>
      </w:r>
    </w:p>
    <w:p>
      <w:pPr>
        <w:spacing w:after="0" w:line="67" w:lineRule="exact"/>
        <w:rPr>
          <w:rFonts w:ascii="Times New Roman" w:cs="Times New Roman" w:eastAsia="Times New Roman" w:hAnsi="Times New Roman"/>
          <w:sz w:val="16"/>
          <w:szCs w:val="16"/>
          <w:color w:val="auto"/>
        </w:rPr>
      </w:pPr>
    </w:p>
    <w:p>
      <w:pPr>
        <w:ind w:right="340" w:firstLine="1253"/>
        <w:spacing w:after="0" w:line="276" w:lineRule="auto"/>
        <w:tabs>
          <w:tab w:leader="none" w:pos="145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been a United States real property holding corporation within the meaning of Section 897(c)(2) of the Code during the applicable period specified in Section 897(c)(l)(A)(ii) of the Code.</w:t>
      </w:r>
    </w:p>
    <w:p>
      <w:pPr>
        <w:spacing w:after="0" w:line="49" w:lineRule="exact"/>
        <w:rPr>
          <w:rFonts w:ascii="Times New Roman" w:cs="Times New Roman" w:eastAsia="Times New Roman" w:hAnsi="Times New Roman"/>
          <w:sz w:val="16"/>
          <w:szCs w:val="16"/>
          <w:color w:val="auto"/>
        </w:rPr>
      </w:pPr>
    </w:p>
    <w:p>
      <w:pPr>
        <w:jc w:val="both"/>
        <w:ind w:right="260" w:firstLine="1253"/>
        <w:spacing w:after="0" w:line="261" w:lineRule="auto"/>
        <w:tabs>
          <w:tab w:leader="none" w:pos="14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 party to any Tax allocation, Tax sharing or similar agreement (including indemnity arrangements), other than customary indemnification provisions in commercial contracts not primarily related to Taxes entered into in the Ordinary Course of Business, including with vendors, customers, lenders, or landlords.</w:t>
      </w:r>
    </w:p>
    <w:p>
      <w:pPr>
        <w:spacing w:after="0" w:line="62" w:lineRule="exact"/>
        <w:rPr>
          <w:rFonts w:ascii="Times New Roman" w:cs="Times New Roman" w:eastAsia="Times New Roman" w:hAnsi="Times New Roman"/>
          <w:sz w:val="16"/>
          <w:szCs w:val="16"/>
          <w:color w:val="auto"/>
        </w:rPr>
      </w:pPr>
    </w:p>
    <w:p>
      <w:pPr>
        <w:jc w:val="both"/>
        <w:ind w:right="40" w:firstLine="1253"/>
        <w:spacing w:after="0" w:line="256" w:lineRule="auto"/>
        <w:tabs>
          <w:tab w:leader="none" w:pos="14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ever been a member of an affiliated group filing a consolidated U.S. federal income Tax Return (other than a group the common parent of which is the 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66" w:lineRule="exact"/>
        <w:rPr>
          <w:rFonts w:ascii="Times New Roman" w:cs="Times New Roman" w:eastAsia="Times New Roman" w:hAnsi="Times New Roman"/>
          <w:sz w:val="16"/>
          <w:szCs w:val="16"/>
          <w:color w:val="auto"/>
        </w:rPr>
      </w:pPr>
    </w:p>
    <w:p>
      <w:pPr>
        <w:ind w:right="460" w:firstLine="1253"/>
        <w:spacing w:after="0" w:line="276" w:lineRule="auto"/>
        <w:tabs>
          <w:tab w:leader="none" w:pos="144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distributed stock of another Person, or has had its stock distributed by another Person, in a transaction that was purported or intended to be governed in whole or in part by Section 355 of the Code.</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620"/>
          </w:cols>
          <w:pgMar w:left="1120" w:top="253" w:right="1159" w:bottom="1440" w:gutter="0" w:footer="0" w:header="0"/>
        </w:sectPr>
      </w:pPr>
    </w:p>
    <w:bookmarkStart w:id="57" w:name="page58"/>
    <w:bookmarkEnd w:id="57"/>
    <w:p>
      <w:pPr>
        <w:ind w:left="1" w:right="120" w:firstLine="1253"/>
        <w:spacing w:after="0" w:line="276" w:lineRule="auto"/>
        <w:tabs>
          <w:tab w:leader="none" w:pos="1444"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Neither the Company nor any of its Subsidiaries has entered into any transaction identified as a “listed transaction” for purposes of Treasury Regulations Sections 1.6011-4(b)(2) or 301.6111-2(b)(2) or any analogous provision of state or local Law.</w:t>
      </w:r>
    </w:p>
    <w:p>
      <w:pPr>
        <w:spacing w:after="0" w:line="49" w:lineRule="exact"/>
        <w:rPr>
          <w:rFonts w:ascii="Times New Roman" w:cs="Times New Roman" w:eastAsia="Times New Roman" w:hAnsi="Times New Roman"/>
          <w:sz w:val="16"/>
          <w:szCs w:val="16"/>
          <w:color w:val="auto"/>
        </w:rPr>
      </w:pPr>
    </w:p>
    <w:p>
      <w:pPr>
        <w:ind w:left="1" w:firstLine="1253"/>
        <w:spacing w:after="0" w:line="276" w:lineRule="auto"/>
        <w:tabs>
          <w:tab w:leader="none" w:pos="147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3.16(k)</w:t>
      </w:r>
      <w:r>
        <w:rPr>
          <w:rFonts w:ascii="Times New Roman" w:cs="Times New Roman" w:eastAsia="Times New Roman" w:hAnsi="Times New Roman"/>
          <w:sz w:val="16"/>
          <w:szCs w:val="16"/>
          <w:color w:val="auto"/>
        </w:rPr>
        <w:t xml:space="preserve"> of the Company Disclosure Schedule sets forth the entity classification of each of the Company’s Subsidiaries for U.S. federal income tax purposes under Section 7701 of the Code.</w:t>
      </w:r>
    </w:p>
    <w:p>
      <w:pPr>
        <w:spacing w:after="0" w:line="49" w:lineRule="exact"/>
        <w:rPr>
          <w:rFonts w:ascii="Times New Roman" w:cs="Times New Roman" w:eastAsia="Times New Roman" w:hAnsi="Times New Roman"/>
          <w:sz w:val="16"/>
          <w:szCs w:val="16"/>
          <w:color w:val="auto"/>
        </w:rPr>
      </w:pPr>
    </w:p>
    <w:p>
      <w:pPr>
        <w:ind w:left="1" w:right="200" w:firstLine="1253"/>
        <w:spacing w:after="0" w:line="261" w:lineRule="auto"/>
        <w:tabs>
          <w:tab w:leader="none" w:pos="1444"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aware of any facts, or has knowingly taken or agreed to take or refrain from taking any action, in each case, that would reasonably be expected to prevent or impede the Merger from qualifying as a “reorganization” within the meaning of Section 368(a) of the Code.</w:t>
      </w:r>
    </w:p>
    <w:p>
      <w:pPr>
        <w:spacing w:after="0" w:line="62" w:lineRule="exact"/>
        <w:rPr>
          <w:rFonts w:ascii="Times New Roman" w:cs="Times New Roman" w:eastAsia="Times New Roman" w:hAnsi="Times New Roman"/>
          <w:sz w:val="16"/>
          <w:szCs w:val="16"/>
          <w:color w:val="auto"/>
        </w:rPr>
      </w:pPr>
    </w:p>
    <w:p>
      <w:pPr>
        <w:ind w:left="1" w:right="80" w:firstLine="1253"/>
        <w:spacing w:after="0" w:line="261" w:lineRule="auto"/>
        <w:tabs>
          <w:tab w:leader="none" w:pos="1523"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outstanding power of attorney from the Company or any of its Subsidiaries authorizing anyone to act on behalf of the Company or any of its Subsidiaries in connection with any Tax, Tax Return or action relating to any Tax or Tax Return of the Company or any of its Subsidiaries.</w:t>
      </w:r>
    </w:p>
    <w:p>
      <w:pPr>
        <w:spacing w:after="0" w:line="62" w:lineRule="exact"/>
        <w:rPr>
          <w:rFonts w:ascii="Times New Roman" w:cs="Times New Roman" w:eastAsia="Times New Roman" w:hAnsi="Times New Roman"/>
          <w:sz w:val="16"/>
          <w:szCs w:val="16"/>
          <w:color w:val="auto"/>
        </w:rPr>
      </w:pPr>
    </w:p>
    <w:p>
      <w:pPr>
        <w:ind w:left="1" w:firstLine="1253"/>
        <w:spacing w:after="0" w:line="269" w:lineRule="auto"/>
        <w:tabs>
          <w:tab w:leader="none" w:pos="1479"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its Subsidiaries will be required to include any material item of income in, or exclude any material item of deduction from,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received outside the Ordinary Course of Business,</w:t>
      </w:r>
    </w:p>
    <w:p>
      <w:pPr>
        <w:ind w:left="1" w:right="40" w:hanging="1"/>
        <w:spacing w:after="0" w:line="249" w:lineRule="auto"/>
        <w:tabs>
          <w:tab w:leader="none" w:pos="26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intercompany item under Treasury Regulations Section 1.1502-13 or an excess loss account under Treasury Regulations Section 1.1502-19, (v) a change in the accounting method of the Company pursuant to Section 481 of the Code or any similar provision of state, local or non-U.S. income Tax Law or the use of a method of accounting with respect to any transaction that occurred on or before the Closing Date; or (vi) any inclusion under Section 965 of the Code.</w:t>
      </w:r>
    </w:p>
    <w:p>
      <w:pPr>
        <w:spacing w:after="0" w:line="70" w:lineRule="exact"/>
        <w:rPr>
          <w:rFonts w:ascii="Times New Roman" w:cs="Times New Roman" w:eastAsia="Times New Roman" w:hAnsi="Times New Roman"/>
          <w:sz w:val="16"/>
          <w:szCs w:val="16"/>
          <w:color w:val="auto"/>
        </w:rPr>
      </w:pPr>
    </w:p>
    <w:p>
      <w:pPr>
        <w:ind w:left="1481" w:hanging="227"/>
        <w:spacing w:after="0"/>
        <w:tabs>
          <w:tab w:leader="none" w:pos="1481"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 investment company as defined in Section 368(a)(2)(F)(iii) and (iv) of the Code.</w:t>
      </w:r>
    </w:p>
    <w:p>
      <w:pPr>
        <w:spacing w:after="0" w:line="10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Employee and Labor Matters; Benefit Plans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40" w:firstLine="1253"/>
        <w:spacing w:after="0" w:line="256" w:lineRule="auto"/>
        <w:tabs>
          <w:tab w:leader="none" w:pos="147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employment of each of the Company’s and any of its Subsidiaries’ employees is terminable by the Company or the applicable Subsidiary at will, subject to any notice provisions of applicable employment agreements. The Company has made available to Gem accurate and complete copies of all employee manuals and handbooks, disclosure materials, policy statements and other materials relating to the employment of Company Associates to the extent currently effective and material.</w:t>
      </w:r>
    </w:p>
    <w:p>
      <w:pPr>
        <w:spacing w:after="0" w:line="66" w:lineRule="exact"/>
        <w:rPr>
          <w:rFonts w:ascii="Times New Roman" w:cs="Times New Roman" w:eastAsia="Times New Roman" w:hAnsi="Times New Roman"/>
          <w:sz w:val="16"/>
          <w:szCs w:val="16"/>
          <w:color w:val="auto"/>
        </w:rPr>
      </w:pPr>
    </w:p>
    <w:p>
      <w:pPr>
        <w:ind w:left="1" w:right="60" w:firstLine="1253"/>
        <w:spacing w:after="0" w:line="261" w:lineRule="auto"/>
        <w:tabs>
          <w:tab w:leader="none" w:pos="147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641"/>
          </w:cols>
          <w:pgMar w:left="1119" w:top="253" w:right="1139" w:bottom="1440" w:gutter="0" w:footer="0" w:header="0"/>
        </w:sectPr>
      </w:pPr>
    </w:p>
    <w:bookmarkStart w:id="58" w:name="page59"/>
    <w:bookmarkEnd w:id="58"/>
    <w:p>
      <w:pPr>
        <w:ind w:left="1460" w:hanging="207"/>
        <w:spacing w:after="0"/>
        <w:tabs>
          <w:tab w:leader="none" w:pos="14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3.17(c)</w:t>
      </w:r>
      <w:r>
        <w:rPr>
          <w:rFonts w:ascii="Times New Roman" w:cs="Times New Roman" w:eastAsia="Times New Roman" w:hAnsi="Times New Roman"/>
          <w:sz w:val="16"/>
          <w:szCs w:val="16"/>
          <w:color w:val="auto"/>
        </w:rPr>
        <w:t xml:space="preserve"> of the Company Disclosure Schedule lists all Company Employee Plans.</w:t>
      </w:r>
    </w:p>
    <w:p>
      <w:pPr>
        <w:spacing w:after="0" w:line="99" w:lineRule="exact"/>
        <w:rPr>
          <w:rFonts w:ascii="Times New Roman" w:cs="Times New Roman" w:eastAsia="Times New Roman" w:hAnsi="Times New Roman"/>
          <w:sz w:val="16"/>
          <w:szCs w:val="16"/>
          <w:color w:val="auto"/>
        </w:rPr>
      </w:pPr>
    </w:p>
    <w:p>
      <w:pPr>
        <w:ind w:right="20" w:firstLine="1253"/>
        <w:spacing w:after="0" w:line="252" w:lineRule="auto"/>
        <w:tabs>
          <w:tab w:leader="none" w:pos="147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Employee Plan that is intended to qualify under Section 401(a) of the Code has received a favorable determination or opinion letter with respect to such qualified status from the IRS or may rely on an opinion letter issued by the IRS with respect to a prototype plan adopted in accordance with the requirements for such reliance, or has time remaining for application to the IRS for a determination of the qualified status of such Employee Plan for any period for which such Employee Plan would not otherwise be covered by an IRS determination. To the Knowledge of the Company, nothing has occurred that would reasonably be expected to adversely affect the qualified status of any such Company Employee Plan or require corrective action to the IRS or Employee Plan Compliance Resolution System to maintain such qualification.</w:t>
      </w:r>
    </w:p>
    <w:p>
      <w:pPr>
        <w:spacing w:after="0" w:line="70" w:lineRule="exact"/>
        <w:rPr>
          <w:rFonts w:ascii="Times New Roman" w:cs="Times New Roman" w:eastAsia="Times New Roman" w:hAnsi="Times New Roman"/>
          <w:sz w:val="16"/>
          <w:szCs w:val="16"/>
          <w:color w:val="auto"/>
        </w:rPr>
      </w:pPr>
    </w:p>
    <w:p>
      <w:pPr>
        <w:ind w:right="80" w:firstLine="1253"/>
        <w:spacing w:after="0" w:line="254" w:lineRule="auto"/>
        <w:tabs>
          <w:tab w:leader="none" w:pos="146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Employee Plan has been established, operated and administered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w:t>
      </w:r>
    </w:p>
    <w:p>
      <w:pPr>
        <w:spacing w:after="0" w:line="67" w:lineRule="exact"/>
        <w:rPr>
          <w:rFonts w:ascii="Times New Roman" w:cs="Times New Roman" w:eastAsia="Times New Roman" w:hAnsi="Times New Roman"/>
          <w:sz w:val="16"/>
          <w:szCs w:val="16"/>
          <w:color w:val="auto"/>
        </w:rPr>
      </w:pPr>
    </w:p>
    <w:p>
      <w:pPr>
        <w:ind w:right="20" w:firstLine="1253"/>
        <w:spacing w:after="0" w:line="254" w:lineRule="auto"/>
        <w:tabs>
          <w:tab w:leader="none" w:pos="145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ERISA Affiliates has ever maintained, contributed to, or been required to contribute to or had any liability or obligation (including on account of any ERISA Affiliate) with respect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w:t>
      </w:r>
    </w:p>
    <w:p>
      <w:pPr>
        <w:spacing w:after="0" w:line="67"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as listed on </w:t>
      </w:r>
      <w:r>
        <w:rPr>
          <w:rFonts w:ascii="Times New Roman" w:cs="Times New Roman" w:eastAsia="Times New Roman" w:hAnsi="Times New Roman"/>
          <w:sz w:val="16"/>
          <w:szCs w:val="16"/>
          <w:u w:val="single" w:color="auto"/>
          <w:color w:val="auto"/>
        </w:rPr>
        <w:t>Section 3.17(g)</w:t>
      </w:r>
      <w:r>
        <w:rPr>
          <w:rFonts w:ascii="Times New Roman" w:cs="Times New Roman" w:eastAsia="Times New Roman" w:hAnsi="Times New Roman"/>
          <w:sz w:val="16"/>
          <w:szCs w:val="16"/>
          <w:color w:val="auto"/>
        </w:rPr>
        <w:t xml:space="preserve"> of the Company Disclosure Schedule, no Company Employee Plan provides health care or any other non-pension benefits to any service provider beyond termination of service or retirement (other than as required by Part 6 of Subtitle B of Title I of ERISA or similar state Law or as cash severance). No Company Employee Plan provides major medical health or long-term disability benefits that are not fully insured through an insurance contract.</w:t>
      </w:r>
    </w:p>
    <w:p>
      <w:pPr>
        <w:spacing w:after="0" w:line="66"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Employee Plan is subject to any Law of a foreign jurisdiction outside of the United States.</w:t>
      </w:r>
    </w:p>
    <w:p>
      <w:pPr>
        <w:spacing w:after="0" w:line="99" w:lineRule="exact"/>
        <w:rPr>
          <w:rFonts w:ascii="Times New Roman" w:cs="Times New Roman" w:eastAsia="Times New Roman" w:hAnsi="Times New Roman"/>
          <w:sz w:val="16"/>
          <w:szCs w:val="16"/>
          <w:color w:val="auto"/>
        </w:rPr>
      </w:pPr>
    </w:p>
    <w:p>
      <w:pPr>
        <w:ind w:right="40" w:firstLine="1253"/>
        <w:spacing w:after="0" w:line="256" w:lineRule="auto"/>
        <w:tabs>
          <w:tab w:leader="none" w:pos="144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Employee Plan that constitutes in any part a “nonqualified deferred compensation plan” (as such term is defined under Section 409A(d)(1) of the Code and the guidance thereunder) has been operated and maintained in all material respects in operational and documentary compliance with the requirements of Section 409A of the Code and the applicable guidance thereunder. No payment to be made under any Company Employee Plan is, or to the Knowledge of the Company, will be subject to the penalties of Section 409A(a)(1) of the Code.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640"/>
          </w:cols>
          <w:pgMar w:left="1120" w:top="253" w:right="1139" w:bottom="1440" w:gutter="0" w:footer="0" w:header="0"/>
        </w:sectPr>
      </w:pPr>
    </w:p>
    <w:bookmarkStart w:id="59" w:name="page60"/>
    <w:bookmarkEnd w:id="59"/>
    <w:p>
      <w:pPr>
        <w:jc w:val="both"/>
        <w:ind w:right="20" w:firstLine="1253"/>
        <w:spacing w:after="0" w:line="261" w:lineRule="auto"/>
        <w:tabs>
          <w:tab w:leader="none" w:pos="144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transfer of property by the Company or any of its Subsidiaries which was subject to a substantial risk of forfeiture and which would otherwise have been subject to taxation under Section 83(a) of the Code is covered by a valid and timely filed election under Section 83(b) of the Code, and a copy of such election has been provided to the Company.</w:t>
      </w:r>
    </w:p>
    <w:p>
      <w:pPr>
        <w:spacing w:after="0" w:line="62" w:lineRule="exact"/>
        <w:rPr>
          <w:rFonts w:ascii="Times New Roman" w:cs="Times New Roman" w:eastAsia="Times New Roman" w:hAnsi="Times New Roman"/>
          <w:sz w:val="16"/>
          <w:szCs w:val="16"/>
          <w:color w:val="auto"/>
        </w:rPr>
      </w:pPr>
    </w:p>
    <w:p>
      <w:pPr>
        <w:ind w:right="20" w:firstLine="1253"/>
        <w:spacing w:after="0" w:line="267" w:lineRule="auto"/>
        <w:tabs>
          <w:tab w:leader="none" w:pos="147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each of its Subsidiaries is and has since January 1, 2019 been in material compliance with all applicable federal, state and local laws, rules and regulations respecting employment, employment practices, terms and conditions of employment, worker classification, and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that would or would be reasonably expected to result in a material liability to the Company. Neither the Company nor any Subsidiary thereof is a party to a conciliation agreement, consent decree or other agreement or Order with any federal, state, or local agency or Governmental Authority with respect to employment practices.</w:t>
      </w:r>
    </w:p>
    <w:p>
      <w:pPr>
        <w:spacing w:after="0" w:line="59" w:lineRule="exact"/>
        <w:rPr>
          <w:rFonts w:ascii="Times New Roman" w:cs="Times New Roman" w:eastAsia="Times New Roman" w:hAnsi="Times New Roman"/>
          <w:sz w:val="15"/>
          <w:szCs w:val="15"/>
          <w:color w:val="auto"/>
        </w:rPr>
      </w:pPr>
    </w:p>
    <w:p>
      <w:pPr>
        <w:ind w:firstLine="1253"/>
        <w:spacing w:after="0" w:line="252" w:lineRule="auto"/>
        <w:tabs>
          <w:tab w:leader="none" w:pos="144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any material liability with respect to any misclassification since January 1, 2019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the WARN Act or any similar state or local law that remains unsatisfied.</w:t>
      </w:r>
    </w:p>
    <w:p>
      <w:pPr>
        <w:spacing w:after="0" w:line="70" w:lineRule="exact"/>
        <w:rPr>
          <w:rFonts w:ascii="Times New Roman" w:cs="Times New Roman" w:eastAsia="Times New Roman" w:hAnsi="Times New Roman"/>
          <w:sz w:val="16"/>
          <w:szCs w:val="16"/>
          <w:color w:val="auto"/>
        </w:rPr>
      </w:pPr>
    </w:p>
    <w:p>
      <w:pPr>
        <w:ind w:right="60" w:firstLine="1253"/>
        <w:spacing w:after="0" w:line="254" w:lineRule="auto"/>
        <w:tabs>
          <w:tab w:leader="none" w:pos="152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67" w:lineRule="exact"/>
        <w:rPr>
          <w:rFonts w:ascii="Times New Roman" w:cs="Times New Roman" w:eastAsia="Times New Roman" w:hAnsi="Times New Roman"/>
          <w:sz w:val="16"/>
          <w:szCs w:val="16"/>
          <w:color w:val="auto"/>
        </w:rPr>
      </w:pPr>
    </w:p>
    <w:p>
      <w:pPr>
        <w:ind w:firstLine="1253"/>
        <w:spacing w:after="0" w:line="261" w:lineRule="auto"/>
        <w:tabs>
          <w:tab w:leader="none" w:pos="147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640"/>
          </w:cols>
          <w:pgMar w:left="1120" w:top="253" w:right="1139" w:bottom="1440" w:gutter="0" w:footer="0" w:header="0"/>
        </w:sectPr>
      </w:pPr>
    </w:p>
    <w:bookmarkStart w:id="60" w:name="page61"/>
    <w:bookmarkEnd w:id="60"/>
    <w:p>
      <w:pPr>
        <w:ind w:right="140"/>
        <w:spacing w:after="0" w:line="28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reasonably anticipated relating to any employment contract, employment termination,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46" w:lineRule="exact"/>
        <w:rPr>
          <w:sz w:val="20"/>
          <w:szCs w:val="20"/>
          <w:color w:val="auto"/>
        </w:rPr>
      </w:pPr>
    </w:p>
    <w:p>
      <w:pPr>
        <w:ind w:left="1480" w:hanging="227"/>
        <w:spacing w:after="0"/>
        <w:tabs>
          <w:tab w:leader="none" w:pos="14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Employee Plan provides for any tax “gross-up” or similar “make-whole” payments.</w:t>
      </w:r>
    </w:p>
    <w:p>
      <w:pPr>
        <w:spacing w:after="0" w:line="99" w:lineRule="exact"/>
        <w:rPr>
          <w:rFonts w:ascii="Times New Roman" w:cs="Times New Roman" w:eastAsia="Times New Roman" w:hAnsi="Times New Roman"/>
          <w:sz w:val="16"/>
          <w:szCs w:val="16"/>
          <w:color w:val="auto"/>
        </w:rPr>
      </w:pPr>
    </w:p>
    <w:p>
      <w:pPr>
        <w:ind w:firstLine="1253"/>
        <w:spacing w:after="0" w:line="271" w:lineRule="auto"/>
        <w:tabs>
          <w:tab w:leader="none" w:pos="147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on Section 3.17(p) of the Company Disclosure Schedule, none of the execution and delivery of this Agreement, the shareholder approval of this Agreement, or the consummation of the transactions contemplated hereby could (either alone or in conjunction with any other event) (i) result in, or cause the accelerated vesting payment, funding or delivery of, or increase the amount or value of, any payment or benefit to any employee, officer, director or other service provider of the Company or any of its Subsidiaries; (ii) further restrict any rights of the Company to amend or terminate any Company Employee Plan; (iii) result in the forgiveness of any indebtedness of any employee, officer, director or other service provider of the Company or any of its Subsidiaries to the Company or its Subsidiaries or (iv) result in any “parachute payment” as defined in Section 280G(b)(2) of the Code (whether or not such payment is considered to be reasonable compensation for services rendered).</w:t>
      </w:r>
    </w:p>
    <w:p>
      <w:pPr>
        <w:spacing w:after="0" w:line="56" w:lineRule="exact"/>
        <w:rPr>
          <w:sz w:val="20"/>
          <w:szCs w:val="20"/>
          <w:color w:val="auto"/>
        </w:rPr>
      </w:pPr>
    </w:p>
    <w:p>
      <w:pPr>
        <w:ind w:right="60" w:firstLine="869"/>
        <w:spacing w:after="0" w:line="249" w:lineRule="auto"/>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Since January 1, 2019,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2019,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 (i) no current or prior owner of any property leased or controlled by the Company or any of its Subsidiaries has received since January 1, 2019,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73"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has delivered to Gem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2019, neither the Company nor any of its Subsidiaries has received any notice or other communication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640"/>
          </w:cols>
          <w:pgMar w:left="1120" w:top="253" w:right="1139" w:bottom="1440" w:gutter="0" w:footer="0" w:header="0"/>
        </w:sectPr>
      </w:pPr>
    </w:p>
    <w:bookmarkStart w:id="61" w:name="page62"/>
    <w:bookmarkEnd w:id="61"/>
    <w:p>
      <w:pPr>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67" w:lineRule="exact"/>
        <w:rPr>
          <w:sz w:val="20"/>
          <w:szCs w:val="20"/>
          <w:color w:val="auto"/>
        </w:rPr>
      </w:pPr>
    </w:p>
    <w:p>
      <w:pPr>
        <w:ind w:right="3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No Financial Advisors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Section 3.20</w:t>
      </w:r>
      <w:r>
        <w:rPr>
          <w:rFonts w:ascii="Times New Roman" w:cs="Times New Roman" w:eastAsia="Times New Roman" w:hAnsi="Times New Roman"/>
          <w:sz w:val="16"/>
          <w:szCs w:val="16"/>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62" w:lineRule="exact"/>
        <w:rPr>
          <w:sz w:val="20"/>
          <w:szCs w:val="20"/>
          <w:color w:val="auto"/>
        </w:rPr>
      </w:pPr>
    </w:p>
    <w:p>
      <w:pPr>
        <w:ind w:firstLine="869"/>
        <w:spacing w:after="0" w:line="272" w:lineRule="auto"/>
        <w:rPr>
          <w:sz w:val="20"/>
          <w:szCs w:val="20"/>
          <w:color w:val="auto"/>
        </w:rPr>
      </w:pPr>
      <w:r>
        <w:rPr>
          <w:rFonts w:ascii="Times New Roman" w:cs="Times New Roman" w:eastAsia="Times New Roman" w:hAnsi="Times New Roman"/>
          <w:sz w:val="15"/>
          <w:szCs w:val="15"/>
          <w:color w:val="auto"/>
        </w:rPr>
        <w:t xml:space="preserve">3.21 </w:t>
      </w:r>
      <w:r>
        <w:rPr>
          <w:rFonts w:ascii="Times New Roman" w:cs="Times New Roman" w:eastAsia="Times New Roman" w:hAnsi="Times New Roman"/>
          <w:sz w:val="15"/>
          <w:szCs w:val="15"/>
          <w:u w:val="single" w:color="auto"/>
          <w:color w:val="auto"/>
        </w:rPr>
        <w:t>Transactions with Affiliates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3.21</w:t>
      </w:r>
      <w:r>
        <w:rPr>
          <w:rFonts w:ascii="Times New Roman" w:cs="Times New Roman" w:eastAsia="Times New Roman" w:hAnsi="Times New Roman"/>
          <w:sz w:val="15"/>
          <w:szCs w:val="15"/>
          <w:color w:val="auto"/>
        </w:rPr>
        <w:t xml:space="preserve"> of the Company Disclosure Schedule describes any material transactions or relationships, since January 1, 2019, between, on one hand, the Company or any of its Subsidiaries and, on the other hand, any (a) executive officer or director of the Company or any of its Subsidiaries or any of such executive officer’s or director’s immediate family members, (b) owner of more than five percent (5%) of the voting power of the outstanding Company Capital Stock or (c) 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57" w:lineRule="exact"/>
        <w:rPr>
          <w:sz w:val="20"/>
          <w:szCs w:val="20"/>
          <w:color w:val="auto"/>
        </w:rPr>
      </w:pPr>
    </w:p>
    <w:p>
      <w:pPr>
        <w:ind w:right="40" w:firstLine="869"/>
        <w:spacing w:after="0" w:line="249"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Privacy and Data Security</w:t>
      </w:r>
      <w:r>
        <w:rPr>
          <w:rFonts w:ascii="Times New Roman" w:cs="Times New Roman" w:eastAsia="Times New Roman" w:hAnsi="Times New Roman"/>
          <w:sz w:val="16"/>
          <w:szCs w:val="16"/>
          <w:color w:val="auto"/>
        </w:rPr>
        <w:t>. The Company has complied with all applicable Privacy Laws and the applicable terms of any Company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implemented and maintains reasonable written policies and procedures, satisfying the requirements of applicable Privacy Laws, concerning the privacy, security, collection and use of Personal Information (the “</w:t>
      </w:r>
      <w:r>
        <w:rPr>
          <w:rFonts w:ascii="Times New Roman" w:cs="Times New Roman" w:eastAsia="Times New Roman" w:hAnsi="Times New Roman"/>
          <w:sz w:val="16"/>
          <w:szCs w:val="16"/>
          <w:b w:val="1"/>
          <w:bCs w:val="1"/>
          <w:color w:val="auto"/>
        </w:rPr>
        <w:t>Privacy Policies</w:t>
      </w:r>
      <w:r>
        <w:rPr>
          <w:rFonts w:ascii="Times New Roman" w:cs="Times New Roman" w:eastAsia="Times New Roman" w:hAnsi="Times New Roman"/>
          <w:sz w:val="16"/>
          <w:szCs w:val="16"/>
          <w:color w:val="auto"/>
        </w:rPr>
        <w:t>”) and has complied with the same, except for such non-compliance as has not to the Knowledge of the Company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Privacy Policies and/or the applicable terms of any Company Contracts relating to privacy, security, collection or use of Personal Information of any individuals. There have been no data security incidents, personal data breaches or other adverse events or incidents related to Personal Information or Company data in the custody or control of the Company or any service provider acting on behalf of the Company, in each case where such incident, breach or event would result in a notification obligation to any Person under applicable law or pursuant to the terms of any Company Contract.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640"/>
          </w:cols>
          <w:pgMar w:left="1120" w:top="253" w:right="1139" w:bottom="1440" w:gutter="0" w:footer="0" w:header="0"/>
        </w:sectPr>
      </w:pPr>
    </w:p>
    <w:bookmarkStart w:id="62" w:name="page63"/>
    <w:bookmarkEnd w:id="62"/>
    <w:p>
      <w:pPr>
        <w:ind w:firstLine="869"/>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3.23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The Subscription Agreement has not been amended or modified in any manner prior to the date of this Agreement. Neither the Company nor, to the Knowledge of the Company, any of its Affiliates has entered into any agreement, side letter or other arrangement relating to the Company Pre-Closing Financing other than as set forth in the Subscription Agreement. The respective obligations and agreements contained in the Subscription Agreement have not been withdrawn or rescinded in any respect. The Subscription Agreement is in full force and effect and represents a valid, binding and enforceable obligation of the Company and, to the Knowledge of the Company, of each party thereto, subject to the Enforceability Exceptions. No event has occurred which, with or without notice, lapse of time or both, would constitute a breach or default on the part of the Company or, to the Knowledge of the Company, any other party thereto, under the Subscription Agreement. To the Knowledge of the Company, no party thereto will be unable to satisfy on a timely basis any term of the Subscription Agreement. There are no conditions precedent related to the consummation of the Company Pre-Closing Financing contemplated by the Subscription Agreement, other than the satisfaction or waiver of the conditions expressly set forth in Section 6 of the Subscription Agreement.</w:t>
      </w:r>
    </w:p>
    <w:p>
      <w:pPr>
        <w:spacing w:after="0" w:line="70" w:lineRule="exact"/>
        <w:rPr>
          <w:sz w:val="20"/>
          <w:szCs w:val="20"/>
          <w:color w:val="auto"/>
        </w:rPr>
      </w:pPr>
    </w:p>
    <w:p>
      <w:pPr>
        <w:ind w:right="60" w:firstLine="869"/>
        <w:spacing w:after="0" w:line="252" w:lineRule="auto"/>
        <w:rPr>
          <w:sz w:val="20"/>
          <w:szCs w:val="20"/>
          <w:color w:val="auto"/>
        </w:rPr>
      </w:pPr>
      <w:r>
        <w:rPr>
          <w:rFonts w:ascii="Times New Roman" w:cs="Times New Roman" w:eastAsia="Times New Roman" w:hAnsi="Times New Roman"/>
          <w:sz w:val="16"/>
          <w:szCs w:val="16"/>
          <w:color w:val="auto"/>
        </w:rPr>
        <w:t xml:space="preserve">3.24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The Company hereby acknowledges and agrees that, except for the representations and warranties contained in this Agreement, neither Gem nor any other person on behalf of Gem makes any express or implied representation or warranty with respect to Gem or with respect to any other information provided to the Company, any of its Subsidiaries or stockholders or any of their respective Affiliates in connection with the Contemplated Transactions, and (subject to the express representations and warranties of Gem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(in each case as qualified and limited by the Gem Disclosure Schedule)) none of the Company, its Subsidiaries or any of their respective Representatives or stockholders, has relied on any such information (including the accuracy or completeness thereof).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Representations and Warranties of Gem and Merger Sub</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ind w:right="120" w:firstLine="386"/>
        <w:spacing w:after="0" w:line="253" w:lineRule="auto"/>
        <w:rPr>
          <w:sz w:val="20"/>
          <w:szCs w:val="20"/>
          <w:color w:val="auto"/>
        </w:rPr>
      </w:pPr>
      <w:r>
        <w:rPr>
          <w:rFonts w:ascii="Times New Roman" w:cs="Times New Roman" w:eastAsia="Times New Roman" w:hAnsi="Times New Roman"/>
          <w:sz w:val="16"/>
          <w:szCs w:val="16"/>
          <w:color w:val="auto"/>
        </w:rPr>
        <w:t>Except (i) as set forth in the written disclosure schedule delivered by Gem to the Company (the “</w:t>
      </w:r>
      <w:r>
        <w:rPr>
          <w:rFonts w:ascii="Times New Roman" w:cs="Times New Roman" w:eastAsia="Times New Roman" w:hAnsi="Times New Roman"/>
          <w:sz w:val="16"/>
          <w:szCs w:val="16"/>
          <w:b w:val="1"/>
          <w:bCs w:val="1"/>
          <w:color w:val="auto"/>
        </w:rPr>
        <w:t>Gem Disclosure Schedule</w:t>
      </w:r>
      <w:r>
        <w:rPr>
          <w:rFonts w:ascii="Times New Roman" w:cs="Times New Roman" w:eastAsia="Times New Roman" w:hAnsi="Times New Roman"/>
          <w:sz w:val="16"/>
          <w:szCs w:val="16"/>
          <w:color w:val="auto"/>
        </w:rPr>
        <w:t>”) or (ii) as disclosed in the Gem SEC Documents filed or furnished with the SEC on or before the day that is one (1) Business Day prior to the date of this Agreement (but excluding any disclosures contained under the heading “Risk Factors” and any disclosure of risks included in any “forward-looking statements” disclaimer or in any other section to the extent they are cautionary, predictive or forward-looking in nature), it being understood that any matter disclosed in the Gem SEC Documents shall not be deemed disclosed for purposes of Sections 4.1(a), 4.1(b) or 4.3, Gem and Merger Sub represent and warrant to the Company as follows: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Due Organization; Subsidiaries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1253"/>
        <w:spacing w:after="0" w:line="252" w:lineRule="auto"/>
        <w:tabs>
          <w:tab w:leader="none" w:pos="146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Gem and its Subsidiaries (including Merger Sub) is a corporation duly incorporated,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Gem’s Subsidiaries are wholly owned by Gem.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640"/>
          </w:cols>
          <w:pgMar w:left="1120" w:top="253" w:right="1139" w:bottom="1440" w:gutter="0" w:footer="0" w:header="0"/>
        </w:sectPr>
      </w:pPr>
    </w:p>
    <w:bookmarkStart w:id="63" w:name="page64"/>
    <w:bookmarkEnd w:id="63"/>
    <w:p>
      <w:pPr>
        <w:ind w:left="1" w:right="140" w:firstLine="1253"/>
        <w:spacing w:after="0" w:line="256" w:lineRule="auto"/>
        <w:tabs>
          <w:tab w:leader="none" w:pos="147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of Gem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Gem Material Adverse Effect.</w:t>
      </w:r>
    </w:p>
    <w:p>
      <w:pPr>
        <w:spacing w:after="0" w:line="66" w:lineRule="exact"/>
        <w:rPr>
          <w:rFonts w:ascii="Times New Roman" w:cs="Times New Roman" w:eastAsia="Times New Roman" w:hAnsi="Times New Roman"/>
          <w:sz w:val="16"/>
          <w:szCs w:val="16"/>
          <w:color w:val="auto"/>
        </w:rPr>
      </w:pPr>
    </w:p>
    <w:p>
      <w:pPr>
        <w:ind w:left="1" w:right="80" w:firstLine="1253"/>
        <w:spacing w:after="0" w:line="252" w:lineRule="auto"/>
        <w:tabs>
          <w:tab w:leader="none" w:pos="147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4.1(c) of the Gem Disclosure Schedule, Gem has no Subsidiaries other than Merger Sub and Gem does not own any capital stock of, or any equity ownership or profit sharing interest of any nature in, or control directly or indirectly, any other Entity other than Merger Sub. Gem is not and has not otherwise been, directly or indirectly, a party to, member of or participant in any partnership, joint venture or similar business entity. Gem has not agreed and is not obligated to make, nor is Gem bound by any Contract under which it may become obligated to make, any future investment in or capital contribution to any other Entity. Gem has not, at any time, been a general partner of, and has not otherwise been liable for any of the debts or other obligations of, any general partnership, limited partnership or other Entity.</w:t>
      </w:r>
    </w:p>
    <w:p>
      <w:pPr>
        <w:spacing w:after="0" w:line="69"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Gem has delivered to the Company accurate and complete copies of Gem’s Organizational Documents.</w:t>
      </w:r>
    </w:p>
    <w:p>
      <w:pPr>
        <w:spacing w:after="0" w:line="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Gem is not in breach or violation of its Organizational Documents in any material respect.</w:t>
      </w:r>
    </w:p>
    <w:p>
      <w:pPr>
        <w:spacing w:after="0" w:line="83" w:lineRule="exact"/>
        <w:rPr>
          <w:sz w:val="20"/>
          <w:szCs w:val="20"/>
          <w:color w:val="auto"/>
        </w:rPr>
      </w:pPr>
    </w:p>
    <w:p>
      <w:pPr>
        <w:ind w:left="1" w:firstLine="869"/>
        <w:spacing w:after="0" w:line="266"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Authority; Binding Nature of Agreement</w:t>
      </w:r>
      <w:r>
        <w:rPr>
          <w:rFonts w:ascii="Times New Roman" w:cs="Times New Roman" w:eastAsia="Times New Roman" w:hAnsi="Times New Roman"/>
          <w:sz w:val="15"/>
          <w:szCs w:val="15"/>
          <w:color w:val="auto"/>
        </w:rPr>
        <w:t>. Each of Gem and Merger Sub has all necessary corporate power and authority to enter into and to perform its obligations under this Agreement and to consummate the Contemplated Transactions. The Gem Board has: (a) determined that the Contemplated Transactions are fair to, advisable and in the best interests of Gem and its stockholders, (b) approved and declared advisable this Agreement and the Contemplated Transactions, including the issuance of shares of Gem Common Stock to the stockholders of the Company pursuant to the terms of this Agreement (c) determined to recommend, upon the terms and subject to the conditions set forth in this Agreement, that the stockholders of Gem vote to approve this Agreement and the Contemplated Transactions, including the issuance of shares of Gem Common Stock to the stockholders of the Company pursuant to the terms of this Agreement, (d) determined that an amendment to Gem’s certificate of incorporation to effect the Nasdaq Reverse Split and the other amendments contemplated by Section 2.4(c) is advisable and in the best interests of Gem and its stockholders and</w:t>
      </w:r>
    </w:p>
    <w:p>
      <w:pPr>
        <w:spacing w:after="0" w:line="2" w:lineRule="exact"/>
        <w:rPr>
          <w:sz w:val="20"/>
          <w:szCs w:val="20"/>
          <w:color w:val="auto"/>
        </w:rPr>
      </w:pPr>
    </w:p>
    <w:p>
      <w:pPr>
        <w:ind w:left="1" w:right="40" w:hanging="1"/>
        <w:spacing w:after="0" w:line="247" w:lineRule="auto"/>
        <w:tabs>
          <w:tab w:leader="none" w:pos="21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to recommend that the stockholders of Gem vote to approve an amendment to Gem’s certificate of incorporation to effect the Nasdaq Reverse Split and to make the other amendments provided in Section 2.4. The Merger Sub Board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Gem and Merger Sub and, assuming the due authorization, execution and delivery by the Company, constitutes the legal, valid and binding obligation of Gem and Merger Sub, enforceable against each of Gem and Merger Sub in accordance with its terms, subject to the Enforceability Exceptions.</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641"/>
          </w:cols>
          <w:pgMar w:left="1119" w:top="253" w:right="1139" w:bottom="1440" w:gutter="0" w:footer="0" w:header="0"/>
        </w:sectPr>
      </w:pPr>
    </w:p>
    <w:bookmarkStart w:id="64" w:name="page65"/>
    <w:bookmarkEnd w:id="64"/>
    <w:p>
      <w:pPr>
        <w:ind w:firstLine="869"/>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4.4 </w:t>
      </w:r>
      <w:r>
        <w:rPr>
          <w:rFonts w:ascii="Times New Roman" w:cs="Times New Roman" w:eastAsia="Times New Roman" w:hAnsi="Times New Roman"/>
          <w:sz w:val="16"/>
          <w:szCs w:val="16"/>
          <w:u w:val="single" w:color="auto"/>
          <w:color w:val="auto"/>
        </w:rPr>
        <w:t>Vote Required</w:t>
      </w:r>
      <w:r>
        <w:rPr>
          <w:rFonts w:ascii="Times New Roman" w:cs="Times New Roman" w:eastAsia="Times New Roman" w:hAnsi="Times New Roman"/>
          <w:sz w:val="16"/>
          <w:szCs w:val="16"/>
          <w:color w:val="auto"/>
        </w:rPr>
        <w:t>. The affirmative vote of a majority of (a) the votes cast at the Gem Stockholder Meeting (at which a quorum is present) is the only vote of the holders of any class or series of Gem’s capital stock necessary to approve this Agreement, and the Contemplated Transactions, including the issuance of the shares of Gem Common Stock to the stockholders of the Company in the Merger pursuant to the terms of this Agreement and (b) the outstanding shares of Gem Common Stock entitled to vote thereon is the only vote of the holders of any class or series of Gem’s capital stock necessary to approve an amendment to Gem’s certificate of incorporation to effect the Nasdaq Reverse Split and the other amendments provided in Section 2.4 (collectively, the “</w:t>
      </w:r>
      <w:r>
        <w:rPr>
          <w:rFonts w:ascii="Times New Roman" w:cs="Times New Roman" w:eastAsia="Times New Roman" w:hAnsi="Times New Roman"/>
          <w:sz w:val="16"/>
          <w:szCs w:val="16"/>
          <w:b w:val="1"/>
          <w:bCs w:val="1"/>
          <w:color w:val="auto"/>
        </w:rPr>
        <w:t>Required Gem Stockholder Vote</w:t>
      </w:r>
      <w:r>
        <w:rPr>
          <w:rFonts w:ascii="Times New Roman" w:cs="Times New Roman" w:eastAsia="Times New Roman" w:hAnsi="Times New Roman"/>
          <w:sz w:val="16"/>
          <w:szCs w:val="16"/>
          <w:color w:val="auto"/>
        </w:rPr>
        <w:t>”).</w:t>
      </w:r>
    </w:p>
    <w:p>
      <w:pPr>
        <w:spacing w:after="0" w:line="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Non-Contravention; Consents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40" w:firstLine="1253"/>
        <w:spacing w:after="0" w:line="286" w:lineRule="auto"/>
        <w:tabs>
          <w:tab w:leader="none" w:pos="14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compliance with, obtaining the Required Gem Stockholder Vote and the filing of the Certificate of Merger with the Secretary of State of the State of Delaware pursuant to the DGCL, neither (x) the execution, delivery or performance of this Agreement by Gem or Merger Sub, nor (y) the consummation of the Contemplated Transactions, will directly or indirectly (with or without notice or lapse of time):</w:t>
      </w:r>
    </w:p>
    <w:p>
      <w:pPr>
        <w:spacing w:after="0" w:line="45" w:lineRule="exact"/>
        <w:rPr>
          <w:rFonts w:ascii="Times New Roman" w:cs="Times New Roman" w:eastAsia="Times New Roman" w:hAnsi="Times New Roman"/>
          <w:sz w:val="15"/>
          <w:szCs w:val="15"/>
          <w:color w:val="auto"/>
        </w:rPr>
      </w:pPr>
    </w:p>
    <w:p>
      <w:pPr>
        <w:ind w:left="1780" w:hanging="191"/>
        <w:spacing w:after="0"/>
        <w:tabs>
          <w:tab w:leader="none" w:pos="178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of any of the provisions of the Organizational Documents of Gem or its</w:t>
      </w:r>
    </w:p>
    <w:p>
      <w:pPr>
        <w:spacing w:after="0" w:line="2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82" w:lineRule="exact"/>
        <w:rPr>
          <w:rFonts w:ascii="Times New Roman" w:cs="Times New Roman" w:eastAsia="Times New Roman" w:hAnsi="Times New Roman"/>
          <w:sz w:val="16"/>
          <w:szCs w:val="16"/>
          <w:color w:val="auto"/>
        </w:rPr>
      </w:pPr>
    </w:p>
    <w:p>
      <w:pPr>
        <w:ind w:left="380" w:right="140" w:firstLine="1209"/>
        <w:spacing w:after="0" w:line="261" w:lineRule="auto"/>
        <w:tabs>
          <w:tab w:leader="none" w:pos="181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or give any Governmental Authority or other Person the right to challenge the Contemplated Transactions or to exercise any remedy or obtain any relief under, any Law or any Order to which Gem or its Subsidiaries or any of the assets owned or used by Gem or its Subsidiaries, is subject;</w:t>
      </w:r>
    </w:p>
    <w:p>
      <w:pPr>
        <w:spacing w:after="0" w:line="62" w:lineRule="exact"/>
        <w:rPr>
          <w:rFonts w:ascii="Times New Roman" w:cs="Times New Roman" w:eastAsia="Times New Roman" w:hAnsi="Times New Roman"/>
          <w:sz w:val="16"/>
          <w:szCs w:val="16"/>
          <w:color w:val="auto"/>
        </w:rPr>
      </w:pPr>
    </w:p>
    <w:p>
      <w:pPr>
        <w:ind w:left="380" w:right="60" w:firstLine="1209"/>
        <w:spacing w:after="0" w:line="261" w:lineRule="auto"/>
        <w:tabs>
          <w:tab w:leader="none" w:pos="186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Gem or its Subsidiaries or that otherwise relates to the business of Gem, or any of the assets owned, leased or used by Gem;</w:t>
      </w:r>
    </w:p>
    <w:p>
      <w:pPr>
        <w:spacing w:after="0" w:line="62" w:lineRule="exact"/>
        <w:rPr>
          <w:rFonts w:ascii="Times New Roman" w:cs="Times New Roman" w:eastAsia="Times New Roman" w:hAnsi="Times New Roman"/>
          <w:sz w:val="16"/>
          <w:szCs w:val="16"/>
          <w:color w:val="auto"/>
        </w:rPr>
      </w:pPr>
    </w:p>
    <w:p>
      <w:pPr>
        <w:ind w:left="380" w:right="140" w:firstLine="1209"/>
        <w:spacing w:after="0" w:line="254" w:lineRule="auto"/>
        <w:tabs>
          <w:tab w:leader="none" w:pos="1851"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or breach of, or result in a default under, any provision of any Gem Material Contract, or give any Person the right to: (A) declare a default or exercise any remedy under any Gem Material Contract, (B) any material payment, rebate, chargeback, penalty or change in delivery schedule under any such Gem Material Contract, (C) accelerate the maturity or performance of any Gem Material Contract or (D) cancel, terminate or modify any term of any Gem Material Contract, except in the case of any non-material breach, default, penalty or modification; or</w:t>
      </w:r>
    </w:p>
    <w:p>
      <w:pPr>
        <w:spacing w:after="0" w:line="67" w:lineRule="exact"/>
        <w:rPr>
          <w:rFonts w:ascii="Times New Roman" w:cs="Times New Roman" w:eastAsia="Times New Roman" w:hAnsi="Times New Roman"/>
          <w:sz w:val="16"/>
          <w:szCs w:val="16"/>
          <w:color w:val="auto"/>
        </w:rPr>
      </w:pPr>
    </w:p>
    <w:p>
      <w:pPr>
        <w:ind w:left="380" w:right="340" w:firstLine="1209"/>
        <w:spacing w:after="0" w:line="276" w:lineRule="auto"/>
        <w:tabs>
          <w:tab w:leader="none" w:pos="1808"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the imposition or creation of any Encumbrance upon or with respect to any asset owned or used by Gem or its Subsidiaries (except for Permitted Encumbrances).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9640"/>
          </w:cols>
          <w:pgMar w:left="1120" w:top="253" w:right="1139" w:bottom="1440" w:gutter="0" w:footer="0" w:header="0"/>
        </w:sectPr>
      </w:pPr>
    </w:p>
    <w:bookmarkStart w:id="65" w:name="page66"/>
    <w:bookmarkEnd w:id="65"/>
    <w:p>
      <w:pPr>
        <w:ind w:right="60" w:firstLine="1253"/>
        <w:spacing w:after="0" w:line="252" w:lineRule="auto"/>
        <w:tabs>
          <w:tab w:leader="none" w:pos="147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for (i) any Consent set forth on Section 4.5 of the Gem Disclosure Schedule under any Gem Material Contract, (ii) the Required Gem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Gem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70" w:lineRule="exact"/>
        <w:rPr>
          <w:rFonts w:ascii="Times New Roman" w:cs="Times New Roman" w:eastAsia="Times New Roman" w:hAnsi="Times New Roman"/>
          <w:sz w:val="16"/>
          <w:szCs w:val="16"/>
          <w:color w:val="auto"/>
        </w:rPr>
      </w:pPr>
    </w:p>
    <w:p>
      <w:pPr>
        <w:ind w:firstLine="1253"/>
        <w:spacing w:after="0" w:line="254" w:lineRule="auto"/>
        <w:tabs>
          <w:tab w:leader="none" w:pos="146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and the Merger Sub Board have taken and will take all actions necessary to ensure that the restrictions applicable to business combinations contained in Section 203 of the DGCL are, and will be, inapplicable to the execution, delivery and performance of this Agreement, each Gem Stockholder Support Agreement and to the consummation of the Contemplated Transactions. No other state takeover statute or similar Law applies or purports to apply to the Merger, this Agreement, any Gem Stockholder Support Agreement or any of the other Contemplated Transactions.</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1253"/>
        <w:spacing w:after="0" w:line="256" w:lineRule="auto"/>
        <w:tabs>
          <w:tab w:leader="none" w:pos="146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Gem consists of (i) 250,000,000 shares of Gem Common Stock of which 43,244,453 shares have been issued and are outstanding as of August 8, 2022 (the “</w:t>
      </w:r>
      <w:r>
        <w:rPr>
          <w:rFonts w:ascii="Times New Roman" w:cs="Times New Roman" w:eastAsia="Times New Roman" w:hAnsi="Times New Roman"/>
          <w:sz w:val="16"/>
          <w:szCs w:val="16"/>
          <w:b w:val="1"/>
          <w:bCs w:val="1"/>
          <w:color w:val="auto"/>
        </w:rPr>
        <w:t>Capitalization Date</w:t>
      </w:r>
      <w:r>
        <w:rPr>
          <w:rFonts w:ascii="Times New Roman" w:cs="Times New Roman" w:eastAsia="Times New Roman" w:hAnsi="Times New Roman"/>
          <w:sz w:val="16"/>
          <w:szCs w:val="16"/>
          <w:color w:val="auto"/>
        </w:rPr>
        <w:t>”) and (ii) 10,000,000 shares of preferred stock, par value $0.0001 per share, of which no shares have been issued and are outstanding as of the Capitalization Date. Gem does not hold any shares of its capital stock in its treasury.</w:t>
      </w:r>
    </w:p>
    <w:p>
      <w:pPr>
        <w:spacing w:after="0" w:line="66" w:lineRule="exact"/>
        <w:rPr>
          <w:rFonts w:ascii="Times New Roman" w:cs="Times New Roman" w:eastAsia="Times New Roman" w:hAnsi="Times New Roman"/>
          <w:sz w:val="16"/>
          <w:szCs w:val="16"/>
          <w:color w:val="auto"/>
        </w:rPr>
      </w:pPr>
    </w:p>
    <w:p>
      <w:pPr>
        <w:ind w:right="20" w:firstLine="1253"/>
        <w:spacing w:after="0" w:line="250" w:lineRule="auto"/>
        <w:tabs>
          <w:tab w:leader="none" w:pos="147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outstanding shares of Gem Common Stock have been duly authorized and validly issued, and are fully paid and nonassessable and are free of any Encumbrances. None of the outstanding shares of Gem Common Stock is entitled or subject to any preemptive right, right of participation, right of maintenance or any similar right. None of the outstanding shares of Gem Common Stock is subject to any right of first refusal in favor of Gem. Except as contemplated herein, there is no Gem Contract relating to the voting or registration of, or restricting any Person from purchasing, selling, pledging or otherwise disposing of (or granting any option or similar right with respect to), any shares of Gem Common Stock. Gem is not under any obligation, nor is Gem bound by any Contract pursuant to which it may become obligated, to repurchase, redeem or otherwise acquire any outstanding shares of Gem Common Stock or other securities. Section 4.6(b) of the Gem Disclosure Schedule accurately and completely describes all repurchase rights held by Gem with respect to shares of Gem Common Stock (including shares issued pursuant to the exercise of stock options) and specifies which of those repurchase rights are currently exercisable.</w:t>
      </w:r>
    </w:p>
    <w:p>
      <w:pPr>
        <w:spacing w:after="0" w:line="70"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Gem Stock Plans and the Gem 2021 Employee Stock Purchase Plan (the “</w:t>
      </w:r>
      <w:r>
        <w:rPr>
          <w:rFonts w:ascii="Times New Roman" w:cs="Times New Roman" w:eastAsia="Times New Roman" w:hAnsi="Times New Roman"/>
          <w:sz w:val="16"/>
          <w:szCs w:val="16"/>
          <w:b w:val="1"/>
          <w:bCs w:val="1"/>
          <w:color w:val="auto"/>
        </w:rPr>
        <w:t>Gem ESPP</w:t>
      </w:r>
      <w:r>
        <w:rPr>
          <w:rFonts w:ascii="Times New Roman" w:cs="Times New Roman" w:eastAsia="Times New Roman" w:hAnsi="Times New Roman"/>
          <w:sz w:val="16"/>
          <w:szCs w:val="16"/>
          <w:color w:val="auto"/>
        </w:rPr>
        <w:t>”) or as set forth on</w:t>
      </w:r>
    </w:p>
    <w:p>
      <w:pPr>
        <w:spacing w:after="0" w:line="2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Section 4.6(c) of the Gem Disclosure Schedule, Gem does not have any stock option plan or any other plan, program, agreement or arrangement providing for any equity-based compensation for any Person. As of the date of this Agreement, (i) there are no equity awards currently outstanding under the 2015 Employee, Director and Consultant Stock Option Plan and such plan was terminated as of February 5, 2021, (ii) Gem has reserved 3,557,726 shares of Gem Common Stock for issuance under the 2017 Stock Option and Grant Plan, of which 1,337,395 shares have been issued and are currently outstanding, and 2,220,331 shares remain available for future issuance, (iii) Gem has reserved 5,992,667 shares of Gem Common Stock for issuance under the 2021 Stock Option and Incentive Plan, of which 2,551,993 shares have been issued and are currently outstanding, and 3,440,674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9640"/>
          </w:cols>
          <w:pgMar w:left="1120" w:top="253" w:right="1139" w:bottom="1440" w:gutter="0" w:footer="0" w:header="0"/>
        </w:sectPr>
      </w:pPr>
    </w:p>
    <w:bookmarkStart w:id="66" w:name="page67"/>
    <w:bookmarkEnd w:id="66"/>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shares remain available for future issuance, (iv) Gem has reserved 1,616,895 shares of Gem Common Stock for issuance under the 2021 Inducement Plan, of which 457,487 shares have been issued and are currently outstanding, and 1,159,408 shares remain available for future issuance. As of the date of this Agreement, Gem has reserved 430,551 shares of Gem Common Stock for future issuance pursuant to the Gem ESPP, of which 9,960 have been issued and 420,591 remain available for future issuance. Section 4.6(c) of the Gem Disclosure Schedule sets forth the following information with respect to each Gem Option and Gem RSU outstanding as of the date of this Agreement, as applicable: (i) the name of the holder, (ii) the number of shares of Gem Common Stock subject to such Gem Option or Gem RSU at the time of grant, (iii) the exercise price of any Gem Option, (iv) the date on which such Gem Option or Gem RSU was granted, and (v) the expiration date of such Gem Option (or, if applicable, such Gem RSU). Gem has made available to the Company accurate and complete copies of the Gem Stock Plans, the forms of all award agreements evidencing outstanding equity awards thereunder, any equity award agreements that differ in any material respect from the forms of award agreements and evidence of board and stockholder approval of the Gem Stock Plans and any amendments thereto.</w:t>
      </w:r>
    </w:p>
    <w:p>
      <w:pPr>
        <w:spacing w:after="0" w:line="70" w:lineRule="exact"/>
        <w:rPr>
          <w:sz w:val="20"/>
          <w:szCs w:val="20"/>
          <w:color w:val="auto"/>
        </w:rPr>
      </w:pPr>
    </w:p>
    <w:p>
      <w:pPr>
        <w:ind w:left="1480" w:hanging="227"/>
        <w:spacing w:after="0"/>
        <w:tabs>
          <w:tab w:leader="none" w:pos="148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outstanding Gem Options and Gem RSUs or as set forth on Section 4.6(d) of the Gem Disclosure Schedule, there</w:t>
      </w:r>
    </w:p>
    <w:p>
      <w:pPr>
        <w:spacing w:after="0" w:line="33" w:lineRule="exact"/>
        <w:rPr>
          <w:rFonts w:ascii="Times New Roman" w:cs="Times New Roman" w:eastAsia="Times New Roman" w:hAnsi="Times New Roman"/>
          <w:sz w:val="15"/>
          <w:szCs w:val="15"/>
          <w:color w:val="auto"/>
        </w:rPr>
      </w:pPr>
    </w:p>
    <w:p>
      <w:pPr>
        <w:ind w:right="40"/>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is no: (i) outstanding subscription, option, call, warrant or right (whether or not currently exercisable) to acquire any shares of the capital stock or other securities of Gem, (ii) outstanding security, instrument or obligation that is or may become convertible into or exchangeable for any shares of the capital stock or other securities of Gem, (iii) stockholder rights plan (or similar plan commonly referred to as a “poison pill”) or Contract under which Gem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Gem. There are no outstanding or authorized stock appreciation, phantom stock, profit participation or other similar rights with respect to Gem.</w:t>
      </w:r>
    </w:p>
    <w:p>
      <w:pPr>
        <w:spacing w:after="0" w:line="76" w:lineRule="exact"/>
        <w:rPr>
          <w:rFonts w:ascii="Times New Roman" w:cs="Times New Roman" w:eastAsia="Times New Roman" w:hAnsi="Times New Roman"/>
          <w:sz w:val="15"/>
          <w:szCs w:val="15"/>
          <w:color w:val="auto"/>
        </w:rPr>
      </w:pPr>
    </w:p>
    <w:p>
      <w:pPr>
        <w:ind w:right="40" w:firstLine="1253"/>
        <w:spacing w:after="0" w:line="310" w:lineRule="auto"/>
        <w:tabs>
          <w:tab w:leader="none" w:pos="146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outstanding shares of Gem Common Stock, Gem Options, Gem RSUs and other securities of Gem have been issued and granted in material compliance with (i) all applicable securities laws and other applicable Law and (ii) all requirements set forth in applicable Contracts.</w:t>
      </w:r>
    </w:p>
    <w:p>
      <w:pPr>
        <w:spacing w:after="0" w:line="27" w:lineRule="exact"/>
        <w:rPr>
          <w:rFonts w:ascii="Times New Roman" w:cs="Times New Roman" w:eastAsia="Times New Roman" w:hAnsi="Times New Roman"/>
          <w:sz w:val="15"/>
          <w:szCs w:val="15"/>
          <w:color w:val="auto"/>
        </w:rPr>
      </w:pPr>
    </w:p>
    <w:p>
      <w:pPr>
        <w:ind w:right="220" w:firstLine="1253"/>
        <w:spacing w:after="0" w:line="276" w:lineRule="auto"/>
        <w:tabs>
          <w:tab w:leader="none" w:pos="145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Gem Options and Gem RSUs, each grant was made in all material respects in accordance with the terms of the Gem Stock Plan pursuant to which it was granted.</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SEC Filings; Financial Statements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52" w:lineRule="auto"/>
        <w:tabs>
          <w:tab w:leader="none" w:pos="146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has filed or furnished, as applicable, on a timely basis all forms, statements (whether registration or proxy statements), certifications, reports, schedules, exhibits and other documents required to be filed or furnished by it with the SEC under the Exchange Act or the Securities Act since the Gem Effective Date (the “</w:t>
      </w:r>
      <w:r>
        <w:rPr>
          <w:rFonts w:ascii="Times New Roman" w:cs="Times New Roman" w:eastAsia="Times New Roman" w:hAnsi="Times New Roman"/>
          <w:sz w:val="16"/>
          <w:szCs w:val="16"/>
          <w:b w:val="1"/>
          <w:bCs w:val="1"/>
          <w:color w:val="auto"/>
        </w:rPr>
        <w:t>Gem SEC Documents</w:t>
      </w:r>
      <w:r>
        <w:rPr>
          <w:rFonts w:ascii="Times New Roman" w:cs="Times New Roman" w:eastAsia="Times New Roman" w:hAnsi="Times New Roman"/>
          <w:sz w:val="16"/>
          <w:szCs w:val="16"/>
          <w:color w:val="auto"/>
        </w:rPr>
        <w:t>”). As of the time it was filed with the SEC (or, if amended or superseded by a filing prior to the date of this Agreement, then on the date of such filing), each of the Gem SEC Documents complied in all material respects with the applicable requirements of the Securities Act or the Exchange Act (as the case may be) and, to Gem’s Knowledge, as of the time they were filed, none of the Gem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9640"/>
          </w:cols>
          <w:pgMar w:left="1120" w:top="253" w:right="1139" w:bottom="1440" w:gutter="0" w:footer="0" w:header="0"/>
        </w:sectPr>
      </w:pPr>
    </w:p>
    <w:bookmarkStart w:id="67" w:name="page68"/>
    <w:bookmarkEnd w:id="67"/>
    <w:p>
      <w:pPr>
        <w:ind w:left="1"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 Documents contained any untrue statement of a material fact or omitted to state a material fact required to be stated therein or necessary in order to make the statements therein, in light of the circumstances under which they were made, not misleading. As used in this </w:t>
      </w:r>
      <w:r>
        <w:rPr>
          <w:rFonts w:ascii="Times New Roman" w:cs="Times New Roman" w:eastAsia="Times New Roman" w:hAnsi="Times New Roman"/>
          <w:sz w:val="16"/>
          <w:szCs w:val="16"/>
          <w:u w:val="single" w:color="auto"/>
          <w:color w:val="auto"/>
        </w:rPr>
        <w:t>Section 4.7</w:t>
      </w:r>
      <w:r>
        <w:rPr>
          <w:rFonts w:ascii="Times New Roman" w:cs="Times New Roman" w:eastAsia="Times New Roman" w:hAnsi="Times New Roman"/>
          <w:sz w:val="16"/>
          <w:szCs w:val="16"/>
          <w:color w:val="auto"/>
        </w:rPr>
        <w:t>, the term “file” and variations thereof shall be broadly construed to include any manner in which a document or information is furnished, supplied or otherwise made available to the SEC.</w:t>
      </w:r>
    </w:p>
    <w:p>
      <w:pPr>
        <w:spacing w:after="0" w:line="66" w:lineRule="exact"/>
        <w:rPr>
          <w:sz w:val="20"/>
          <w:szCs w:val="20"/>
          <w:color w:val="auto"/>
        </w:rPr>
      </w:pPr>
    </w:p>
    <w:p>
      <w:pPr>
        <w:ind w:left="1481" w:hanging="227"/>
        <w:spacing w:after="0"/>
        <w:tabs>
          <w:tab w:leader="none" w:pos="1481"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any related notes) contained or incorporated by reference in the Gem SEC Documents:</w:t>
      </w:r>
    </w:p>
    <w:p>
      <w:pPr>
        <w:spacing w:after="0" w:line="22" w:lineRule="exact"/>
        <w:rPr>
          <w:rFonts w:ascii="Times New Roman" w:cs="Times New Roman" w:eastAsia="Times New Roman" w:hAnsi="Times New Roman"/>
          <w:sz w:val="16"/>
          <w:szCs w:val="16"/>
          <w:color w:val="auto"/>
        </w:rPr>
      </w:pPr>
    </w:p>
    <w:p>
      <w:pPr>
        <w:ind w:left="1" w:right="40" w:hanging="1"/>
        <w:spacing w:after="0" w:line="247" w:lineRule="auto"/>
        <w:tabs>
          <w:tab w:leader="none" w:pos="18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Gem as of the respective dates thereof and the results of operations and cash flows of Gem for the periods covered thereby. Other than as expressly disclosed in the Gem SEC Documents filed prior to the date hereof, there has been no material change in Gem’s accounting methods or principles that would be required to be disclosed in Gem’s financial statements in accordance with GAAP. The books of account and other financial records of Gem and its Subsidiaries are true and complete in all material respects.</w:t>
      </w:r>
    </w:p>
    <w:p>
      <w:pPr>
        <w:spacing w:after="0" w:line="76" w:lineRule="exact"/>
        <w:rPr>
          <w:rFonts w:ascii="Times New Roman" w:cs="Times New Roman" w:eastAsia="Times New Roman" w:hAnsi="Times New Roman"/>
          <w:sz w:val="16"/>
          <w:szCs w:val="16"/>
          <w:color w:val="auto"/>
        </w:rPr>
      </w:pPr>
    </w:p>
    <w:p>
      <w:pPr>
        <w:ind w:left="1461" w:hanging="207"/>
        <w:spacing w:after="0"/>
        <w:tabs>
          <w:tab w:leader="none" w:pos="146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Gem’s auditor has at all times since the Gem Effective Date been: (i) a registered public accounting firm (as defined in</w:t>
      </w:r>
    </w:p>
    <w:p>
      <w:pPr>
        <w:spacing w:after="0" w:line="22" w:lineRule="exact"/>
        <w:rPr>
          <w:sz w:val="20"/>
          <w:szCs w:val="20"/>
          <w:color w:val="auto"/>
        </w:rPr>
      </w:pPr>
    </w:p>
    <w:p>
      <w:pPr>
        <w:jc w:val="both"/>
        <w:ind w:left="1" w:right="80"/>
        <w:spacing w:after="0" w:line="250" w:lineRule="auto"/>
        <w:rPr>
          <w:sz w:val="20"/>
          <w:szCs w:val="20"/>
          <w:color w:val="auto"/>
        </w:rPr>
      </w:pPr>
      <w:r>
        <w:rPr>
          <w:rFonts w:ascii="Times New Roman" w:cs="Times New Roman" w:eastAsia="Times New Roman" w:hAnsi="Times New Roman"/>
          <w:sz w:val="16"/>
          <w:szCs w:val="16"/>
          <w:color w:val="auto"/>
        </w:rPr>
        <w:t>Section 2(a)(12) of the Sarbanes-Oxley Act), (ii) to the Knowledge of Gem, “independent” with respect to Gem within the meaning of Regulation S-X under the Exchange Act and (iii) to the Knowledge of Gem, in compliance with subsections (g) through (l) of Section 10A of the Exchange Act and the rules and regulations promulgated by the SEC and the Public Company Accounting Oversight Board thereunder.</w:t>
      </w:r>
    </w:p>
    <w:p>
      <w:pPr>
        <w:spacing w:after="0" w:line="70" w:lineRule="exact"/>
        <w:rPr>
          <w:sz w:val="20"/>
          <w:szCs w:val="20"/>
          <w:color w:val="auto"/>
        </w:rPr>
      </w:pPr>
    </w:p>
    <w:p>
      <w:pPr>
        <w:ind w:left="1" w:right="340" w:firstLine="1253"/>
        <w:spacing w:after="0" w:line="276" w:lineRule="auto"/>
        <w:tabs>
          <w:tab w:leader="none" w:pos="147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4.7(f) of the Gem Disclosure Schedule, Gem is in compliance in all material respects with the applicable provisions of the Sarbanes-Oxley Act and the applicable listing and governance rules and regulations of Nasdaq.</w:t>
      </w:r>
    </w:p>
    <w:p>
      <w:pPr>
        <w:spacing w:after="0" w:line="49" w:lineRule="exact"/>
        <w:rPr>
          <w:rFonts w:ascii="Times New Roman" w:cs="Times New Roman" w:eastAsia="Times New Roman" w:hAnsi="Times New Roman"/>
          <w:sz w:val="16"/>
          <w:szCs w:val="16"/>
          <w:color w:val="auto"/>
        </w:rPr>
      </w:pPr>
    </w:p>
    <w:p>
      <w:pPr>
        <w:ind w:left="1" w:right="140" w:firstLine="1253"/>
        <w:spacing w:after="0" w:line="286" w:lineRule="auto"/>
        <w:tabs>
          <w:tab w:leader="none" w:pos="147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have been no formal internal investigations regarding financial reporting or accounting policies and practices discussed with, reviewed by or initiated at the direction of the chief executive officer or chief financial officer of Gem, the Gem Board or any committee thereof, other than ordinary course audits or reviews of accounting policies and practices or internal controls required by the Sarbanes-Oxley Act.</w:t>
      </w:r>
    </w:p>
    <w:p>
      <w:pPr>
        <w:spacing w:after="0" w:line="45" w:lineRule="exact"/>
        <w:rPr>
          <w:rFonts w:ascii="Times New Roman" w:cs="Times New Roman" w:eastAsia="Times New Roman" w:hAnsi="Times New Roman"/>
          <w:sz w:val="15"/>
          <w:szCs w:val="15"/>
          <w:color w:val="auto"/>
        </w:rPr>
      </w:pPr>
    </w:p>
    <w:p>
      <w:pPr>
        <w:ind w:left="1" w:firstLine="1253"/>
        <w:spacing w:after="0" w:line="251" w:lineRule="auto"/>
        <w:tabs>
          <w:tab w:leader="none" w:pos="145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designed to provide reasonable assurance (i) that Gem maintains records that in reasonable detail accurately and fairly reflect Gem’s transactions and dispositions of assets, (ii) that transactions are recorded as necessary to permit preparation of financial statements in accordance with GAAP, (iii) that receipts and expenditures are made only in accordance with authorizations of management and the Gem Board and (iv) regarding prevention or timely detection of the unauthorized acquisition, use or disposition of Gem’s assets that could have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9641"/>
          </w:cols>
          <w:pgMar w:left="1119" w:top="253" w:right="1139" w:bottom="1440" w:gutter="0" w:footer="0" w:header="0"/>
        </w:sectPr>
      </w:pPr>
    </w:p>
    <w:bookmarkStart w:id="68" w:name="page69"/>
    <w:bookmarkEnd w:id="68"/>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material effect on Gem’s financial statements. Gem has evaluated the effectiveness of Gem’s internal control over financial reporting and, to the extent required by applicable Law, presented in any applicable Gem SEC Document that is a report on Form 10-K or Form 10-Q (or any amendment thereto) its conclusions about the effectiveness of the internal control over financial reporting as of the end of the period covered by such report or amendment based on such evaluation. Since the Gem Effective Date, Gem has not identified any material weaknesses in the design of operation of Gem’s internal control over financial reporting.</w:t>
      </w:r>
    </w:p>
    <w:p>
      <w:pPr>
        <w:spacing w:after="0" w:line="67" w:lineRule="exact"/>
        <w:rPr>
          <w:sz w:val="20"/>
          <w:szCs w:val="20"/>
          <w:color w:val="auto"/>
        </w:rPr>
      </w:pPr>
    </w:p>
    <w:p>
      <w:pPr>
        <w:ind w:firstLine="1253"/>
        <w:spacing w:after="0" w:line="256" w:lineRule="auto"/>
        <w:tabs>
          <w:tab w:leader="none" w:pos="147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Gem’s “disclosure controls and procedures” (as defined in Rules 13a-15(e) and 15d-15(e) of the Exchange Act) are reasonably designed to ensure that all information (both financial and non-financial) required to be disclosed by Gem in the reports that it files or submits under the Exchange Act is recorded, processed, summarized and reported within the time periods specified in the rules and forms of the SEC, and that all such information is accumulated and communicated to Gem’s management as appropriate.</w:t>
      </w:r>
    </w:p>
    <w:p>
      <w:pPr>
        <w:spacing w:after="0" w:line="64" w:lineRule="exact"/>
        <w:rPr>
          <w:sz w:val="20"/>
          <w:szCs w:val="20"/>
          <w:color w:val="auto"/>
        </w:rPr>
      </w:pPr>
    </w:p>
    <w:p>
      <w:pPr>
        <w:ind w:right="60" w:firstLine="869"/>
        <w:spacing w:after="0" w:line="253"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Except as set forth on Section 4.8 of the Gem Disclosure Schedule, between December 31, 2021 and the date of this Agreement, Gem has conducted its business only in the Ordinary Course of Business (except for the execution and performance of this Agreement and the discussions, negotiations and transactions related thereto) and there has not been any (a) Gem Material Adverse Effect or an event or development that would, individually or in the aggregate, reasonably be expected to have a Gem Material Adverse Effect or (b) action, event or occurrence that would have required consent of the Company pursuant to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of this Agreement had such action, event or occurrence taken place after the execution and delivery of this Agreement.</w:t>
      </w:r>
    </w:p>
    <w:p>
      <w:pPr>
        <w:spacing w:after="0" w:line="68" w:lineRule="exact"/>
        <w:rPr>
          <w:sz w:val="20"/>
          <w:szCs w:val="20"/>
          <w:color w:val="auto"/>
        </w:rPr>
      </w:pPr>
    </w:p>
    <w:p>
      <w:pPr>
        <w:ind w:right="16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Absence of Undisclosed Liabilities</w:t>
      </w:r>
      <w:r>
        <w:rPr>
          <w:rFonts w:ascii="Times New Roman" w:cs="Times New Roman" w:eastAsia="Times New Roman" w:hAnsi="Times New Roman"/>
          <w:sz w:val="16"/>
          <w:szCs w:val="16"/>
          <w:color w:val="auto"/>
        </w:rPr>
        <w:t>. Neither Gem nor any of its Subsidiaries has any Liability of a type required to be reflected or reserved for on a balance sheet prepared in accordance with GAAP, except for: (a) Liabilities disclosed, reflected or reserved against in the Gem Unaudited Interim Balance Sheet, (b) normal and recurring current Liabilities that have been incurred by Gem or its Subsidiaries since the date of the Gem Unaudited Interim Balance Sheet in the Ordinary Course of Business (none of which relates to any breach of contract, breach of warranty, tort, infringement, or violation of Law), (c) Liabilities for performance of obligations of Gem or any of its Subsidiaries under Gem Contracts, and (d) Liabilities described in Section 4.9 of the Gem Disclosure Schedule.</w:t>
      </w:r>
    </w:p>
    <w:p>
      <w:pPr>
        <w:spacing w:after="0" w:line="7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Title to Assets</w:t>
      </w:r>
      <w:r>
        <w:rPr>
          <w:rFonts w:ascii="Times New Roman" w:cs="Times New Roman" w:eastAsia="Times New Roman" w:hAnsi="Times New Roman"/>
          <w:sz w:val="16"/>
          <w:szCs w:val="16"/>
          <w:color w:val="auto"/>
        </w:rPr>
        <w:t>. Each of Gem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Gem Unaudited Interim Balance Sheet and (b) all other assets reflected in the books and records of Gem as being owned by Gem. All of such assets are owned or, in the case of leased assets, leased by Gem or any of its Subsidiaries free and clear of any Encumbrances, other than Permitted Encumbrances.</w:t>
      </w:r>
    </w:p>
    <w:p>
      <w:pPr>
        <w:spacing w:after="0" w:line="67"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Real Property; Leasehold</w:t>
      </w:r>
      <w:r>
        <w:rPr>
          <w:rFonts w:ascii="Times New Roman" w:cs="Times New Roman" w:eastAsia="Times New Roman" w:hAnsi="Times New Roman"/>
          <w:sz w:val="16"/>
          <w:szCs w:val="16"/>
          <w:color w:val="auto"/>
        </w:rPr>
        <w:t>. Neither Gem nor any of its Subsidiaries owns or has ever owned any real property. Gem has made available to the Company (a) an accurate and complete list of all real properties with respect to which Gem directly or indirectly holds a valid leasehold interest as well as any other real estate that is in the possession of or leased by Gem or any of its Subsidiaries and (b) copies of all leases under which any such real property is possessed (the “</w:t>
      </w:r>
      <w:r>
        <w:rPr>
          <w:rFonts w:ascii="Times New Roman" w:cs="Times New Roman" w:eastAsia="Times New Roman" w:hAnsi="Times New Roman"/>
          <w:sz w:val="16"/>
          <w:szCs w:val="16"/>
          <w:b w:val="1"/>
          <w:bCs w:val="1"/>
          <w:color w:val="auto"/>
        </w:rPr>
        <w:t>Gem Real Estate Leases</w:t>
      </w:r>
      <w:r>
        <w:rPr>
          <w:rFonts w:ascii="Times New Roman" w:cs="Times New Roman" w:eastAsia="Times New Roman" w:hAnsi="Times New Roman"/>
          <w:sz w:val="16"/>
          <w:szCs w:val="16"/>
          <w:color w:val="auto"/>
        </w:rPr>
        <w:t>”), each of which is in full force and effect, with no existing material default thereunder.</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9580"/>
          </w:cols>
          <w:pgMar w:left="1120" w:top="253" w:right="1199" w:bottom="1440" w:gutter="0" w:footer="0" w:header="0"/>
        </w:sectPr>
      </w:pPr>
    </w:p>
    <w:bookmarkStart w:id="69" w:name="page70"/>
    <w:bookmarkEnd w:id="69"/>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4.12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20" w:firstLine="1253"/>
        <w:spacing w:after="0" w:line="256" w:lineRule="auto"/>
        <w:tabs>
          <w:tab w:leader="none" w:pos="14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4.12(a) of the Gem Disclosure Schedule is an accurate and complete listing of all Gem Registered IP, in each case enumerating specifically the applicable filing or registration number, title, jurisdiction in which filing was made or from which registration issued, date of filing or issuance, and names of all current registered owners(s), as applicable, or in the case of domain names or social media accounts, the URL or social media account, the registrar or social media company and the date on which such URL or social media account expires (if any).</w:t>
      </w:r>
    </w:p>
    <w:p>
      <w:pPr>
        <w:spacing w:after="0" w:line="66" w:lineRule="exact"/>
        <w:rPr>
          <w:rFonts w:ascii="Times New Roman" w:cs="Times New Roman" w:eastAsia="Times New Roman" w:hAnsi="Times New Roman"/>
          <w:sz w:val="16"/>
          <w:szCs w:val="16"/>
          <w:color w:val="auto"/>
        </w:rPr>
      </w:pPr>
    </w:p>
    <w:p>
      <w:pPr>
        <w:ind w:right="60" w:firstLine="1253"/>
        <w:spacing w:after="0" w:line="251" w:lineRule="auto"/>
        <w:tabs>
          <w:tab w:leader="none" w:pos="147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4.12(b) of the Gem Disclosure Schedule accurately sets forth (i) all material Gem Contracts pursuant to which Gem IP Rights are licensed to Gem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Gem products or services, (B) any Intellectual Property licensed on a non-exclusive basis ancillary to the purchase or use of equipment, reagents or other materials, (C) any confidential information provided under confidentiality agreements and (D) agreements between Gem and its employees in Gem’s standard form thereof), (ii) the corresponding Company Contract pursuant to which such Company IP Rights are licensed to the Company or any of its Subsidiaries and (iii) whether the license or licenses granted to Gem are exclusive or non-exclusive.</w:t>
      </w:r>
    </w:p>
    <w:p>
      <w:pPr>
        <w:spacing w:after="0" w:line="69" w:lineRule="exact"/>
        <w:rPr>
          <w:rFonts w:ascii="Times New Roman" w:cs="Times New Roman" w:eastAsia="Times New Roman" w:hAnsi="Times New Roman"/>
          <w:sz w:val="16"/>
          <w:szCs w:val="16"/>
          <w:color w:val="auto"/>
        </w:rPr>
      </w:pPr>
    </w:p>
    <w:p>
      <w:pPr>
        <w:ind w:firstLine="1253"/>
        <w:spacing w:after="0" w:line="254" w:lineRule="auto"/>
        <w:tabs>
          <w:tab w:leader="none" w:pos="14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4.12(c) of the Gem Disclosure Schedule accurately sets forth each Gem Contract pursuant to which any Person has been granted any license or covenant not to sue under, or otherwise has received or acquired any right (whether or not currently exercisable) or interest in, any Gem IP Rights (other than (i) any confidential information provided under confidentiality agreements and (ii) any Gem IP Rights non-exclusively licensed to academic collaborators, suppliers or service providers for the sole purpose of enabling such academic collaborator, supplier or service providers to provide services for Gem’s benefit).</w:t>
      </w:r>
    </w:p>
    <w:p>
      <w:pPr>
        <w:spacing w:after="0" w:line="67"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Gem has delivered, or made available to the Company, a complete and accurate copy of all material Gem IP Rights Agreements.</w:t>
      </w:r>
    </w:p>
    <w:p>
      <w:pPr>
        <w:spacing w:after="0" w:line="111" w:lineRule="exact"/>
        <w:rPr>
          <w:rFonts w:ascii="Times New Roman" w:cs="Times New Roman" w:eastAsia="Times New Roman" w:hAnsi="Times New Roman"/>
          <w:sz w:val="15"/>
          <w:szCs w:val="15"/>
          <w:color w:val="auto"/>
        </w:rPr>
      </w:pPr>
    </w:p>
    <w:p>
      <w:pPr>
        <w:ind w:right="120" w:firstLine="1253"/>
        <w:spacing w:after="0" w:line="252" w:lineRule="auto"/>
        <w:tabs>
          <w:tab w:leader="none" w:pos="14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manufacture, marketing, license, offering for sale, sale, importation, use or intended use or other disposal of any product or technology as currently licensed or sold or under development by Gem does not violate any license or agreement between Gem any third party and, to the Knowledge of Gem, does not infringe, misappropriate or otherwise violate any Intellectual Property of any other Person, other than any Gem Intellectual Property licensed to Company by any other Person. To the Knowledge of Gem, no third party is infringing, misappropriating or otherwise violating any Intellectual Property owned by Gem within the Gem IP Rights, or breaching any license or agreement with Gem relating to any Gem IP Rights.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9640"/>
          </w:cols>
          <w:pgMar w:left="1120" w:top="253" w:right="1139" w:bottom="1440" w:gutter="0" w:footer="0" w:header="0"/>
        </w:sectPr>
      </w:pPr>
    </w:p>
    <w:bookmarkStart w:id="70" w:name="page71"/>
    <w:bookmarkEnd w:id="70"/>
    <w:p>
      <w:pPr>
        <w:ind w:left="1" w:right="20" w:firstLine="1253"/>
        <w:spacing w:after="0" w:line="251" w:lineRule="auto"/>
        <w:tabs>
          <w:tab w:leader="none" w:pos="145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As of the date of this Agreement, Gem is not a party to any Legal Proceeding (including, but not limited to, opposition, interference or other proceeding in any patent or other government office) contesting the validity, ownership or right to use, sell, offer for sale, license or dispose of any Gem Registered IP. Gem has not received any written notice asserting that any Gem Registered IP or the proposed use, sale, offer for sale, license or disposition of any products, methods, or processes claimed or covered thereunder conflicts with or infringes, misappropriates or otherwise violates the rights of any other Person or that Gem or any of its Subsidiaries have otherwise infringed, misappropriated or otherwise violated any Intellectual Property of any Person. None of the Gem IP Rights is subject to any outstanding Order of or agreement with any Governmental Authority or arbitrator that limits the ability of Gem to exploit any IP Rights.</w:t>
      </w:r>
    </w:p>
    <w:p>
      <w:pPr>
        <w:spacing w:after="0" w:line="72" w:lineRule="exact"/>
        <w:rPr>
          <w:rFonts w:ascii="Times New Roman" w:cs="Times New Roman" w:eastAsia="Times New Roman" w:hAnsi="Times New Roman"/>
          <w:sz w:val="16"/>
          <w:szCs w:val="16"/>
          <w:color w:val="auto"/>
        </w:rPr>
      </w:pPr>
    </w:p>
    <w:p>
      <w:pPr>
        <w:jc w:val="both"/>
        <w:ind w:left="1" w:right="200" w:firstLine="1253"/>
        <w:spacing w:after="0" w:line="286" w:lineRule="auto"/>
        <w:tabs>
          <w:tab w:leader="none" w:pos="1479"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item of Gem IP Rights that is Gem Registered IP is and at all times has been filed and maintained in compliance with all applicable Law and all filings, payments, and other actions required to be made or taken to maintain such item of Gem Registered IP in full force and effect have been made by the applicable deadline. To the Knowledge of Gem, all Gem Registered IP that is issued or granted is valid and enforceable.</w:t>
      </w:r>
    </w:p>
    <w:p>
      <w:pPr>
        <w:spacing w:after="0" w:line="45" w:lineRule="exact"/>
        <w:rPr>
          <w:rFonts w:ascii="Times New Roman" w:cs="Times New Roman" w:eastAsia="Times New Roman" w:hAnsi="Times New Roman"/>
          <w:sz w:val="15"/>
          <w:szCs w:val="15"/>
          <w:color w:val="auto"/>
        </w:rPr>
      </w:pPr>
    </w:p>
    <w:p>
      <w:pPr>
        <w:ind w:left="1" w:right="60" w:firstLine="1253"/>
        <w:spacing w:after="0" w:line="254" w:lineRule="auto"/>
        <w:tabs>
          <w:tab w:leader="none" w:pos="147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Gem, no trademark (whether registered or unregistered) or trade name owned, used, or applied for by Gem conflicts or interferes with any trademark (whether registered or unregistered) or trade name owned, used, or applied for by any other Person except as would not have a Gem Material Adverse Effect. None of the goodwill associated with or inherent in any trademark (whether registered or unregistered) in which Gem has or purports to have an ownership interest has been impaired as determined by Gem in accordance with GAAP. Gem has not granted any license under any trademark or trade name owned or purported to be owned by Gem.</w:t>
      </w:r>
    </w:p>
    <w:p>
      <w:pPr>
        <w:spacing w:after="0" w:line="67" w:lineRule="exact"/>
        <w:rPr>
          <w:rFonts w:ascii="Times New Roman" w:cs="Times New Roman" w:eastAsia="Times New Roman" w:hAnsi="Times New Roman"/>
          <w:sz w:val="16"/>
          <w:szCs w:val="16"/>
          <w:color w:val="auto"/>
        </w:rPr>
      </w:pPr>
    </w:p>
    <w:p>
      <w:pPr>
        <w:ind w:left="1" w:firstLine="1253"/>
        <w:spacing w:after="0" w:line="252" w:lineRule="auto"/>
        <w:tabs>
          <w:tab w:leader="none" w:pos="144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may be set forth in the Contracts listed on Section 4.12(b) or 4.12(c) of the Gem Disclosure Schedule or as contained in license, distribution and service agreements entered into in the Ordinary Course of Business by Gem (i) Gem is not bound by any Contract to indemnify, defend, hold harmless, or reimburse any other Person with respect to any Intellectual Property infringement, misappropriation, or similar claim which is material to Gem taken as a whole and (ii) Gem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69"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u w:val="single" w:color="auto"/>
          <w:color w:val="auto"/>
        </w:rPr>
        <w:t>Agreements, Contracts and Commitments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Section 4.13 of the Gem Disclosure Schedule identifies each Gem Contract that is in effect as of the date of this Agreement and is (a) a material contract as defined in Item 601(b)(10) of Regulation S-K as promulgated under the Securities Act,</w:t>
      </w:r>
    </w:p>
    <w:p>
      <w:pPr>
        <w:spacing w:after="0" w:line="1" w:lineRule="exact"/>
        <w:rPr>
          <w:sz w:val="20"/>
          <w:szCs w:val="20"/>
          <w:color w:val="auto"/>
        </w:rPr>
      </w:pPr>
    </w:p>
    <w:p>
      <w:pPr>
        <w:ind w:left="1" w:right="80" w:hanging="1"/>
        <w:spacing w:after="0" w:line="247" w:lineRule="auto"/>
        <w:tabs>
          <w:tab w:leader="none" w:pos="22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 to which Gem is a party or by which any of its assets and properties is currently bound, which require obligations of payment by, or payments to, Gem in excess of $250,000, (c) a Contract that is not terminable with 90 days’ notice or less and without the need to pay any termination fee, (d) a Contract disclosed in or required to be disclosed in Section 4.12(b) or Section 4.12(c) of the Gem Disclosure Schedule, (e) a Contract containing (A) any covenant limiting the freedom of Gem, its Subsidiaries or the Surviving Corporation to engage in any line of business or compete with any Person, or limiting the development, manufacture or distribution of the Gem’s products or services or (B) any grant of any option to any Intellectual Property rights, (f) a Contract with any Person, including any financial advisor, broker, finder, investment banker or other Person, providing advisory services to Gem or its Subsidiaries in connection with the Contemplated Transactions, (g) a Contract under which a third party would be entitled to receive a license or have any other rights in Intellectual Property of the Company,</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9641"/>
          </w:cols>
          <w:pgMar w:left="1119" w:top="253" w:right="1139" w:bottom="1440" w:gutter="0" w:footer="0" w:header="0"/>
        </w:sectPr>
      </w:pPr>
    </w:p>
    <w:bookmarkStart w:id="71" w:name="page72"/>
    <w:bookmarkEnd w:id="71"/>
    <w:p>
      <w:pPr>
        <w:ind w:left="1" w:right="2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Gem or any of their Subsidiaries at the time of or immediately after the Effective Time, (h) a Contract which would give rise to or otherwise result in proxy statement disclosure pursuant to Item 404 of Regulation S-K (assuming the Company was subject to the requirements of the Exchange Act, or</w:t>
      </w:r>
    </w:p>
    <w:p>
      <w:pPr>
        <w:ind w:left="1" w:hanging="1"/>
        <w:spacing w:after="0" w:line="247" w:lineRule="auto"/>
        <w:tabs>
          <w:tab w:leader="none" w:pos="18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 plan, program, or policy providing for severance, termination compensation, retention or stay pay, change in control payments, or transaction-based bonuses. Gem has delivered or made available to the Company accurate and complete copies of all Contracts to which Gem or any of its Subsidiaries is a party or by which it is bound of the type described in clauses (a)-(c) of the immediately preceding sentence (any such Contract, a “</w:t>
      </w:r>
      <w:r>
        <w:rPr>
          <w:rFonts w:ascii="Times New Roman" w:cs="Times New Roman" w:eastAsia="Times New Roman" w:hAnsi="Times New Roman"/>
          <w:sz w:val="16"/>
          <w:szCs w:val="16"/>
          <w:b w:val="1"/>
          <w:bCs w:val="1"/>
          <w:color w:val="auto"/>
        </w:rPr>
        <w:t>Gem Material Contract</w:t>
      </w:r>
      <w:r>
        <w:rPr>
          <w:rFonts w:ascii="Times New Roman" w:cs="Times New Roman" w:eastAsia="Times New Roman" w:hAnsi="Times New Roman"/>
          <w:sz w:val="16"/>
          <w:szCs w:val="16"/>
          <w:color w:val="auto"/>
        </w:rPr>
        <w:t>”), including all amendments thereto. Gem has not nor, to Gem’s Knowledge as of the date of this Agreement, has any other party to a Gem Material Contract, breached, violated or defaulted under, or received notice that it breached, violated or defaulted under, any of the terms or conditions of any Gem Material Contract in such manner as would permit any other party to cancel or terminate any such Gem Material Contract, or would permit any other party to seek damages which would reasonably be expected to have a Gem Material Adverse Effect. As to Gem, as of the date of this Agreement, each Gem Material Contract is valid, binding, enforceable and in full force and effect, subject to the Enforceability Exceptions. No Person is renegotiating, or has a right pursuant to the terms of any Gem Material Contract to change, any material amount paid or payable to Gem under any Gem Material Contract or any other material term or provision of any Gem Material Contract.</w:t>
      </w:r>
    </w:p>
    <w:p>
      <w:pPr>
        <w:spacing w:after="0" w:line="76"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Compliance; Permits; Restrictions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firstLine="1253"/>
        <w:spacing w:after="0" w:line="251" w:lineRule="auto"/>
        <w:tabs>
          <w:tab w:leader="none" w:pos="14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and each of its Subsidiaries is, and since the Gem Effective Date, has been in material compliance with all applicable Laws. No investigation, claim, suit, proceeding, audit, Order, or other action by any Governmental Authority is pending or, to the Knowledge of Gem, threatened against Gem or any of its Subsidiaries. There is no agreement or Order binding upon Gem or any of its Subsidiaries which (i) has or could reasonably be expected to have the effect of prohibiting or materially impairing any business practice of Gem, any acquisition of material property by Gem or any of its Subsidiaries or the conduct of business by Gem or any of its Subsidiaries as currently conducted, (ii) is reasonably likely to have an adverse effect on Gem’s ability to comply with or perform any covenant or obligation under this Agreement or (iii) is reasonably likely to have the effect of preventing, delaying, making illegal or otherwise interfering with the Contemplated Transactions.</w:t>
      </w:r>
    </w:p>
    <w:p>
      <w:pPr>
        <w:spacing w:after="0" w:line="72" w:lineRule="exact"/>
        <w:rPr>
          <w:rFonts w:ascii="Times New Roman" w:cs="Times New Roman" w:eastAsia="Times New Roman" w:hAnsi="Times New Roman"/>
          <w:sz w:val="16"/>
          <w:szCs w:val="16"/>
          <w:color w:val="auto"/>
        </w:rPr>
      </w:pPr>
    </w:p>
    <w:p>
      <w:pPr>
        <w:ind w:left="1" w:right="60" w:firstLine="1253"/>
        <w:spacing w:after="0" w:line="272" w:lineRule="auto"/>
        <w:tabs>
          <w:tab w:leader="none" w:pos="1479"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Gem and its Subsidiaries holds all required Governmental Authorizations that are material to the operation of the business of Gem and Merger Sub as currently conducted (collectively, the “</w:t>
      </w:r>
      <w:r>
        <w:rPr>
          <w:rFonts w:ascii="Times New Roman" w:cs="Times New Roman" w:eastAsia="Times New Roman" w:hAnsi="Times New Roman"/>
          <w:sz w:val="15"/>
          <w:szCs w:val="15"/>
          <w:b w:val="1"/>
          <w:bCs w:val="1"/>
          <w:color w:val="auto"/>
        </w:rPr>
        <w:t>Gem Permits</w:t>
      </w:r>
      <w:r>
        <w:rPr>
          <w:rFonts w:ascii="Times New Roman" w:cs="Times New Roman" w:eastAsia="Times New Roman" w:hAnsi="Times New Roman"/>
          <w:sz w:val="15"/>
          <w:szCs w:val="15"/>
          <w:color w:val="auto"/>
        </w:rPr>
        <w:t>”). Section 4.14(b) of the Gem Disclosure Schedule identifies each Gem Permit. Each of Gem and its Subsidiaries is in material compliance with the terms of the Gem Permits. No Legal Proceeding is pending or, to the Knowledge of Gem, threatened in writing, which seeks to revoke, substantially limit, suspend, or materially modify any Gem Permit. The rights and benefits of each Gem Permit will be available to Gem and Surviving Corporation immediately after the Effective Time on terms substantially identical to those enjoyed by Gem and its Subsidiaries as of the date of this Agreement and immediately prior to the Effective Time.</w:t>
      </w:r>
    </w:p>
    <w:p>
      <w:pPr>
        <w:spacing w:after="0" w:line="57" w:lineRule="exact"/>
        <w:rPr>
          <w:rFonts w:ascii="Times New Roman" w:cs="Times New Roman" w:eastAsia="Times New Roman" w:hAnsi="Times New Roman"/>
          <w:sz w:val="15"/>
          <w:szCs w:val="15"/>
          <w:color w:val="auto"/>
        </w:rPr>
      </w:pPr>
    </w:p>
    <w:p>
      <w:pPr>
        <w:ind w:left="1" w:firstLine="1253"/>
        <w:spacing w:after="0" w:line="261" w:lineRule="auto"/>
        <w:tabs>
          <w:tab w:leader="none" w:pos="14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Legal Proceedings pending or, to the Knowledge of Gem, threatened with respect to an alleged material violation by Gem or any of its Subsidiaries of the FDCA, PHSA, FDA regulations adopted thereunder, the Controlled Substances Act or any other similar Law promulgated by a Drug Regulatory Agency.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9641"/>
          </w:cols>
          <w:pgMar w:left="1119" w:top="253" w:right="1139" w:bottom="1440" w:gutter="0" w:footer="0" w:header="0"/>
        </w:sectPr>
      </w:pPr>
    </w:p>
    <w:bookmarkStart w:id="72" w:name="page73"/>
    <w:bookmarkEnd w:id="72"/>
    <w:p>
      <w:pPr>
        <w:ind w:left="1" w:firstLine="1253"/>
        <w:spacing w:after="0" w:line="264" w:lineRule="auto"/>
        <w:tabs>
          <w:tab w:leader="none" w:pos="1479"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Each of Gem and its Subsidiaries holds all required Governmental Authorizations issuable by any Drug Regulatory Agency necessary for the conduct of the business of Gem and Merger Sub as currently conducted, and, as applicable, the development, testing, manufacturing, processing, storage, labeling, distribution and importation or exportation, as currently conducted, of any of its product candidates (the “</w:t>
      </w:r>
      <w:r>
        <w:rPr>
          <w:rFonts w:ascii="Times New Roman" w:cs="Times New Roman" w:eastAsia="Times New Roman" w:hAnsi="Times New Roman"/>
          <w:sz w:val="15"/>
          <w:szCs w:val="15"/>
          <w:b w:val="1"/>
          <w:bCs w:val="1"/>
          <w:color w:val="auto"/>
        </w:rPr>
        <w:t>Gem Product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Candidates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Gem Regulatory Permits</w:t>
      </w:r>
      <w:r>
        <w:rPr>
          <w:rFonts w:ascii="Times New Roman" w:cs="Times New Roman" w:eastAsia="Times New Roman" w:hAnsi="Times New Roman"/>
          <w:sz w:val="15"/>
          <w:szCs w:val="15"/>
          <w:color w:val="auto"/>
        </w:rPr>
        <w:t>”) and no such Gem Regulatory Permit has been (i) revoked, withdrawn, suspended, cancelled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terminated or (ii) modified in any adverse manner other than immaterial adverse modifications. Gem has timely maintained and is in compliance in all material respects with the Gem Regulatory Permits and neither Gem nor or any of its Subsidiaries has, since the Gem Effective Date, received any written notice or other written communication from any Drug Regulatory Agency regarding (A) any material violation of or failure to comply materially with any term or requirement of any Gem Regulatory Permit or (B) any revocation, withdrawal, suspension, cancellation, termination or material modification of any Gem Regulatory Permit. Except for the information and files identified in Section 4.14(d) of the Gem Disclosure Schedule, Gem has made available to the Company all information reasonably requested by the Company in Gem’s or its Subsidiaries’ possession or control relating to the Gem Product Candidates and the development, testing, manufacturing, processing, storage, labeling, distribution and importation or exportation of the Gem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w:t>
      </w:r>
    </w:p>
    <w:p>
      <w:pPr>
        <w:spacing w:after="0" w:line="9" w:lineRule="exact"/>
        <w:rPr>
          <w:rFonts w:ascii="Times New Roman" w:cs="Times New Roman" w:eastAsia="Times New Roman" w:hAnsi="Times New Roman"/>
          <w:sz w:val="15"/>
          <w:szCs w:val="15"/>
          <w:color w:val="auto"/>
        </w:rPr>
      </w:pPr>
    </w:p>
    <w:p>
      <w:pPr>
        <w:ind w:left="1" w:right="180" w:hanging="1"/>
        <w:spacing w:after="0" w:line="253" w:lineRule="auto"/>
        <w:tabs>
          <w:tab w:leader="none" w:pos="22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reports, material study data, notices, letters, filings, correspondence and meeting minutes with any other Governmental Authority. All such information are accurate and complete in all material respects.</w:t>
      </w:r>
    </w:p>
    <w:p>
      <w:pPr>
        <w:spacing w:after="0" w:line="67" w:lineRule="exact"/>
        <w:rPr>
          <w:rFonts w:ascii="Times New Roman" w:cs="Times New Roman" w:eastAsia="Times New Roman" w:hAnsi="Times New Roman"/>
          <w:sz w:val="16"/>
          <w:szCs w:val="16"/>
          <w:color w:val="auto"/>
        </w:rPr>
      </w:pPr>
    </w:p>
    <w:p>
      <w:pPr>
        <w:ind w:left="1" w:right="20" w:firstLine="1253"/>
        <w:spacing w:after="0" w:line="249" w:lineRule="auto"/>
        <w:tabs>
          <w:tab w:leader="none" w:pos="147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clinical, pre-clinical and other studies and tests conducted by or on behalf of, or sponsored by, Gem or its Subsidiaries, in which Gem or its subsidiaries or their respective product candidates, including the Gem Product Candidates, have participated were and, if still pending, are being conducted in all material respects in accordance with standard medical and scientific research procedures, in material compliance with the applicable protocols, and in compliance in all material respects with the applicable regulations of the Drug Regulatory Agencies and other applicable Law, including, without limitation, 21 C.F.R. Parts 50, 54, 56, 58 and 312. Other than as set forth on Section 4.14(e) of the Gem Disclosure Schedule, neither Gem nor any of its Subsidiaries has received any written notices, correspondence, or other communications from any Drug Regulatory Agency requiring or, to the Knowledge of Gem, any action to place a clinical hold order on, or otherwise terminate, delay, or suspend any clinical studies conducted by or on behalf of, or sponsored by, Gem or any of its Subsidiaries or in which Gem or any of its Subsidiaries or its current product candidates, including the Gem Product Candidates, have participated. Further, no clinical investigator, researcher, or clinical staff participating in any clinical study conducted by or, to the Knowledge of Gem, on behalf of Gem has been disqualified from participating in studies involving the Gem Product Candidates, and to the Knowledge of Gem, no such administrative action to disqualify such clinical investigators, researchers or clinical staff has been threatened or is pending.</w:t>
      </w:r>
    </w:p>
    <w:p>
      <w:pPr>
        <w:spacing w:after="0" w:line="74" w:lineRule="exact"/>
        <w:rPr>
          <w:rFonts w:ascii="Times New Roman" w:cs="Times New Roman" w:eastAsia="Times New Roman" w:hAnsi="Times New Roman"/>
          <w:sz w:val="16"/>
          <w:szCs w:val="16"/>
          <w:color w:val="auto"/>
        </w:rPr>
      </w:pPr>
    </w:p>
    <w:p>
      <w:pPr>
        <w:ind w:left="1" w:firstLine="1253"/>
        <w:spacing w:after="0" w:line="256" w:lineRule="auto"/>
        <w:tabs>
          <w:tab w:leader="none" w:pos="1453"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to the Knowledge of Gem, any contract manufacturer with respect to any Gem Product Candidate is the subject of any pending or, to the Knowledge of Gem, threatened investigation in respect of its business or products by the FDA pursuant to its “Fraud, Untrue Statements of Material Facts, Bribery, and Illegal Gratuities” Final Policy set forth in 56 Fed. Reg. 46191 (September 10, 1991) and any amendments thereto. To</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9621"/>
          </w:cols>
          <w:pgMar w:left="1119" w:top="253" w:right="1159" w:bottom="1440" w:gutter="0" w:footer="0" w:header="0"/>
        </w:sectPr>
      </w:pPr>
    </w:p>
    <w:bookmarkStart w:id="73" w:name="page74"/>
    <w:bookmarkEnd w:id="73"/>
    <w:p>
      <w:pPr>
        <w:ind w:right="6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Knowledge of Gem, Gem and any contract manufacturer with respect to any Gem Product Candidate has not committed any acts, made any statement, or failed to make any statement, in each case in respect of its business or products that would violate FDA’s “Fraud, Untrue Statements of Material Facts, Bribery, and Illegal Gratuities” Final Policy, and any amendments thereto. None of Gem, and, to the Knowledge of Gem, any contract manufacturer with respect to any Gem Product Candidate, or any of their respective officers, directors, employees or agents has been convicted of any crime or engaged in any conduct that could result in a material debarment or exclusion under (i) 21 U.S.C. Section 335a or (ii) any similar applicable Law, or is or has ever been debarred or excluded. To the Knowledge of Gem, no material debarment or exclusionary claims, actions, proceedings or investigations in respect of their business or products are pending or threatened against Gem, and to the Knowledge of Gem, any contract manufacturer with respect to any Gem Product Candidate, or any of its officers, employees or agents.</w:t>
      </w:r>
    </w:p>
    <w:p>
      <w:pPr>
        <w:spacing w:after="0" w:line="69" w:lineRule="exact"/>
        <w:rPr>
          <w:sz w:val="20"/>
          <w:szCs w:val="20"/>
          <w:color w:val="auto"/>
        </w:rPr>
      </w:pPr>
    </w:p>
    <w:p>
      <w:pPr>
        <w:ind w:right="160" w:firstLine="1253"/>
        <w:spacing w:after="0" w:line="256" w:lineRule="auto"/>
        <w:tabs>
          <w:tab w:leader="none" w:pos="147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manufacturing operations conducted by, or to the Knowledge of Gem, for the benefit of, Gem in connection with any Gem Product Candidate, since the Gem Effective Date,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spacing w:after="0" w:line="66" w:lineRule="exact"/>
        <w:rPr>
          <w:rFonts w:ascii="Times New Roman" w:cs="Times New Roman" w:eastAsia="Times New Roman" w:hAnsi="Times New Roman"/>
          <w:sz w:val="16"/>
          <w:szCs w:val="16"/>
          <w:color w:val="auto"/>
        </w:rPr>
      </w:pPr>
    </w:p>
    <w:p>
      <w:pPr>
        <w:ind w:firstLine="1253"/>
        <w:spacing w:after="0" w:line="275" w:lineRule="auto"/>
        <w:tabs>
          <w:tab w:leader="none" w:pos="1478"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manufacturing site owned by Gem, and to the Knowledge of Gem, no manufacturing site of a contract manufacturer, with respect to any Gem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been complied with or closed to the satisfaction of the relevant Governmental Authority, and, to the Knowledge of Gem, neither the FDA nor any other Governmental Authority is considering such action.</w:t>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Legal Proceedings; Orders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jc w:val="both"/>
        <w:ind w:firstLine="1253"/>
        <w:spacing w:after="0" w:line="256" w:lineRule="auto"/>
        <w:tabs>
          <w:tab w:leader="none" w:pos="146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Section 4.15 of the Gem Disclosure Schedule, there is no pending Legal Proceeding and, to the Knowledge of Gem, no Person has threatened in writing to commence any Legal Proceeding: (i) that involves Gem or any of its Subsidiaries or any Gem Associate (in his or her capacity as such) or any of the material assets owned or used by Gem or any of its Subsidiaries or (ii) that challenges, or that may have the effect of preventing, delaying, making illegal or otherwise interfering with, the Contemplated Transactions.</w:t>
      </w:r>
    </w:p>
    <w:p>
      <w:pPr>
        <w:spacing w:after="0" w:line="66" w:lineRule="exact"/>
        <w:rPr>
          <w:rFonts w:ascii="Times New Roman" w:cs="Times New Roman" w:eastAsia="Times New Roman" w:hAnsi="Times New Roman"/>
          <w:sz w:val="16"/>
          <w:szCs w:val="16"/>
          <w:color w:val="auto"/>
        </w:rPr>
      </w:pPr>
    </w:p>
    <w:p>
      <w:pPr>
        <w:jc w:val="both"/>
        <w:ind w:right="320" w:firstLine="1253"/>
        <w:spacing w:after="0" w:line="256" w:lineRule="auto"/>
        <w:tabs>
          <w:tab w:leader="none" w:pos="147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Order to which Gem or any of its Subsidiaries, or any of the material assets owned or used by Gem or any of its Subsidiaries is subject. To the Knowledge of Gem, no officer or other Key Employee of Gem or any of its Subsidiaries is subject to any Order that prohibits such officer or employee from engaging in or continuing any conduct, activity or practice relating to the business of Gem or any of its Subsidiaries or to any material assets owned or used by Gem or any of its Subsidiaries.</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9600"/>
          </w:cols>
          <w:pgMar w:left="1120" w:top="253" w:right="1179" w:bottom="1440" w:gutter="0" w:footer="0" w:header="0"/>
        </w:sectPr>
      </w:pPr>
    </w:p>
    <w:bookmarkStart w:id="74" w:name="page75"/>
    <w:bookmarkEnd w:id="74"/>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4.16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40" w:firstLine="1253"/>
        <w:spacing w:after="0" w:line="256"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Gem and its Subsidiaries has timely filed all federal income Tax Returns and other material Tax Returns that it was required to file under applicable Law. All such Tax Returns are true, correct and complete in all material respects and have been prepared in material compliance with all applicable Laws. No written claim has ever been made by a Governmental Authority in a jurisdiction where Gem or any of its Subsidiaries does not file Tax Returns that Gem or any such Subsidiary is subject to taxation by that jurisdiction.</w:t>
      </w:r>
    </w:p>
    <w:p>
      <w:pPr>
        <w:spacing w:after="0" w:line="66" w:lineRule="exact"/>
        <w:rPr>
          <w:rFonts w:ascii="Times New Roman" w:cs="Times New Roman" w:eastAsia="Times New Roman" w:hAnsi="Times New Roman"/>
          <w:sz w:val="16"/>
          <w:szCs w:val="16"/>
          <w:color w:val="auto"/>
        </w:rPr>
      </w:pPr>
    </w:p>
    <w:p>
      <w:pPr>
        <w:ind w:right="80" w:firstLine="1253"/>
        <w:spacing w:after="0" w:line="261" w:lineRule="auto"/>
        <w:tabs>
          <w:tab w:leader="none" w:pos="14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Taxes due and owing by Gem and each of its Subsidiaries (whether or not shown on any Tax Return) have been paid. Since the date of the Gem Unaudited Interim Balance Sheet, neither Gem nor any of its Subsidiaries has incurred any material Liability for Taxes outside the Ordinary Course of Business or otherwise inconsistent with past custom and practice.</w:t>
      </w:r>
    </w:p>
    <w:p>
      <w:pPr>
        <w:spacing w:after="0" w:line="62" w:lineRule="exact"/>
        <w:rPr>
          <w:rFonts w:ascii="Times New Roman" w:cs="Times New Roman" w:eastAsia="Times New Roman" w:hAnsi="Times New Roman"/>
          <w:sz w:val="16"/>
          <w:szCs w:val="16"/>
          <w:color w:val="auto"/>
        </w:rPr>
      </w:pPr>
    </w:p>
    <w:p>
      <w:pPr>
        <w:ind w:right="400" w:firstLine="1253"/>
        <w:spacing w:after="0" w:line="276"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Gem and its Subsidiaries has withheld and paid all material Taxes required to have been withheld and paid by it in connection with any amounts paid or owing to any employee, independent contractor, creditor, stockholder, or other third party.</w:t>
      </w:r>
    </w:p>
    <w:p>
      <w:pPr>
        <w:spacing w:after="0" w:line="49"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Encumbrances for Taxes (other than Permitted Encumbrances) upon any of the assets of Gem or any of its</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82" w:lineRule="exact"/>
        <w:rPr>
          <w:rFonts w:ascii="Times New Roman" w:cs="Times New Roman" w:eastAsia="Times New Roman" w:hAnsi="Times New Roman"/>
          <w:sz w:val="16"/>
          <w:szCs w:val="16"/>
          <w:color w:val="auto"/>
        </w:rPr>
      </w:pPr>
    </w:p>
    <w:p>
      <w:pPr>
        <w:ind w:right="20" w:firstLine="1253"/>
        <w:spacing w:after="0" w:line="254"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deficiencies for Taxes with respect to Gem or any of its Subsidiaries have been claimed, proposed or assessed by any Governmental Authority in writing that have not been resolved or settled in full. There are no pending (or, based on written notice, threatened) audits, assessments or other actions for or relating to any liability in respect of Taxes of Gem or any of its Subsidiaries. Neither Gem nor any of its Subsidiaries (nor any of their predecessors) has waived any statute of limitations in respect of Taxes or agreed to any extension of time with respect to a Tax assessment or deficiency, which waiver or extension is currently in effect.</w:t>
      </w:r>
    </w:p>
    <w:p>
      <w:pPr>
        <w:spacing w:after="0" w:line="67" w:lineRule="exact"/>
        <w:rPr>
          <w:rFonts w:ascii="Times New Roman" w:cs="Times New Roman" w:eastAsia="Times New Roman" w:hAnsi="Times New Roman"/>
          <w:sz w:val="16"/>
          <w:szCs w:val="16"/>
          <w:color w:val="auto"/>
        </w:rPr>
      </w:pPr>
    </w:p>
    <w:p>
      <w:pPr>
        <w:ind w:right="140" w:firstLine="1253"/>
        <w:spacing w:after="0" w:line="261" w:lineRule="auto"/>
        <w:tabs>
          <w:tab w:leader="none" w:pos="145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is a party to any Tax allocation, Tax sharing or similar agreement (including indemnity arrangements), other than customary indemnification provisions in commercial contracts not primarily related to Taxes entered into in the Ordinary Course of Business, including with vendors, customers, lenders and landlords.</w:t>
      </w:r>
    </w:p>
    <w:p>
      <w:pPr>
        <w:spacing w:after="0" w:line="62"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has been a member of an affiliated group filing a consolidated U.S. federal income Tax Return (other than a group the common parent of which is Gem). Neither Gem nor any of its Subsidiaries has any material Liability for the Taxes of any Person (other than Gem and any of its Subsidiaries) under Treasury Regulations Section 1.1502-6 (or any similar provision of state, local, or foreign Law) or as a transferee or successor.</w:t>
      </w:r>
    </w:p>
    <w:p>
      <w:pPr>
        <w:spacing w:after="0" w:line="66" w:lineRule="exact"/>
        <w:rPr>
          <w:rFonts w:ascii="Times New Roman" w:cs="Times New Roman" w:eastAsia="Times New Roman" w:hAnsi="Times New Roman"/>
          <w:sz w:val="16"/>
          <w:szCs w:val="16"/>
          <w:color w:val="auto"/>
        </w:rPr>
      </w:pPr>
    </w:p>
    <w:p>
      <w:pPr>
        <w:ind w:firstLine="1253"/>
        <w:spacing w:after="0" w:line="276" w:lineRule="auto"/>
        <w:tabs>
          <w:tab w:leader="none" w:pos="14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has distributed stock of another Person, or had its stock distributed by another Person, in a transaction that was purported or intended to be governed in whole or in part by Section 355 of the Code.</w:t>
      </w:r>
    </w:p>
    <w:p>
      <w:pPr>
        <w:spacing w:after="0" w:line="49" w:lineRule="exact"/>
        <w:rPr>
          <w:rFonts w:ascii="Times New Roman" w:cs="Times New Roman" w:eastAsia="Times New Roman" w:hAnsi="Times New Roman"/>
          <w:sz w:val="16"/>
          <w:szCs w:val="16"/>
          <w:color w:val="auto"/>
        </w:rPr>
      </w:pPr>
    </w:p>
    <w:p>
      <w:pPr>
        <w:ind w:right="460" w:firstLine="1253"/>
        <w:spacing w:after="0" w:line="276" w:lineRule="auto"/>
        <w:tabs>
          <w:tab w:leader="none" w:pos="144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has entered into any transaction identified as a “listed transaction” for purposes of Treasury Regulations Sections 1.6011-4(b)(2) or 301.6111-2(b)(2) or any analogous provision of state or local Law.</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9600"/>
          </w:cols>
          <w:pgMar w:left="1120" w:top="253" w:right="1179" w:bottom="1440" w:gutter="0" w:footer="0" w:header="0"/>
        </w:sectPr>
      </w:pPr>
    </w:p>
    <w:bookmarkStart w:id="75" w:name="page76"/>
    <w:bookmarkEnd w:id="75"/>
    <w:p>
      <w:pPr>
        <w:ind w:left="-20" w:right="80" w:firstLine="1253"/>
        <w:spacing w:after="0" w:line="276" w:lineRule="auto"/>
        <w:tabs>
          <w:tab w:leader="none" w:pos="142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Section 4.16(j) of the Gem Disclosure Schedule sets forth the entity classification of each of Gem’s Subsidiaries for U.S. federal income tax purposes under Section 7701 of the Code.</w:t>
      </w:r>
    </w:p>
    <w:p>
      <w:pPr>
        <w:spacing w:after="0" w:line="49" w:lineRule="exact"/>
        <w:rPr>
          <w:rFonts w:ascii="Times New Roman" w:cs="Times New Roman" w:eastAsia="Times New Roman" w:hAnsi="Times New Roman"/>
          <w:sz w:val="16"/>
          <w:szCs w:val="16"/>
          <w:color w:val="auto"/>
        </w:rPr>
      </w:pPr>
    </w:p>
    <w:p>
      <w:pPr>
        <w:ind w:left="-20" w:right="20" w:firstLine="1253"/>
        <w:spacing w:after="0" w:line="261" w:lineRule="auto"/>
        <w:tabs>
          <w:tab w:leader="none" w:pos="145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is aware of any facts or has knowingly taken or agreed to take or refrain from taking any action, in each case, that would reasonably be expected to prevent or impede the Merger from qualifying as a “reorganization” within the meaning of Section 368(a) of the Code.</w:t>
      </w:r>
    </w:p>
    <w:p>
      <w:pPr>
        <w:spacing w:after="0" w:line="62" w:lineRule="exact"/>
        <w:rPr>
          <w:rFonts w:ascii="Times New Roman" w:cs="Times New Roman" w:eastAsia="Times New Roman" w:hAnsi="Times New Roman"/>
          <w:sz w:val="16"/>
          <w:szCs w:val="16"/>
          <w:color w:val="auto"/>
        </w:rPr>
      </w:pPr>
    </w:p>
    <w:p>
      <w:pPr>
        <w:ind w:left="-20" w:right="20" w:firstLine="1253"/>
        <w:spacing w:after="0" w:line="276" w:lineRule="auto"/>
        <w:tabs>
          <w:tab w:leader="none" w:pos="142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outstanding power of attorney from Gem or any of its Subsidiaries authorizing anyone to act on behalf of Gem or any of its Subsidiaries in connection with any Tax, Tax Return or action relating to any Tax or Tax Return of Gem or any of its Subsidiaries.</w:t>
      </w:r>
    </w:p>
    <w:p>
      <w:pPr>
        <w:spacing w:after="0" w:line="49" w:lineRule="exact"/>
        <w:rPr>
          <w:rFonts w:ascii="Times New Roman" w:cs="Times New Roman" w:eastAsia="Times New Roman" w:hAnsi="Times New Roman"/>
          <w:sz w:val="16"/>
          <w:szCs w:val="16"/>
          <w:color w:val="auto"/>
        </w:rPr>
      </w:pPr>
    </w:p>
    <w:p>
      <w:pPr>
        <w:ind w:left="-20" w:firstLine="1253"/>
        <w:spacing w:after="0" w:line="251" w:lineRule="auto"/>
        <w:tabs>
          <w:tab w:leader="none" w:pos="150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its Subsidiaries will be required to include any material item of income in, or exclude any material item of deduction from,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received outside the Ordinary Course of Business, (iv) an intercompany item under Treasury Regulations Section 1.1502-13 or an excess loss account under Treasury Regulations Section 1.1502-19, (v) a change in the accounting method of Gem pursuant to Section 481 of the Code or any corresponding or similar provision of state, local or non-U.S. income Tax Law or the use of a method of accounting with respect to any transaction that occurred on or before the Closing Date; or (vi) any inclusion under Section 965 of the Code.</w:t>
      </w:r>
    </w:p>
    <w:p>
      <w:pPr>
        <w:spacing w:after="0" w:line="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Employee and Labor Matters; Benefit Plans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0" w:right="140" w:firstLine="1253"/>
        <w:spacing w:after="0" w:line="286" w:lineRule="auto"/>
        <w:tabs>
          <w:tab w:leader="none" w:pos="1449"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employment of Gem’s employees is terminable by Gem at will, subject to any notice provisions of applicable employment agreements. Gem has made available to the Company accurate and complete copies of all employee manuals and handbooks, disclosure materials, policy statements and other materials relating to the employment of Gem Associates to the extent currently effective and material.</w:t>
      </w:r>
    </w:p>
    <w:p>
      <w:pPr>
        <w:spacing w:after="0" w:line="45" w:lineRule="exact"/>
        <w:rPr>
          <w:rFonts w:ascii="Times New Roman" w:cs="Times New Roman" w:eastAsia="Times New Roman" w:hAnsi="Times New Roman"/>
          <w:sz w:val="15"/>
          <w:szCs w:val="15"/>
          <w:color w:val="auto"/>
        </w:rPr>
      </w:pPr>
    </w:p>
    <w:p>
      <w:pPr>
        <w:jc w:val="both"/>
        <w:ind w:left="-20" w:right="320" w:firstLine="1253"/>
        <w:spacing w:after="0" w:line="261" w:lineRule="auto"/>
        <w:tabs>
          <w:tab w:leader="none" w:pos="145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is a party to, bound by, nor has any duty to bargain under, any collective bargaining agreement or other Contract with a labor organization representing any of its employees, and there are no labor organizations representing or, to the Knowledge of Gem, purporting to represent or seeking to represent any employees of Gem.</w:t>
      </w:r>
    </w:p>
    <w:p>
      <w:pPr>
        <w:spacing w:after="0" w:line="62" w:lineRule="exact"/>
        <w:rPr>
          <w:rFonts w:ascii="Times New Roman" w:cs="Times New Roman" w:eastAsia="Times New Roman" w:hAnsi="Times New Roman"/>
          <w:sz w:val="16"/>
          <w:szCs w:val="16"/>
          <w:color w:val="auto"/>
        </w:rPr>
      </w:pPr>
    </w:p>
    <w:p>
      <w:pPr>
        <w:ind w:left="1440" w:hanging="207"/>
        <w:spacing w:after="0"/>
        <w:tabs>
          <w:tab w:leader="none" w:pos="14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4.17(c) of the Gem Disclosure Schedule lists all material Gem Employee Plans.</w:t>
      </w:r>
    </w:p>
    <w:p>
      <w:pPr>
        <w:spacing w:after="0" w:line="99"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5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Gem Employee Plan that is intended to be qualified under Section 401(a) of the Code has received a favorable determination or opinion letter with respect to such qualified status from the IRS. To the Knowledge of Gem, nothing has occurred that would reasonably be expected to adversely affect the qualified status of any such Gem Employee Plan or require corrective action to the IRS or Employee Plan Compliance Resolution System to maintain such qualification.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9600"/>
          </w:cols>
          <w:pgMar w:left="1140" w:top="253" w:right="1159" w:bottom="1440" w:gutter="0" w:footer="0" w:header="0"/>
        </w:sectPr>
      </w:pPr>
    </w:p>
    <w:bookmarkStart w:id="76" w:name="page77"/>
    <w:bookmarkEnd w:id="76"/>
    <w:p>
      <w:pPr>
        <w:ind w:left="-20" w:right="80" w:firstLine="1253"/>
        <w:spacing w:after="0" w:line="254" w:lineRule="auto"/>
        <w:tabs>
          <w:tab w:leader="none" w:pos="144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Each Gem Employee Plan has been established, operated and administered in compliance, in all material respects, with its terms all applicable Law, including, without limitation, the Code, ERISA and the Affordable Care Act. No Legal Proceeding (other than those relating to routine claims for benefits) is pending or, to the Knowledge of Gem, threatened with respect to any Gem Employee Plan. All payments and/or contributions required to have been made by Gem with respect to all Gem Employee Plans either have been made or have been accrued in accordance with the terms of the applicable Gem Employee Plan and applicable Law.</w:t>
      </w:r>
    </w:p>
    <w:p>
      <w:pPr>
        <w:spacing w:after="0" w:line="67" w:lineRule="exact"/>
        <w:rPr>
          <w:rFonts w:ascii="Times New Roman" w:cs="Times New Roman" w:eastAsia="Times New Roman" w:hAnsi="Times New Roman"/>
          <w:sz w:val="16"/>
          <w:szCs w:val="16"/>
          <w:color w:val="auto"/>
        </w:rPr>
      </w:pPr>
    </w:p>
    <w:p>
      <w:pPr>
        <w:ind w:left="-20" w:right="60" w:firstLine="1253"/>
        <w:spacing w:after="0" w:line="254" w:lineRule="auto"/>
        <w:tabs>
          <w:tab w:leader="none" w:pos="143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ERISA Affiliates has ever maintained, contributed to, or been required to contribute to or had any liability or obligation (including on account of any ERISA Affiliate) with respect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Gem nor any of its ERISA Affiliates has ever incurred any liability under Title IV of ERISA that has not been paid in full.</w:t>
      </w:r>
    </w:p>
    <w:p>
      <w:pPr>
        <w:spacing w:after="0" w:line="67" w:lineRule="exact"/>
        <w:rPr>
          <w:rFonts w:ascii="Times New Roman" w:cs="Times New Roman" w:eastAsia="Times New Roman" w:hAnsi="Times New Roman"/>
          <w:sz w:val="16"/>
          <w:szCs w:val="16"/>
          <w:color w:val="auto"/>
        </w:rPr>
      </w:pPr>
    </w:p>
    <w:p>
      <w:pPr>
        <w:ind w:left="-20" w:firstLine="1253"/>
        <w:spacing w:after="0" w:line="261" w:lineRule="auto"/>
        <w:tabs>
          <w:tab w:leader="none" w:pos="145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Gem Employee Plan provides for health care or any other non-pension benefits to any service provider beyond termination of service or retirement (other than as required by Part 6 of Subtitle B of Title I of ERISA or similar state Law or as cash severance). No Gem Employee Plan provides major medical health or long-term disability benefits that are not fully insured through an insurance contract.</w:t>
      </w:r>
    </w:p>
    <w:p>
      <w:pPr>
        <w:spacing w:after="0" w:line="62" w:lineRule="exact"/>
        <w:rPr>
          <w:rFonts w:ascii="Times New Roman" w:cs="Times New Roman" w:eastAsia="Times New Roman" w:hAnsi="Times New Roman"/>
          <w:sz w:val="16"/>
          <w:szCs w:val="16"/>
          <w:color w:val="auto"/>
        </w:rPr>
      </w:pPr>
    </w:p>
    <w:p>
      <w:pPr>
        <w:ind w:left="1460" w:hanging="227"/>
        <w:spacing w:after="0"/>
        <w:tabs>
          <w:tab w:leader="none" w:pos="14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Gem Employee Plan is subject to any law of a foreign jurisdiction outside of the United States.</w:t>
      </w:r>
    </w:p>
    <w:p>
      <w:pPr>
        <w:spacing w:after="0" w:line="99"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2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Gem Employee Plan that constitutes in any part a “nonqualified deferred compensation plan” (as such term is defined under Section 409A(d)(1) of the Code and the guidance thereunder) has been operated and maintained in all material respects in operational and documentary compliance with the requirements of Section 409A of the Code and the applicable guidance thereunder. No payment to be made under any Gem Employee Plan is or, to the Knowledge of Gem, will be subject to the penalties of Section 409A(a)(1) of the Code.</w:t>
      </w:r>
    </w:p>
    <w:p>
      <w:pPr>
        <w:spacing w:after="0" w:line="66" w:lineRule="exact"/>
        <w:rPr>
          <w:rFonts w:ascii="Times New Roman" w:cs="Times New Roman" w:eastAsia="Times New Roman" w:hAnsi="Times New Roman"/>
          <w:sz w:val="16"/>
          <w:szCs w:val="16"/>
          <w:color w:val="auto"/>
        </w:rPr>
      </w:pPr>
    </w:p>
    <w:p>
      <w:pPr>
        <w:jc w:val="both"/>
        <w:ind w:left="-20" w:right="120" w:firstLine="1253"/>
        <w:spacing w:after="0" w:line="261" w:lineRule="auto"/>
        <w:tabs>
          <w:tab w:leader="none" w:pos="142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property by Gem or any of its Subsidiaries which was subject to a substantial risk of forfeiture and which would otherwise have been subject to taxation under Section 83(a) of the code is covered by a valid and timely filed election under Section 83(b) of the Code, and a copy of such election has been provided to Gem</w:t>
      </w:r>
    </w:p>
    <w:p>
      <w:pPr>
        <w:spacing w:after="0" w:line="62" w:lineRule="exact"/>
        <w:rPr>
          <w:rFonts w:ascii="Times New Roman" w:cs="Times New Roman" w:eastAsia="Times New Roman" w:hAnsi="Times New Roman"/>
          <w:sz w:val="16"/>
          <w:szCs w:val="16"/>
          <w:color w:val="auto"/>
        </w:rPr>
      </w:pPr>
    </w:p>
    <w:p>
      <w:pPr>
        <w:ind w:left="-20" w:right="120" w:firstLine="1253"/>
        <w:spacing w:after="0" w:line="254" w:lineRule="auto"/>
        <w:tabs>
          <w:tab w:leader="none" w:pos="145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is and since January 1, 2019 has been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Gem: (i) has withheld and reported all material amounts required by law or by agreement to be withheld and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9620"/>
          </w:cols>
          <w:pgMar w:left="1140" w:top="253" w:right="1139" w:bottom="1440" w:gutter="0" w:footer="0" w:header="0"/>
        </w:sectPr>
      </w:pPr>
    </w:p>
    <w:bookmarkStart w:id="77" w:name="page78"/>
    <w:bookmarkEnd w:id="77"/>
    <w:p>
      <w:pPr>
        <w:ind w:right="16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To the Knowledge of Gem, there are no pending or threatened or reasonably anticipated claims or actions against Gem, any Gem trustee or any trustee of any Subsidiary under any workers’ compensation policy or long-term disability policy that would result in a material liability to Gem. Gem is not a party to a conciliation agreement, consent decree or other agreement or Order with any federal, state, or local agency or Governmental Authority with respect to employment practices.</w:t>
      </w:r>
    </w:p>
    <w:p>
      <w:pPr>
        <w:spacing w:after="0" w:line="56" w:lineRule="exact"/>
        <w:rPr>
          <w:sz w:val="20"/>
          <w:szCs w:val="20"/>
          <w:color w:val="auto"/>
        </w:rPr>
      </w:pPr>
    </w:p>
    <w:p>
      <w:pPr>
        <w:ind w:right="60" w:firstLine="1253"/>
        <w:spacing w:after="0" w:line="254" w:lineRule="auto"/>
        <w:tabs>
          <w:tab w:leader="none" w:pos="144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has no material liability with respect to any misclassification since January 1, 2019 of: (i) any Person as an independent contractor rather than as an employee, (ii) any employee leased from another employer or (iii) any employee currently or formerly classified as exempt from overtime wages. Gem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the WARN Act or any similar state or local law that remains unsatisfied.</w:t>
      </w:r>
    </w:p>
    <w:p>
      <w:pPr>
        <w:spacing w:after="0" w:line="67" w:lineRule="exact"/>
        <w:rPr>
          <w:rFonts w:ascii="Times New Roman" w:cs="Times New Roman" w:eastAsia="Times New Roman" w:hAnsi="Times New Roman"/>
          <w:sz w:val="16"/>
          <w:szCs w:val="16"/>
          <w:color w:val="auto"/>
        </w:rPr>
      </w:pPr>
    </w:p>
    <w:p>
      <w:pPr>
        <w:ind w:right="180" w:firstLine="1253"/>
        <w:spacing w:after="0" w:line="254" w:lineRule="auto"/>
        <w:tabs>
          <w:tab w:leader="none" w:pos="152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never been, nor has there been any threat of, any strike, slowdown, work stoppage, lockout, job action, union, organizing activity, question concerning representation or any similar activity or dispute, affecting Gem.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67" w:lineRule="exact"/>
        <w:rPr>
          <w:rFonts w:ascii="Times New Roman" w:cs="Times New Roman" w:eastAsia="Times New Roman" w:hAnsi="Times New Roman"/>
          <w:sz w:val="16"/>
          <w:szCs w:val="16"/>
          <w:color w:val="auto"/>
        </w:rPr>
      </w:pPr>
    </w:p>
    <w:p>
      <w:pPr>
        <w:ind w:right="40" w:firstLine="1253"/>
        <w:spacing w:after="0" w:line="254" w:lineRule="auto"/>
        <w:tabs>
          <w:tab w:leader="none" w:pos="14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is not, nor has Gem been, engaged in any unfair labor practice within the meaning of the National Labor Relations Act. There is no Legal Proceeding, claim, labor dispute or grievance pending or, to the Knowledge of Gem, threatened or reasonably anticipated relating to any employment contract, employment termination, privacy right, labor dispute, wages and hours, leave of absence, plant closing notification, workers’ compensation policy, long-term disability policy, harassment, retaliation, immigration, employment statute or regulation, safety or discrimination matter involving any Gem Associate, including charges of unfair labor practices or discrimination complaints.</w:t>
      </w:r>
    </w:p>
    <w:p>
      <w:pPr>
        <w:spacing w:after="0" w:line="67"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Gem Employee Plan provides for any tax “gross-up” or similar “make-whole” payments.</w:t>
      </w:r>
    </w:p>
    <w:p>
      <w:pPr>
        <w:spacing w:after="0" w:line="99" w:lineRule="exact"/>
        <w:rPr>
          <w:rFonts w:ascii="Times New Roman" w:cs="Times New Roman" w:eastAsia="Times New Roman" w:hAnsi="Times New Roman"/>
          <w:sz w:val="16"/>
          <w:szCs w:val="16"/>
          <w:color w:val="auto"/>
        </w:rPr>
      </w:pPr>
    </w:p>
    <w:p>
      <w:pPr>
        <w:ind w:firstLine="1253"/>
        <w:spacing w:after="0" w:line="251" w:lineRule="auto"/>
        <w:tabs>
          <w:tab w:leader="none" w:pos="14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4.17(p) of the Gem Disclosure Schedule, none of the execution and delivery of this Agreement, the shareholder approval of this Agreement, or the consummation of the transactions contemplated hereby could (either alone or in conjunction with any other event) (i) result in, or cause the accelerated vesting payment, funding or delivery of, or increase the amount or value of, any payment or benefit to any employee, officer, director or other service provider of Gem or any of its Subsidiaries; (ii) further restrict any rights of Gem to amend or terminate any Gem Employee Plan; (iii) result in the forgiveness of any indebtedness of any employee, officer, director or other service provider of Gem or any of its Subsidiaries to Gem or its Subsidiaries or (iv) result in any “parachute payment” as defined in Section 280G(b)(2) of the Code (whether or not such payment is considered to be reasonable compensation for services rendered).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9640"/>
          </w:cols>
          <w:pgMar w:left="1120" w:top="253" w:right="1139" w:bottom="1440" w:gutter="0" w:footer="0" w:header="0"/>
        </w:sectPr>
      </w:pPr>
    </w:p>
    <w:bookmarkStart w:id="78" w:name="page79"/>
    <w:bookmarkEnd w:id="78"/>
    <w:p>
      <w:pPr>
        <w:ind w:left="1" w:firstLine="869"/>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4.18 </w:t>
      </w:r>
      <w:r>
        <w:rPr>
          <w:rFonts w:ascii="Times New Roman" w:cs="Times New Roman" w:eastAsia="Times New Roman" w:hAnsi="Times New Roman"/>
          <w:sz w:val="15"/>
          <w:szCs w:val="15"/>
          <w:u w:val="single" w:color="auto"/>
          <w:color w:val="auto"/>
        </w:rPr>
        <w:t>Environmental Matters</w:t>
      </w:r>
      <w:r>
        <w:rPr>
          <w:rFonts w:ascii="Times New Roman" w:cs="Times New Roman" w:eastAsia="Times New Roman" w:hAnsi="Times New Roman"/>
          <w:sz w:val="15"/>
          <w:szCs w:val="15"/>
          <w:color w:val="auto"/>
        </w:rPr>
        <w:t>. Since the Gem Effective Date, Gem has complied with all applicable Environmental Laws, which compliance includes the possession by Gem of all permits and other Governmental Authorizations required under applicable Environmental Laws and compliance with the terms and conditions thereof, except for any failure to be in compliance that, individually or in the aggregate, would not result in a Gem Material Adverse Effect. Gem has not received since the Gem Effective Date, any written notice or other communication (in writing or otherwise), whether from a Governmental Authority, citizens group, employee or otherwise, that alleges that Gem is not in compliance with any Environmental Law, and, to the Knowledge of Gem, there are no circumstances that may prevent or interfere with Gem’s compliance with any Environmental Law in the future, except where such failure to comply would not reasonably be expected to have a Gem Material Adverse Effect. To the Knowledge of Gem:</w:t>
      </w:r>
    </w:p>
    <w:p>
      <w:pPr>
        <w:spacing w:after="0" w:line="4" w:lineRule="exact"/>
        <w:rPr>
          <w:sz w:val="20"/>
          <w:szCs w:val="20"/>
          <w:color w:val="auto"/>
        </w:rPr>
      </w:pPr>
    </w:p>
    <w:p>
      <w:pPr>
        <w:jc w:val="both"/>
        <w:ind w:left="1" w:right="180" w:hanging="1"/>
        <w:spacing w:after="0" w:line="249" w:lineRule="auto"/>
        <w:tabs>
          <w:tab w:leader="none" w:pos="18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current or prior owner of any property leased or controlled by Gem has received since the Gem Effective Date, any written notice or other communication relating to property owned or leased at any time by Gem, whether from a Governmental Authority, citizens group, employee or otherwise, that alleges that such current or prior owner or Gem is not in compliance with or violated any Environmental Law relating to such property and (ii) Gem has no material liability under any Environmental Law.</w:t>
      </w:r>
    </w:p>
    <w:p>
      <w:pPr>
        <w:spacing w:after="0" w:line="71" w:lineRule="exact"/>
        <w:rPr>
          <w:sz w:val="20"/>
          <w:szCs w:val="20"/>
          <w:color w:val="auto"/>
        </w:rPr>
      </w:pPr>
    </w:p>
    <w:p>
      <w:pPr>
        <w:ind w:left="1" w:right="14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Gem has made available to the Company accurate and complete copies of all material insurance policies and all material self-insurance programs and arrangements relating to the business, assets, liabilities and operations of Gem and Merger Sub. Each of such insurance policies is in full force and effect and Gem and Merger Sub are in compliance in all material respects with the terms thereof. Other than customary end of policy notifications from insurance carriers, since the Gem Effective Date, Gem has not received any notice or other communication regarding any actual or possible: (i) cancellation or invalidation of any insurance policy or (ii) refusal or denial of any coverage, reservation of rights or rejection of any material claim under any insurance policy. Each of Gem and Merger Sub has provided timely written notice to the appropriate insurance carrier(s) of each Legal Proceeding pending against Gem for which Gem has insurance coverage, and no such carrier has issued a denial of coverage or a reservation of rights with respect to any such Legal Proceeding, or informed Gem of its intent to do so.</w:t>
      </w:r>
    </w:p>
    <w:p>
      <w:pPr>
        <w:spacing w:after="0" w:line="69" w:lineRule="exact"/>
        <w:rPr>
          <w:sz w:val="20"/>
          <w:szCs w:val="20"/>
          <w:color w:val="auto"/>
        </w:rPr>
      </w:pPr>
    </w:p>
    <w:p>
      <w:pPr>
        <w:ind w:left="1"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Except as set forth in the Gem SEC Documents filed prior to the date of this Agreement, since the date of Gem’s last annual report on Form 10-K for the year ended December 31, 2021 proxy statement filed in 2021 with the SEC, no event has occurred that would be required to be reported by Gem pursuant to Item 404 of Regulation S-K promulgated by the SEC. Section 4.20 of the Gem Disclosure Schedule identifies each Person who is (or who may be deemed to be) an Affiliate of Gem as of the date of this Agreement.</w:t>
      </w:r>
    </w:p>
    <w:p>
      <w:pPr>
        <w:spacing w:after="0" w:line="66" w:lineRule="exact"/>
        <w:rPr>
          <w:sz w:val="20"/>
          <w:szCs w:val="20"/>
          <w:color w:val="auto"/>
        </w:rPr>
      </w:pPr>
    </w:p>
    <w:p>
      <w:pPr>
        <w:ind w:left="1"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No Financial Advisors</w:t>
      </w:r>
      <w:r>
        <w:rPr>
          <w:rFonts w:ascii="Times New Roman" w:cs="Times New Roman" w:eastAsia="Times New Roman" w:hAnsi="Times New Roman"/>
          <w:sz w:val="16"/>
          <w:szCs w:val="16"/>
          <w:color w:val="auto"/>
        </w:rPr>
        <w:t>. Except as set forth on Section 4.21 of the Gem Disclosure Schedule, no broker, finder or investment banker is entitled to any brokerage fee, finder’s fee, opinion fee, success fee, transaction fee or other fee or commission in connection with the Contemplated Transactions based upon arrangements made by or on behalf of Gem.</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9641"/>
          </w:cols>
          <w:pgMar w:left="1119" w:top="253" w:right="1139" w:bottom="1440" w:gutter="0" w:footer="0" w:header="0"/>
        </w:sectPr>
      </w:pPr>
    </w:p>
    <w:bookmarkStart w:id="79" w:name="page80"/>
    <w:bookmarkEnd w:id="79"/>
    <w:p>
      <w:pPr>
        <w:ind w:right="44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4.22 </w:t>
      </w:r>
      <w:r>
        <w:rPr>
          <w:rFonts w:ascii="Times New Roman" w:cs="Times New Roman" w:eastAsia="Times New Roman" w:hAnsi="Times New Roman"/>
          <w:sz w:val="16"/>
          <w:szCs w:val="16"/>
          <w:u w:val="single" w:color="auto"/>
          <w:color w:val="auto"/>
        </w:rPr>
        <w:t>Valid Issuance</w:t>
      </w:r>
      <w:r>
        <w:rPr>
          <w:rFonts w:ascii="Times New Roman" w:cs="Times New Roman" w:eastAsia="Times New Roman" w:hAnsi="Times New Roman"/>
          <w:sz w:val="16"/>
          <w:szCs w:val="16"/>
          <w:color w:val="auto"/>
        </w:rPr>
        <w:t>. The Gem Common Stock to be issued in the Merger will, when issued in accordance with the provisions of this Agreement, be validly issued, fully paid and nonassessable.</w:t>
      </w:r>
    </w:p>
    <w:p>
      <w:pPr>
        <w:spacing w:after="0" w:line="50"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4.23 </w:t>
      </w:r>
      <w:r>
        <w:rPr>
          <w:rFonts w:ascii="Times New Roman" w:cs="Times New Roman" w:eastAsia="Times New Roman" w:hAnsi="Times New Roman"/>
          <w:sz w:val="16"/>
          <w:szCs w:val="16"/>
          <w:u w:val="single" w:color="auto"/>
          <w:color w:val="auto"/>
        </w:rPr>
        <w:t>Privacy and Data Security</w:t>
      </w:r>
      <w:r>
        <w:rPr>
          <w:rFonts w:ascii="Times New Roman" w:cs="Times New Roman" w:eastAsia="Times New Roman" w:hAnsi="Times New Roman"/>
          <w:sz w:val="16"/>
          <w:szCs w:val="16"/>
          <w:color w:val="auto"/>
        </w:rPr>
        <w:t>. Gem has complied with all applicable Privacy Laws and the applicable terms of any Gem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Gem in connection with the operation of Gem’s business, except for such non-compliance as has not had, and would not reasonably be expected to have, individually or in the aggregate, a Gem Material Adverse Effect. To the Knowledge of Gem, Gem has implemented and maintains reasonable Privacy Policies and has complied with its Privacy Policies, except for such non-compliance as has not to the Knowledge of the Gem had, and would not reasonably be expected to have, individually or in the aggregate, a Gem Material Adverse Effect. To the Knowledge of Gem, as of the date hereof, no claims have been asserted or threatened against Gem by any Person alleging a violation of Privacy Laws, Privacy Policies and/or the applicable terms of any Gem Contracts relating to privacy, security, collection or use of Personal Information of any individuals. To the Knowledge of Gem, there have been no data security incidents, personal data breaches or other adverse events or incidents related to Personal Information or Gem data in the custody or control of Gem or any service provider acting on behalf of Gem, in each case where such incident, breach or event would result in a notification obligation to any Person under applicable law or pursuant to the terms of any Gem Contract.</w:t>
      </w:r>
    </w:p>
    <w:p>
      <w:pPr>
        <w:spacing w:after="0" w:line="75" w:lineRule="exact"/>
        <w:rPr>
          <w:sz w:val="20"/>
          <w:szCs w:val="20"/>
          <w:color w:val="auto"/>
        </w:rPr>
      </w:pPr>
    </w:p>
    <w:p>
      <w:pPr>
        <w:ind w:right="8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4.24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Gem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Gem,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(in each case as qualified and limited by the Company Disclosure Schedule)) none of Gem, Merger Sub or any of their respective Representatives or stockholders, has relied on any such information (including the accuracy or completeness thereof).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Certain Covenants of the Parties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Operation of Gem’s Business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20" w:firstLine="1253"/>
        <w:spacing w:after="0" w:line="252" w:lineRule="auto"/>
        <w:tabs>
          <w:tab w:leader="none" w:pos="146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and the Effective Time (the “</w:t>
      </w:r>
      <w:r>
        <w:rPr>
          <w:rFonts w:ascii="Times New Roman" w:cs="Times New Roman" w:eastAsia="Times New Roman" w:hAnsi="Times New Roman"/>
          <w:sz w:val="16"/>
          <w:szCs w:val="16"/>
          <w:b w:val="1"/>
          <w:bCs w:val="1"/>
          <w:color w:val="auto"/>
        </w:rPr>
        <w:t>Pre-Closing Period</w:t>
      </w:r>
      <w:r>
        <w:rPr>
          <w:rFonts w:ascii="Times New Roman" w:cs="Times New Roman" w:eastAsia="Times New Roman" w:hAnsi="Times New Roman"/>
          <w:sz w:val="16"/>
          <w:szCs w:val="16"/>
          <w:color w:val="auto"/>
        </w:rPr>
        <w:t>”), Gem shall, and shall cause its Subsidiaries to, use commercially reasonable efforts to conduct its business and operations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Ordinary Course of Business and in material compliance with all applicable Law and the requirements of all Contracts that constitute Gem Material Contracts.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9640"/>
          </w:cols>
          <w:pgMar w:left="1120" w:top="253" w:right="1139" w:bottom="1440" w:gutter="0" w:footer="0" w:header="0"/>
        </w:sectPr>
      </w:pPr>
    </w:p>
    <w:bookmarkStart w:id="80" w:name="page81"/>
    <w:bookmarkEnd w:id="80"/>
    <w:p>
      <w:pPr>
        <w:jc w:val="both"/>
        <w:ind w:left="-20" w:firstLine="1253"/>
        <w:spacing w:after="0" w:line="256" w:lineRule="auto"/>
        <w:tabs>
          <w:tab w:leader="none" w:pos="145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Except (i) as expressly contemplated or permitted by this Agreement, (ii) as set forth in Section 5.1(b) of the Gem Disclosure Schedule, (iii) as required by applicable Law, (iv) in connection with a Gem Asset Disposition, or (v) with the prior written consent of the Company (which consent shall not be unreasonably withheld, delayed or conditioned), at all times during the Pre-Closing Period, Gem shall not and shall cause its Subsidiaries to not:</w:t>
      </w:r>
    </w:p>
    <w:p>
      <w:pPr>
        <w:spacing w:after="0" w:line="66" w:lineRule="exact"/>
        <w:rPr>
          <w:rFonts w:ascii="Times New Roman" w:cs="Times New Roman" w:eastAsia="Times New Roman" w:hAnsi="Times New Roman"/>
          <w:sz w:val="16"/>
          <w:szCs w:val="16"/>
          <w:color w:val="auto"/>
        </w:rPr>
      </w:pPr>
    </w:p>
    <w:p>
      <w:pPr>
        <w:ind w:left="360" w:right="120" w:firstLine="1209"/>
        <w:spacing w:after="0" w:line="252" w:lineRule="auto"/>
        <w:tabs>
          <w:tab w:leader="none" w:pos="1752"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accrue, set aside or pay any dividend or make any other distribution in respect of any shares of its capital stock or repurchase, redeem or otherwise reacquire any shares of its capital stock or other securities (except for shares of Gem Common Stock from terminated employees, directors or consultants of Gem), provided, that, for the avoidance of doubt and notwithstanding anything else in this Agreement to the contrary, Gem may, at any time and from time to time, distribute, dividend, assign or otherwise transfer any cash and/or any of its assets or rights in respect of its existing assets or business, including Contingent Value Rights under the CVR Agreement (collectively, the “</w:t>
      </w:r>
      <w:r>
        <w:rPr>
          <w:rFonts w:ascii="Times New Roman" w:cs="Times New Roman" w:eastAsia="Times New Roman" w:hAnsi="Times New Roman"/>
          <w:sz w:val="16"/>
          <w:szCs w:val="16"/>
          <w:b w:val="1"/>
          <w:bCs w:val="1"/>
          <w:color w:val="auto"/>
        </w:rPr>
        <w:t>Dividends</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360" w:right="120" w:firstLine="1209"/>
        <w:spacing w:after="0" w:line="252" w:lineRule="auto"/>
        <w:tabs>
          <w:tab w:leader="none" w:pos="1796"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as required pursuant to the terms of the Gem ESPP in effect as of the date of this Agreement, sell, issue, grant, pledge or otherwise dispose of or encumber or authorize the issuance of: (A) any capital stock or other security (except for Gem Common Stock issued upon the valid exercise or settlement of outstanding Gem Options or Gem RSUs, as applicable and except for any adjustment and/or Dividend made by Gem, as determined by the Gem Board, to any Gem Options, Gem RSUs and other equity interests in connection with the CVRs), (B) any option, warrant or right to acquire any capital stock or any other security or (C) any instrument convertible into or exchangeable for any capital stock or other security;</w:t>
      </w:r>
    </w:p>
    <w:p>
      <w:pPr>
        <w:spacing w:after="0" w:line="70" w:lineRule="exact"/>
        <w:rPr>
          <w:rFonts w:ascii="Times New Roman" w:cs="Times New Roman" w:eastAsia="Times New Roman" w:hAnsi="Times New Roman"/>
          <w:sz w:val="16"/>
          <w:szCs w:val="16"/>
          <w:color w:val="auto"/>
        </w:rPr>
      </w:pPr>
    </w:p>
    <w:p>
      <w:pPr>
        <w:jc w:val="both"/>
        <w:ind w:left="360" w:right="60" w:firstLine="1209"/>
        <w:spacing w:after="0" w:line="286" w:lineRule="auto"/>
        <w:tabs>
          <w:tab w:leader="none" w:pos="184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and the Nasdaq Reverse Split;</w:t>
      </w:r>
    </w:p>
    <w:p>
      <w:pPr>
        <w:spacing w:after="0" w:line="45" w:lineRule="exact"/>
        <w:rPr>
          <w:rFonts w:ascii="Times New Roman" w:cs="Times New Roman" w:eastAsia="Times New Roman" w:hAnsi="Times New Roman"/>
          <w:sz w:val="15"/>
          <w:szCs w:val="15"/>
          <w:color w:val="auto"/>
        </w:rPr>
      </w:pPr>
    </w:p>
    <w:p>
      <w:pPr>
        <w:ind w:left="1840" w:hanging="271"/>
        <w:spacing w:after="0"/>
        <w:tabs>
          <w:tab w:leader="none" w:pos="184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any Subsidiary or acquire any equity interest or other interest in any other Entity or enter into a joint venture with any</w:t>
      </w:r>
    </w:p>
    <w:p>
      <w:pPr>
        <w:spacing w:after="0" w:line="33" w:lineRule="exact"/>
        <w:rPr>
          <w:rFonts w:ascii="Times New Roman" w:cs="Times New Roman" w:eastAsia="Times New Roman" w:hAnsi="Times New Roman"/>
          <w:sz w:val="15"/>
          <w:szCs w:val="15"/>
          <w:color w:val="auto"/>
        </w:rPr>
      </w:pPr>
    </w:p>
    <w:p>
      <w:pPr>
        <w:ind w:left="3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other Entity;</w:t>
      </w:r>
    </w:p>
    <w:p>
      <w:pPr>
        <w:spacing w:after="0" w:line="82" w:lineRule="exact"/>
        <w:rPr>
          <w:rFonts w:ascii="Times New Roman" w:cs="Times New Roman" w:eastAsia="Times New Roman" w:hAnsi="Times New Roman"/>
          <w:sz w:val="15"/>
          <w:szCs w:val="15"/>
          <w:color w:val="auto"/>
        </w:rPr>
      </w:pPr>
    </w:p>
    <w:p>
      <w:pPr>
        <w:ind w:left="1800" w:hanging="231"/>
        <w:spacing w:after="0"/>
        <w:tabs>
          <w:tab w:leader="none" w:pos="180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 money to any Person, (B) incur or guarantee any indebtedness for borrowed money, or (C) guarantee any debt</w:t>
      </w:r>
    </w:p>
    <w:p>
      <w:pPr>
        <w:spacing w:after="0" w:line="2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others;</w:t>
      </w:r>
    </w:p>
    <w:p>
      <w:pPr>
        <w:spacing w:after="0" w:line="82" w:lineRule="exact"/>
        <w:rPr>
          <w:rFonts w:ascii="Times New Roman" w:cs="Times New Roman" w:eastAsia="Times New Roman" w:hAnsi="Times New Roman"/>
          <w:sz w:val="16"/>
          <w:szCs w:val="16"/>
          <w:color w:val="auto"/>
        </w:rPr>
      </w:pPr>
    </w:p>
    <w:p>
      <w:pPr>
        <w:ind w:left="360" w:firstLine="1209"/>
        <w:spacing w:after="0" w:line="252" w:lineRule="auto"/>
        <w:tabs>
          <w:tab w:leader="none" w:pos="1831"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 adopt, establish or enter into any Gem Employee Plan, (B) cause or permit any Gem Employee Plan to be amended other than as required by law or in order to make amendments for the purposes of Section 409A of the Code, (C) pay any bonus or make any profit-sharing or similar payment to (except with respect to obligations pursuant to any Gem Employee Plan), or increase the amount of the wages, salary, commissions, fringe benefits or other compensation or remuneration payable to, any of its employees, directors or consultants or (D) increase the severance or change of control benefits offered to any current or new employees, directors or consultants;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9600"/>
          </w:cols>
          <w:pgMar w:left="1140" w:top="253" w:right="1159" w:bottom="1440" w:gutter="0" w:footer="0" w:header="0"/>
        </w:sectPr>
      </w:pPr>
    </w:p>
    <w:bookmarkStart w:id="81" w:name="page82"/>
    <w:bookmarkEnd w:id="81"/>
    <w:p>
      <w:pPr>
        <w:ind w:left="1900" w:hanging="311"/>
        <w:spacing w:after="0"/>
        <w:tabs>
          <w:tab w:leader="none" w:pos="19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enter into any material transaction;</w:t>
      </w:r>
    </w:p>
    <w:p>
      <w:pPr>
        <w:spacing w:after="0" w:line="99" w:lineRule="exact"/>
        <w:rPr>
          <w:rFonts w:ascii="Times New Roman" w:cs="Times New Roman" w:eastAsia="Times New Roman" w:hAnsi="Times New Roman"/>
          <w:sz w:val="16"/>
          <w:szCs w:val="16"/>
          <w:color w:val="auto"/>
        </w:rPr>
      </w:pPr>
    </w:p>
    <w:p>
      <w:pPr>
        <w:ind w:left="380" w:right="260" w:firstLine="1209"/>
        <w:spacing w:after="0" w:line="276" w:lineRule="auto"/>
        <w:tabs>
          <w:tab w:leader="none" w:pos="193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any material asset or sell, lease or otherwise irrevocably dispose of any of its assets or properties, or grant any Encumbrance with respect to such assets or properties;</w:t>
      </w:r>
    </w:p>
    <w:p>
      <w:pPr>
        <w:spacing w:after="0" w:line="49" w:lineRule="exact"/>
        <w:rPr>
          <w:rFonts w:ascii="Times New Roman" w:cs="Times New Roman" w:eastAsia="Times New Roman" w:hAnsi="Times New Roman"/>
          <w:sz w:val="16"/>
          <w:szCs w:val="16"/>
          <w:color w:val="auto"/>
        </w:rPr>
      </w:pPr>
    </w:p>
    <w:p>
      <w:pPr>
        <w:ind w:left="380" w:firstLine="1209"/>
        <w:spacing w:after="0" w:line="251" w:lineRule="auto"/>
        <w:tabs>
          <w:tab w:leader="none" w:pos="18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(other than consistent with past practice), change or revoke any material Tax election; file any material amendment to any Tax Return or adopt or change any material accounting method in respect of Taxes;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72" w:lineRule="exact"/>
        <w:rPr>
          <w:rFonts w:ascii="Times New Roman" w:cs="Times New Roman" w:eastAsia="Times New Roman" w:hAnsi="Times New Roman"/>
          <w:sz w:val="16"/>
          <w:szCs w:val="16"/>
          <w:color w:val="auto"/>
        </w:rPr>
      </w:pPr>
    </w:p>
    <w:p>
      <w:pPr>
        <w:ind w:left="380" w:right="40" w:firstLine="1209"/>
        <w:spacing w:after="0" w:line="276" w:lineRule="auto"/>
        <w:tabs>
          <w:tab w:leader="none" w:pos="180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would reasonably be expected to prevent the Merger from qualifying for the U.S. Tax Treatment;</w:t>
      </w:r>
    </w:p>
    <w:p>
      <w:pPr>
        <w:spacing w:after="0" w:line="49" w:lineRule="exact"/>
        <w:rPr>
          <w:rFonts w:ascii="Times New Roman" w:cs="Times New Roman" w:eastAsia="Times New Roman" w:hAnsi="Times New Roman"/>
          <w:sz w:val="16"/>
          <w:szCs w:val="16"/>
          <w:color w:val="auto"/>
        </w:rPr>
      </w:pPr>
    </w:p>
    <w:p>
      <w:pPr>
        <w:ind w:left="380" w:right="40" w:firstLine="1209"/>
        <w:spacing w:after="0" w:line="276" w:lineRule="auto"/>
        <w:tabs>
          <w:tab w:leader="none" w:pos="18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with respect to the Gem Asset Disposition or in the Ordinary Course of Business, enter into, amend or terminate any Gem Material Contract;</w:t>
      </w:r>
    </w:p>
    <w:p>
      <w:pPr>
        <w:spacing w:after="0" w:line="49" w:lineRule="exact"/>
        <w:rPr>
          <w:rFonts w:ascii="Times New Roman" w:cs="Times New Roman" w:eastAsia="Times New Roman" w:hAnsi="Times New Roman"/>
          <w:sz w:val="16"/>
          <w:szCs w:val="16"/>
          <w:color w:val="auto"/>
        </w:rPr>
      </w:pPr>
    </w:p>
    <w:p>
      <w:pPr>
        <w:ind w:left="380" w:right="420" w:firstLine="1209"/>
        <w:spacing w:after="0" w:line="276" w:lineRule="auto"/>
        <w:tabs>
          <w:tab w:leader="none" w:pos="189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or modify in any material respect, or fail to exercise renewal rights with respect to, any material insurance policy other than in the Ordinary Course of Business; or</w:t>
      </w:r>
    </w:p>
    <w:p>
      <w:pPr>
        <w:spacing w:after="0" w:line="49" w:lineRule="exact"/>
        <w:rPr>
          <w:rFonts w:ascii="Times New Roman" w:cs="Times New Roman" w:eastAsia="Times New Roman" w:hAnsi="Times New Roman"/>
          <w:sz w:val="16"/>
          <w:szCs w:val="16"/>
          <w:color w:val="auto"/>
        </w:rPr>
      </w:pPr>
    </w:p>
    <w:p>
      <w:pPr>
        <w:ind w:left="1940" w:hanging="351"/>
        <w:spacing w:after="0"/>
        <w:tabs>
          <w:tab w:leader="none" w:pos="19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resolve or commit to do any of the foregoing.</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Nothing contained in this Agreement shall give the Company, directly or indirectly, the right to control or direct the operations of Gem prior to the Effective Time. Prior to the Effective Time, Gem shall exercise, consistent with the terms and conditions of this Agreement, complete unilateral control and supervision over its business operations.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Operation of the Company’s Business.</w:t>
      </w:r>
    </w:p>
    <w:p>
      <w:pPr>
        <w:spacing w:after="0" w:line="194" w:lineRule="exact"/>
        <w:rPr>
          <w:sz w:val="20"/>
          <w:szCs w:val="20"/>
          <w:color w:val="auto"/>
        </w:rPr>
      </w:pPr>
    </w:p>
    <w:p>
      <w:pPr>
        <w:jc w:val="both"/>
        <w:ind w:right="80" w:firstLine="1253"/>
        <w:spacing w:after="0" w:line="256" w:lineRule="auto"/>
        <w:tabs>
          <w:tab w:leader="none" w:pos="146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expressly contemplated or permitted by this Agreement, as required by applicable Law or unless Gem shall otherwise consent in writing (which consent shall not be unreasonably withheld, delayed or conditioned), during the Pre-Closing Period each of the Company and its Subsidiaries shall use commercially reasonable efforts to conduct its business and operations in the Ordinary Course of Business and in material compliance with all applicable Law and the requirements of all Contracts that constitute Company Material Contracts.</w:t>
      </w:r>
    </w:p>
    <w:p>
      <w:pPr>
        <w:spacing w:after="0" w:line="161" w:lineRule="exact"/>
        <w:rPr>
          <w:rFonts w:ascii="Times New Roman" w:cs="Times New Roman" w:eastAsia="Times New Roman" w:hAnsi="Times New Roman"/>
          <w:sz w:val="16"/>
          <w:szCs w:val="16"/>
          <w:color w:val="auto"/>
        </w:rPr>
      </w:pPr>
    </w:p>
    <w:p>
      <w:pPr>
        <w:ind w:right="120" w:firstLine="1253"/>
        <w:spacing w:after="0" w:line="256" w:lineRule="auto"/>
        <w:tabs>
          <w:tab w:leader="none" w:pos="147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 as expressly contemplated or permitted by this Agreement, (ii) as set forth in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of the Company Disclosure Schedule, (iii) as required by applicable Law or (iv) with the prior written consent of Gem (which consent shall not be unreasonably withheld, delayed or conditioned), at all times during the Pre-Closing Period, the Company shall not, nor shall it cause or permit any of its Subsidiaries to, do any of the following: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9640"/>
          </w:cols>
          <w:pgMar w:left="1120" w:top="253" w:right="1139" w:bottom="1440" w:gutter="0" w:footer="0" w:header="0"/>
        </w:sectPr>
      </w:pPr>
    </w:p>
    <w:bookmarkStart w:id="82" w:name="page83"/>
    <w:bookmarkEnd w:id="82"/>
    <w:p>
      <w:pPr>
        <w:ind w:left="60" w:right="320" w:firstLine="1209"/>
        <w:spacing w:after="0" w:line="261" w:lineRule="auto"/>
        <w:tabs>
          <w:tab w:leader="none" w:pos="145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w:t>
      </w:r>
    </w:p>
    <w:p>
      <w:pPr>
        <w:spacing w:after="0" w:line="62" w:lineRule="exact"/>
        <w:rPr>
          <w:rFonts w:ascii="Times New Roman" w:cs="Times New Roman" w:eastAsia="Times New Roman" w:hAnsi="Times New Roman"/>
          <w:sz w:val="16"/>
          <w:szCs w:val="16"/>
          <w:color w:val="auto"/>
        </w:rPr>
      </w:pPr>
    </w:p>
    <w:p>
      <w:pPr>
        <w:jc w:val="both"/>
        <w:ind w:left="60" w:right="100" w:firstLine="1209"/>
        <w:spacing w:after="0" w:line="286" w:lineRule="auto"/>
        <w:tabs>
          <w:tab w:leader="none" w:pos="1496"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5" w:lineRule="exact"/>
        <w:rPr>
          <w:rFonts w:ascii="Times New Roman" w:cs="Times New Roman" w:eastAsia="Times New Roman" w:hAnsi="Times New Roman"/>
          <w:sz w:val="15"/>
          <w:szCs w:val="15"/>
          <w:color w:val="auto"/>
        </w:rPr>
      </w:pPr>
    </w:p>
    <w:p>
      <w:pPr>
        <w:ind w:left="60" w:right="120" w:firstLine="1209"/>
        <w:spacing w:after="0" w:line="267" w:lineRule="auto"/>
        <w:tabs>
          <w:tab w:leader="none" w:pos="154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as required pursuant to the terms of any Company Employee Plan in effect as of the date of this Agreement or applicable Law and except as contemplated by the Company Preferred Stock Conversion, 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other than grants of incentive equity awards to newly hired employees (which shall be in a number and on terms and conditions consistent with the Company’s past practice and granted in accordance with applicable Law) or</w:t>
      </w:r>
    </w:p>
    <w:p>
      <w:pPr>
        <w:spacing w:after="0" w:line="1" w:lineRule="exact"/>
        <w:rPr>
          <w:rFonts w:ascii="Times New Roman" w:cs="Times New Roman" w:eastAsia="Times New Roman" w:hAnsi="Times New Roman"/>
          <w:sz w:val="15"/>
          <w:szCs w:val="15"/>
          <w:color w:val="auto"/>
        </w:rPr>
      </w:pPr>
    </w:p>
    <w:p>
      <w:pPr>
        <w:ind w:left="320" w:hanging="255"/>
        <w:spacing w:after="0"/>
        <w:tabs>
          <w:tab w:leader="none" w:pos="3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instrument convertible into or exchangeable for any capital stock or other security of the Company or any of its Subsidiaries;</w:t>
      </w:r>
    </w:p>
    <w:p>
      <w:pPr>
        <w:spacing w:after="0" w:line="82" w:lineRule="exact"/>
        <w:rPr>
          <w:rFonts w:ascii="Times New Roman" w:cs="Times New Roman" w:eastAsia="Times New Roman" w:hAnsi="Times New Roman"/>
          <w:sz w:val="16"/>
          <w:szCs w:val="16"/>
          <w:color w:val="auto"/>
        </w:rPr>
      </w:pPr>
    </w:p>
    <w:p>
      <w:pPr>
        <w:ind w:left="1540" w:hanging="271"/>
        <w:spacing w:after="0"/>
        <w:tabs>
          <w:tab w:leader="none" w:pos="154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any Subsidiary or acquire any equity interest or other interest in any other Entity or enter into a joint venture with any</w:t>
      </w:r>
    </w:p>
    <w:p>
      <w:pPr>
        <w:spacing w:after="0" w:line="33" w:lineRule="exact"/>
        <w:rPr>
          <w:rFonts w:ascii="Times New Roman" w:cs="Times New Roman" w:eastAsia="Times New Roman" w:hAnsi="Times New Roman"/>
          <w:sz w:val="15"/>
          <w:szCs w:val="15"/>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other Entity;</w:t>
      </w:r>
    </w:p>
    <w:p>
      <w:pPr>
        <w:spacing w:after="0" w:line="82" w:lineRule="exact"/>
        <w:rPr>
          <w:rFonts w:ascii="Times New Roman" w:cs="Times New Roman" w:eastAsia="Times New Roman" w:hAnsi="Times New Roman"/>
          <w:sz w:val="15"/>
          <w:szCs w:val="15"/>
          <w:color w:val="auto"/>
        </w:rPr>
      </w:pPr>
    </w:p>
    <w:p>
      <w:pPr>
        <w:ind w:left="60" w:right="220" w:firstLine="1209"/>
        <w:spacing w:after="0" w:line="261" w:lineRule="auto"/>
        <w:tabs>
          <w:tab w:leader="none" w:pos="148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 money to any Person, (B) incur or guarantee any indebtedness for borrowed money, other than in the Ordinary Course of Business, (C) guarantee any debt securities of others or (D) make any capital expenditure or commitment in excess of $1,000,000 (to the extent such expenditures are incurred in the Ordinary Course of Business);</w:t>
      </w:r>
    </w:p>
    <w:p>
      <w:pPr>
        <w:spacing w:after="0" w:line="62" w:lineRule="exact"/>
        <w:rPr>
          <w:rFonts w:ascii="Times New Roman" w:cs="Times New Roman" w:eastAsia="Times New Roman" w:hAnsi="Times New Roman"/>
          <w:sz w:val="16"/>
          <w:szCs w:val="16"/>
          <w:color w:val="auto"/>
        </w:rPr>
      </w:pPr>
    </w:p>
    <w:p>
      <w:pPr>
        <w:ind w:left="60" w:firstLine="1209"/>
        <w:spacing w:after="0" w:line="254" w:lineRule="auto"/>
        <w:tabs>
          <w:tab w:leader="none" w:pos="1531"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retention, or change of control benefits offered to any current or new employees, directors or consultants;</w:t>
      </w:r>
    </w:p>
    <w:p>
      <w:pPr>
        <w:spacing w:after="0" w:line="67" w:lineRule="exact"/>
        <w:rPr>
          <w:rFonts w:ascii="Times New Roman" w:cs="Times New Roman" w:eastAsia="Times New Roman" w:hAnsi="Times New Roman"/>
          <w:sz w:val="16"/>
          <w:szCs w:val="16"/>
          <w:color w:val="auto"/>
        </w:rPr>
      </w:pPr>
    </w:p>
    <w:p>
      <w:pPr>
        <w:ind w:left="1580" w:hanging="311"/>
        <w:spacing w:after="0"/>
        <w:tabs>
          <w:tab w:leader="none" w:pos="158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material transaction outside the Ordinary Course of Business;</w:t>
      </w:r>
    </w:p>
    <w:p>
      <w:pPr>
        <w:spacing w:after="0" w:line="13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9320"/>
          </w:cols>
          <w:pgMar w:left="1440" w:top="253" w:right="1139" w:bottom="1440" w:gutter="0" w:footer="0" w:header="0"/>
        </w:sectPr>
      </w:pPr>
    </w:p>
    <w:bookmarkStart w:id="83" w:name="page84"/>
    <w:bookmarkEnd w:id="83"/>
    <w:p>
      <w:pPr>
        <w:ind w:left="340" w:right="220" w:firstLine="1209"/>
        <w:spacing w:after="0" w:line="276" w:lineRule="auto"/>
        <w:tabs>
          <w:tab w:leader="none" w:pos="189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acquire any material asset or sell, lease or otherwise irrevocably dispose of any of its assets or properties, or grant any Encumbrance with respect to such assets or properties, except in the Ordinary Course of Business;</w:t>
      </w:r>
    </w:p>
    <w:p>
      <w:pPr>
        <w:spacing w:after="0" w:line="49" w:lineRule="exact"/>
        <w:rPr>
          <w:rFonts w:ascii="Times New Roman" w:cs="Times New Roman" w:eastAsia="Times New Roman" w:hAnsi="Times New Roman"/>
          <w:sz w:val="16"/>
          <w:szCs w:val="16"/>
          <w:color w:val="auto"/>
        </w:rPr>
      </w:pPr>
    </w:p>
    <w:p>
      <w:pPr>
        <w:ind w:left="340" w:right="160" w:firstLine="1209"/>
        <w:spacing w:after="0" w:line="276" w:lineRule="auto"/>
        <w:tabs>
          <w:tab w:leader="none" w:pos="181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assign, transfer, license, sublicense or otherwise dispose of any material Company IP Rights (other than pursuant to non-exclusive licenses in the Ordinary Course of Business);</w:t>
      </w:r>
    </w:p>
    <w:p>
      <w:pPr>
        <w:spacing w:after="0" w:line="49" w:lineRule="exact"/>
        <w:rPr>
          <w:rFonts w:ascii="Times New Roman" w:cs="Times New Roman" w:eastAsia="Times New Roman" w:hAnsi="Times New Roman"/>
          <w:sz w:val="16"/>
          <w:szCs w:val="16"/>
          <w:color w:val="auto"/>
        </w:rPr>
      </w:pPr>
    </w:p>
    <w:p>
      <w:pPr>
        <w:ind w:left="340" w:firstLine="1209"/>
        <w:spacing w:after="0" w:line="251" w:lineRule="auto"/>
        <w:tabs>
          <w:tab w:leader="none" w:pos="1768"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(other than consistent with past practice), change or revoke any material Tax election; file any material amendment to any Tax Return or adopt or change any material accounting method in respect of Taxes;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72" w:lineRule="exact"/>
        <w:rPr>
          <w:rFonts w:ascii="Times New Roman" w:cs="Times New Roman" w:eastAsia="Times New Roman" w:hAnsi="Times New Roman"/>
          <w:sz w:val="16"/>
          <w:szCs w:val="16"/>
          <w:color w:val="auto"/>
        </w:rPr>
      </w:pPr>
    </w:p>
    <w:p>
      <w:pPr>
        <w:ind w:left="340" w:right="460" w:firstLine="1209"/>
        <w:spacing w:after="0" w:line="276" w:lineRule="auto"/>
        <w:tabs>
          <w:tab w:leader="none" w:pos="181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would reasonably be expected to prevent the Merger from qualifying for the U.S. Tax Treatment;</w:t>
      </w:r>
    </w:p>
    <w:p>
      <w:pPr>
        <w:spacing w:after="0" w:line="49" w:lineRule="exact"/>
        <w:rPr>
          <w:rFonts w:ascii="Times New Roman" w:cs="Times New Roman" w:eastAsia="Times New Roman" w:hAnsi="Times New Roman"/>
          <w:sz w:val="16"/>
          <w:szCs w:val="16"/>
          <w:color w:val="auto"/>
        </w:rPr>
      </w:pPr>
    </w:p>
    <w:p>
      <w:pPr>
        <w:ind w:left="1860" w:hanging="311"/>
        <w:spacing w:after="0"/>
        <w:tabs>
          <w:tab w:leader="none" w:pos="186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enter into, amend or terminate any Company Material Contract;</w:t>
      </w:r>
    </w:p>
    <w:p>
      <w:pPr>
        <w:spacing w:after="0" w:line="99" w:lineRule="exact"/>
        <w:rPr>
          <w:rFonts w:ascii="Times New Roman" w:cs="Times New Roman" w:eastAsia="Times New Roman" w:hAnsi="Times New Roman"/>
          <w:sz w:val="16"/>
          <w:szCs w:val="16"/>
          <w:color w:val="auto"/>
        </w:rPr>
      </w:pPr>
    </w:p>
    <w:p>
      <w:pPr>
        <w:ind w:left="340" w:right="80" w:firstLine="1209"/>
        <w:spacing w:after="0" w:line="261" w:lineRule="auto"/>
        <w:tabs>
          <w:tab w:leader="none" w:pos="189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62" w:lineRule="exact"/>
        <w:rPr>
          <w:rFonts w:ascii="Times New Roman" w:cs="Times New Roman" w:eastAsia="Times New Roman" w:hAnsi="Times New Roman"/>
          <w:sz w:val="16"/>
          <w:szCs w:val="16"/>
          <w:color w:val="auto"/>
        </w:rPr>
      </w:pPr>
    </w:p>
    <w:p>
      <w:pPr>
        <w:ind w:left="1900" w:hanging="351"/>
        <w:spacing w:after="0"/>
        <w:tabs>
          <w:tab w:leader="none" w:pos="190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resolve or commit to do any of the foregoing.</w:t>
      </w:r>
    </w:p>
    <w:p>
      <w:pPr>
        <w:spacing w:after="0" w:line="194" w:lineRule="exact"/>
        <w:rPr>
          <w:rFonts w:ascii="Times New Roman" w:cs="Times New Roman" w:eastAsia="Times New Roman" w:hAnsi="Times New Roman"/>
          <w:sz w:val="16"/>
          <w:szCs w:val="16"/>
          <w:color w:val="auto"/>
        </w:rPr>
      </w:pPr>
    </w:p>
    <w:p>
      <w:pPr>
        <w:ind w:left="-40" w:right="280" w:firstLine="1253"/>
        <w:spacing w:after="0" w:line="261" w:lineRule="auto"/>
        <w:tabs>
          <w:tab w:leader="none" w:pos="142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shall give Gem,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56" w:lineRule="exact"/>
        <w:rPr>
          <w:rFonts w:ascii="Times New Roman" w:cs="Times New Roman" w:eastAsia="Times New Roman" w:hAnsi="Times New Roman"/>
          <w:sz w:val="16"/>
          <w:szCs w:val="16"/>
          <w:color w:val="auto"/>
        </w:rPr>
      </w:pPr>
    </w:p>
    <w:p>
      <w:pPr>
        <w:ind w:left="-40" w:right="200" w:firstLine="1253"/>
        <w:spacing w:after="0" w:line="276" w:lineRule="auto"/>
        <w:tabs>
          <w:tab w:leader="none" w:pos="143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agree to any amendment, termination or other modification of the agreement (or any addendum to the agreement) listed on Schedule 8.11 of this Agreement without the prior written consent of Gem.</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Access and Investigation.</w:t>
      </w:r>
    </w:p>
    <w:p>
      <w:pPr>
        <w:spacing w:after="0" w:line="194" w:lineRule="exact"/>
        <w:rPr>
          <w:sz w:val="20"/>
          <w:szCs w:val="20"/>
          <w:color w:val="auto"/>
        </w:rPr>
      </w:pPr>
    </w:p>
    <w:p>
      <w:pPr>
        <w:ind w:left="-40" w:right="180" w:firstLine="1253"/>
        <w:spacing w:after="0" w:line="276" w:lineRule="auto"/>
        <w:tabs>
          <w:tab w:leader="none" w:pos="142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Confidentiality Agreement, which the Parties agree will continue in full force following the date of this Agreement, during the Pre-Closing Period, upon reasonable notice, Gem, on the one hand, and the Company, on the other hand,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9560"/>
          </w:cols>
          <w:pgMar w:left="1160" w:top="253" w:right="1179" w:bottom="1440" w:gutter="0" w:footer="0" w:header="0"/>
        </w:sectPr>
      </w:pPr>
    </w:p>
    <w:bookmarkStart w:id="84" w:name="page85"/>
    <w:bookmarkEnd w:id="84"/>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executive officer and other officers and managers of such Party responsible for such Party’s financial statements and the internal controls of such Party to discuss such matters as the other Party may deem reasonably necessary and (d) make available to the other Party copies of any material notice, report or other document filed with or sent to or received from any Governmental Authority in connection with the Contemplated Transactions. Any investigation conducted by either Gem or the Company pursuant to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shall be conducted in such manner as not to interfere unreasonably with the conduct of the business of the other Party.</w:t>
      </w:r>
    </w:p>
    <w:p>
      <w:pPr>
        <w:spacing w:after="0" w:line="171" w:lineRule="exact"/>
        <w:rPr>
          <w:sz w:val="20"/>
          <w:szCs w:val="20"/>
          <w:color w:val="auto"/>
        </w:rPr>
      </w:pPr>
    </w:p>
    <w:p>
      <w:pPr>
        <w:ind w:firstLine="1253"/>
        <w:spacing w:after="0" w:line="250" w:lineRule="auto"/>
        <w:tabs>
          <w:tab w:leader="none" w:pos="147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herein to the contrary in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no access or examination contemplated by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shall be permitted to the extent that it would require any Party or its Subsidiaries to (i) waive the attorney-client privilege or attorney work product privilege, (ii) violate any applicable Law or (iii) breach such Party’s confidentiality obligations to a third party as in effect as of the date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and (IV) in the case of subsection (iii) above, upon the other Party’s reasonable request, such Party shall use its reasonable efforts to obtain such third party’s consent to permit such other Party access to such information, subject to appropriate confidentiality protections.</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No Solicitation.</w:t>
      </w:r>
    </w:p>
    <w:p>
      <w:pPr>
        <w:spacing w:after="0" w:line="194" w:lineRule="exact"/>
        <w:rPr>
          <w:sz w:val="20"/>
          <w:szCs w:val="20"/>
          <w:color w:val="auto"/>
        </w:rPr>
      </w:pPr>
    </w:p>
    <w:p>
      <w:pPr>
        <w:ind w:firstLine="1253"/>
        <w:spacing w:after="0" w:line="250" w:lineRule="auto"/>
        <w:tabs>
          <w:tab w:leader="none" w:pos="146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Gem and the Company agrees that, during the Pre-Closing Period, except as set forth in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neither it nor any of its Subsidiaries shall, nor shall it or any of its Subsidiaries authorize any of its Representatives to, directly or indirectly: (i) solicit, seek,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(other than the Company or Gem)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(v) execute or enter into any letter of intent or any Contract contemplating or otherwise relating to any Acquisition Transaction, or (vi) publicly propose to do any of the foregoing; provided, however, that, notwithstanding anything contained in this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9620"/>
          </w:cols>
          <w:pgMar w:left="1120" w:top="253" w:right="1159" w:bottom="1440" w:gutter="0" w:footer="0" w:header="0"/>
        </w:sectPr>
      </w:pPr>
    </w:p>
    <w:bookmarkStart w:id="85" w:name="page86"/>
    <w:bookmarkEnd w:id="85"/>
    <w:p>
      <w:pPr>
        <w:ind w:left="1" w:right="40"/>
        <w:spacing w:after="0" w:line="268" w:lineRule="auto"/>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5.4</w:t>
      </w:r>
      <w:r>
        <w:rPr>
          <w:rFonts w:ascii="Times New Roman" w:cs="Times New Roman" w:eastAsia="Times New Roman" w:hAnsi="Times New Roman"/>
          <w:sz w:val="15"/>
          <w:szCs w:val="15"/>
          <w:color w:val="auto"/>
        </w:rPr>
        <w:t xml:space="preserve"> and subject to compliance with this </w:t>
      </w:r>
      <w:r>
        <w:rPr>
          <w:rFonts w:ascii="Times New Roman" w:cs="Times New Roman" w:eastAsia="Times New Roman" w:hAnsi="Times New Roman"/>
          <w:sz w:val="15"/>
          <w:szCs w:val="15"/>
          <w:u w:val="single" w:color="auto"/>
          <w:color w:val="auto"/>
        </w:rPr>
        <w:t>Section 5.4</w:t>
      </w:r>
      <w:r>
        <w:rPr>
          <w:rFonts w:ascii="Times New Roman" w:cs="Times New Roman" w:eastAsia="Times New Roman" w:hAnsi="Times New Roman"/>
          <w:sz w:val="15"/>
          <w:szCs w:val="15"/>
          <w:color w:val="auto"/>
        </w:rPr>
        <w:t>, prior to the approval of this Agreement by a Party’s stockholders (i.e., the Required Company Stockholder Vote, in the case of the Company and its Subsidiaries, or the Required Gem Stockholder Vote in the case of Gem),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w:t>
      </w:r>
    </w:p>
    <w:p>
      <w:pPr>
        <w:ind w:left="1" w:hanging="1"/>
        <w:spacing w:after="0" w:line="247" w:lineRule="auto"/>
        <w:tabs>
          <w:tab w:leader="none" w:pos="25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such Party nor any Representative of such Party shall have breached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 the board of directors of such Party concludes in good faith based on the advice of outside legal counsel, that the failure to take such action would constitute a violation of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by such Party, the taking of such action by such Representative shall be deemed to constitute a breach of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by such Party for purposes of this Agreement.</w:t>
      </w:r>
    </w:p>
    <w:p>
      <w:pPr>
        <w:spacing w:after="0" w:line="170" w:lineRule="exact"/>
        <w:rPr>
          <w:rFonts w:ascii="Times New Roman" w:cs="Times New Roman" w:eastAsia="Times New Roman" w:hAnsi="Times New Roman"/>
          <w:sz w:val="16"/>
          <w:szCs w:val="16"/>
          <w:color w:val="auto"/>
        </w:rPr>
      </w:pPr>
    </w:p>
    <w:p>
      <w:pPr>
        <w:ind w:left="1" w:right="60" w:firstLine="1253"/>
        <w:spacing w:after="0" w:line="252" w:lineRule="auto"/>
        <w:tabs>
          <w:tab w:leader="none" w:pos="1479"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Party or any Representative of such Party receives an Acquisition Proposal or Acquisition Inquiry at any time during the Pre-Closing Period, then such Party shall promptly (and in no event later than twenty-four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65" w:lineRule="exact"/>
        <w:rPr>
          <w:rFonts w:ascii="Times New Roman" w:cs="Times New Roman" w:eastAsia="Times New Roman" w:hAnsi="Times New Roman"/>
          <w:sz w:val="16"/>
          <w:szCs w:val="16"/>
          <w:color w:val="auto"/>
        </w:rPr>
      </w:pPr>
    </w:p>
    <w:p>
      <w:pPr>
        <w:ind w:left="1" w:right="100" w:firstLine="1253"/>
        <w:spacing w:after="0" w:line="261" w:lineRule="auto"/>
        <w:tabs>
          <w:tab w:leader="none" w:pos="147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w:t>
      </w:r>
    </w:p>
    <w:p>
      <w:pPr>
        <w:spacing w:after="0" w:line="157" w:lineRule="exact"/>
        <w:rPr>
          <w:sz w:val="20"/>
          <w:szCs w:val="20"/>
          <w:color w:val="auto"/>
        </w:rPr>
      </w:pPr>
    </w:p>
    <w:p>
      <w:pPr>
        <w:ind w:left="1" w:right="20" w:firstLine="869"/>
        <w:spacing w:after="0" w:line="252"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Notification of Certain Matters</w:t>
      </w:r>
      <w:r>
        <w:rPr>
          <w:rFonts w:ascii="Times New Roman" w:cs="Times New Roman" w:eastAsia="Times New Roman" w:hAnsi="Times New Roman"/>
          <w:sz w:val="16"/>
          <w:szCs w:val="16"/>
          <w:color w:val="auto"/>
        </w:rPr>
        <w:t>. During the Pre-Closing Period, each of the Company, on the one hand, and Gem,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w:t>
      </w:r>
    </w:p>
    <w:p>
      <w:pPr>
        <w:spacing w:after="0" w:line="1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9601"/>
          </w:cols>
          <w:pgMar w:left="1119" w:top="253" w:right="1179" w:bottom="1440" w:gutter="0" w:footer="0" w:header="0"/>
        </w:sectPr>
      </w:pPr>
    </w:p>
    <w:bookmarkStart w:id="86" w:name="page87"/>
    <w:bookmarkEnd w:id="86"/>
    <w:p>
      <w:pPr>
        <w:ind w:right="10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xml:space="preserve">, as applicable, impossible or materially less likely. No such notice shall be deemed to supplement or amend the Company Disclosure Schedule or the Gem Disclosure Schedule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8 or 9 has been satisfied. Any failure by either Party to provide notice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shall not be deemed to be a breach for purposes of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9.2</w:t>
      </w:r>
      <w:r>
        <w:rPr>
          <w:rFonts w:ascii="Times New Roman" w:cs="Times New Roman" w:eastAsia="Times New Roman" w:hAnsi="Times New Roman"/>
          <w:sz w:val="16"/>
          <w:szCs w:val="16"/>
          <w:color w:val="auto"/>
        </w:rPr>
        <w:t>, as applicable, unless such failure to provide such notice was knowing and intentional.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-266700</wp:posOffset>
            </wp:positionV>
            <wp:extent cx="7493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CVR Arrangements</w:t>
      </w:r>
      <w:r>
        <w:rPr>
          <w:rFonts w:ascii="Times New Roman" w:cs="Times New Roman" w:eastAsia="Times New Roman" w:hAnsi="Times New Roman"/>
          <w:sz w:val="16"/>
          <w:szCs w:val="16"/>
          <w:color w:val="auto"/>
        </w:rPr>
        <w:t>. Prior to the Effective Time, Gem, a Holders’ Representative and a Rights Agent shall execute the CVR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w:t>
      </w:r>
    </w:p>
    <w:p>
      <w:pPr>
        <w:spacing w:after="0" w:line="177" w:lineRule="exact"/>
        <w:rPr>
          <w:sz w:val="20"/>
          <w:szCs w:val="20"/>
          <w:color w:val="auto"/>
        </w:rPr>
      </w:pPr>
    </w:p>
    <w:p>
      <w:pPr>
        <w:ind w:right="80" w:firstLine="869"/>
        <w:spacing w:after="0" w:line="268"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u w:val="single" w:color="auto"/>
          <w:color w:val="auto"/>
        </w:rPr>
        <w:t>Gem Asset Disposition</w:t>
      </w:r>
      <w:r>
        <w:rPr>
          <w:rFonts w:ascii="Times New Roman" w:cs="Times New Roman" w:eastAsia="Times New Roman" w:hAnsi="Times New Roman"/>
          <w:sz w:val="15"/>
          <w:szCs w:val="15"/>
          <w:color w:val="auto"/>
        </w:rPr>
        <w:t>. The Company and Gem agree that Gem may, without the prior written consent of the Company, sell, assign, license, or otherwise dispose of, in one or more transactions some or all of its non-cash assets at any time prior to or concurrent with the Closing, provided that such sale or disposition is also approved by the Gem Board of Directors or a committee thereof (each a “</w:t>
      </w:r>
      <w:r>
        <w:rPr>
          <w:rFonts w:ascii="Times New Roman" w:cs="Times New Roman" w:eastAsia="Times New Roman" w:hAnsi="Times New Roman"/>
          <w:sz w:val="15"/>
          <w:szCs w:val="15"/>
          <w:b w:val="1"/>
          <w:bCs w:val="1"/>
          <w:color w:val="auto"/>
        </w:rPr>
        <w:t>Gem Asset Disposition</w:t>
      </w:r>
      <w:r>
        <w:rPr>
          <w:rFonts w:ascii="Times New Roman" w:cs="Times New Roman" w:eastAsia="Times New Roman" w:hAnsi="Times New Roman"/>
          <w:sz w:val="15"/>
          <w:szCs w:val="15"/>
          <w:color w:val="auto"/>
        </w:rPr>
        <w:t>”). Notwithstanding the foregoing, Gem may not enter into any agreement with respect to a Gem Asset Disposition that would result in a Material Continuing Obligation without the prior written consent of the Company (not to be unreasonably withheld, conditioned or delayed), provided, however, that in the event that Gem intends to enter into any agreement with respect to a Gem Asset Disposition that would be reasonably likely to result in a material continuing obligation or liability of either Gem or the Company on or after the Closing that is not a Material Continuing Obligation, Gem shall provide the Company with written notice of such Gem Asset Disposition at least ten (10) Business Days prior to the consummation of such Gem Asset Disposition, which notice shall include a summary of the material terms relating to such Gem Asset Disposition (including any potential material continuing obligations or liabilities). Notwithstanding anything in this Agreement to the contrary, for clarity, this Section 5.7 shall not apply to any liability or obligation if such liability or obligation will be a deduction to Gem Net Cash pursuant to the definition thereof.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Additional Agreements of the Parties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Registration Statement; Proxy Statement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50" w:lineRule="auto"/>
        <w:tabs>
          <w:tab w:leader="none" w:pos="146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date of this Agreement, (i) Gem shall, in cooperation with the Company, prepare and file with the SEC a proxy statement relating to the Gem Stockholder Meeting to be held in connection with the Merger (together with any amendments thereof or supplements thereto, the “</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 and (ii) Gem, in cooperation with the Company, shall prepare and file with the SEC a registration statement on Form S-4 (the “</w:t>
      </w:r>
      <w:r>
        <w:rPr>
          <w:rFonts w:ascii="Times New Roman" w:cs="Times New Roman" w:eastAsia="Times New Roman" w:hAnsi="Times New Roman"/>
          <w:sz w:val="16"/>
          <w:szCs w:val="16"/>
          <w:b w:val="1"/>
          <w:bCs w:val="1"/>
          <w:color w:val="auto"/>
        </w:rPr>
        <w:t>Form S-4</w:t>
      </w:r>
      <w:r>
        <w:rPr>
          <w:rFonts w:ascii="Times New Roman" w:cs="Times New Roman" w:eastAsia="Times New Roman" w:hAnsi="Times New Roman"/>
          <w:sz w:val="16"/>
          <w:szCs w:val="16"/>
          <w:color w:val="auto"/>
        </w:rPr>
        <w:t>”), in which the Proxy Statement shall be included as a part (the Proxy Statement and the Form S-4, collectively,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in connection with the registration under the Securities Act of the shares of Gem Common Stock to be issued by virtue of the Merger. Each of Gem and the Company shall use their reasonable best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Gem Common Stock pursuant to the Merger. Each of the Parties shall furnish all information concerning itself and their Affiliates, as applicable, to the other Parties as the other Parties may reasonably request in connection with such actions and the preparation of the Registration Statement and Proxy Statement.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9640"/>
          </w:cols>
          <w:pgMar w:left="1120" w:top="253" w:right="1139" w:bottom="1440" w:gutter="0" w:footer="0" w:header="0"/>
        </w:sectPr>
      </w:pPr>
    </w:p>
    <w:bookmarkStart w:id="87" w:name="page88"/>
    <w:bookmarkEnd w:id="87"/>
    <w:p>
      <w:pPr>
        <w:ind w:left="1" w:firstLine="1253"/>
        <w:spacing w:after="0" w:line="250" w:lineRule="auto"/>
        <w:tabs>
          <w:tab w:leader="none" w:pos="1479"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Gem covenants and agrees that the Registration Statement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or its Subsidiaries to Gem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Gem makes no covenant, representation or warranty with respect to statements made in the Registration Statement (and the letter to stockholders, notice of meeting and form of proxy included therewith), if any, based on information provided by the Company or its Subsidiaries or any of their Representatives for inclusion therein.</w:t>
      </w:r>
    </w:p>
    <w:p>
      <w:pPr>
        <w:spacing w:after="0" w:line="167" w:lineRule="exact"/>
        <w:rPr>
          <w:rFonts w:ascii="Times New Roman" w:cs="Times New Roman" w:eastAsia="Times New Roman" w:hAnsi="Times New Roman"/>
          <w:sz w:val="16"/>
          <w:szCs w:val="16"/>
          <w:color w:val="auto"/>
        </w:rPr>
      </w:pPr>
    </w:p>
    <w:p>
      <w:pPr>
        <w:ind w:left="1" w:right="180" w:firstLine="1253"/>
        <w:spacing w:after="0" w:line="275" w:lineRule="auto"/>
        <w:tabs>
          <w:tab w:leader="none" w:pos="147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shall cause the Proxy Statement to be mailed to Gem’s stockholders as promptly as practicable after the Registration Statement is declared effective under the Securities Act. If Gem,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Gem stockholders.</w:t>
      </w:r>
    </w:p>
    <w:p>
      <w:pPr>
        <w:spacing w:after="0" w:line="147" w:lineRule="exact"/>
        <w:rPr>
          <w:rFonts w:ascii="Times New Roman" w:cs="Times New Roman" w:eastAsia="Times New Roman" w:hAnsi="Times New Roman"/>
          <w:sz w:val="15"/>
          <w:szCs w:val="15"/>
          <w:color w:val="auto"/>
        </w:rPr>
      </w:pPr>
    </w:p>
    <w:p>
      <w:pPr>
        <w:ind w:left="1" w:right="100" w:firstLine="1253"/>
        <w:spacing w:after="0" w:line="269" w:lineRule="auto"/>
        <w:tabs>
          <w:tab w:leader="none" w:pos="1479"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reasonably cooperate with Gem and provide, and cause its Representatives to provide, Gem and its Representatives, with all accurate and complete information regarding the Company or its Subsidiaries that is required by Law to be included in the Registration Statement or reasonably requested by Gem to be included in the Registration Statement. Without limiting the foregoing, the Company will use commercially reasonable efforts to cause to be delivered to Gem a letter of the Company’s independent accounting firm, dated no more than two</w:t>
      </w:r>
    </w:p>
    <w:p>
      <w:pPr>
        <w:ind w:left="1" w:right="40" w:hanging="1"/>
        <w:spacing w:after="0" w:line="250" w:lineRule="auto"/>
        <w:tabs>
          <w:tab w:leader="none" w:pos="22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before the date on which the Registration Statement becomes effective (and reasonably satisfactory in form and substance to Gem), that is customary in scope and substance for letters delivered by independent public accountants in connection with registration statements similar to the Registration Statement.</w:t>
      </w:r>
    </w:p>
    <w:p>
      <w:pPr>
        <w:spacing w:after="0" w:line="164" w:lineRule="exact"/>
        <w:rPr>
          <w:rFonts w:ascii="Times New Roman" w:cs="Times New Roman" w:eastAsia="Times New Roman" w:hAnsi="Times New Roman"/>
          <w:sz w:val="16"/>
          <w:szCs w:val="16"/>
          <w:color w:val="auto"/>
        </w:rPr>
      </w:pPr>
    </w:p>
    <w:p>
      <w:pPr>
        <w:ind w:left="1" w:firstLine="1253"/>
        <w:spacing w:after="0" w:line="250" w:lineRule="auto"/>
        <w:tabs>
          <w:tab w:leader="none" w:pos="147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reasonably practicable following the date of this Agreement the Company will furnish to Gem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6"/>
          <w:szCs w:val="16"/>
          <w:b w:val="1"/>
          <w:bCs w:val="1"/>
          <w:color w:val="auto"/>
        </w:rPr>
        <w:t>Company Interim Financial Statements</w:t>
      </w:r>
      <w:r>
        <w:rPr>
          <w:rFonts w:ascii="Times New Roman" w:cs="Times New Roman" w:eastAsia="Times New Roman" w:hAnsi="Times New Roman"/>
          <w:sz w:val="16"/>
          <w:szCs w:val="16"/>
          <w:color w:val="auto"/>
        </w:rPr>
        <w:t>”). The Company Interim Financial Statements for the three and six months ended June 30, 2022 shall be furnished to Gem no later than August 31, 2022.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9641"/>
          </w:cols>
          <w:pgMar w:left="1119" w:top="253" w:right="1139" w:bottom="1440" w:gutter="0" w:footer="0" w:header="0"/>
        </w:sectPr>
      </w:pPr>
    </w:p>
    <w:bookmarkStart w:id="88" w:name="page89"/>
    <w:bookmarkEnd w:id="88"/>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6.2 </w:t>
      </w:r>
      <w:r>
        <w:rPr>
          <w:rFonts w:ascii="Times New Roman" w:cs="Times New Roman" w:eastAsia="Times New Roman" w:hAnsi="Times New Roman"/>
          <w:sz w:val="16"/>
          <w:szCs w:val="16"/>
          <w:u w:val="single" w:color="auto"/>
          <w:color w:val="auto"/>
        </w:rPr>
        <w:t>Company Stockholder Written Consent.</w:t>
      </w:r>
    </w:p>
    <w:p>
      <w:pPr>
        <w:spacing w:after="0" w:line="100"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(a) Promptly after the Registration Statement has been declared effective under the Securities Act, and in any event no later than</w:t>
      </w:r>
    </w:p>
    <w:p>
      <w:pPr>
        <w:spacing w:after="0" w:line="22" w:lineRule="exact"/>
        <w:rPr>
          <w:sz w:val="20"/>
          <w:szCs w:val="20"/>
          <w:color w:val="auto"/>
        </w:rPr>
      </w:pPr>
    </w:p>
    <w:p>
      <w:pPr>
        <w:ind w:left="1"/>
        <w:spacing w:after="0" w:line="237" w:lineRule="auto"/>
        <w:rPr>
          <w:sz w:val="20"/>
          <w:szCs w:val="20"/>
          <w:color w:val="auto"/>
        </w:rPr>
      </w:pPr>
      <w:r>
        <w:rPr>
          <w:rFonts w:ascii="Times New Roman" w:cs="Times New Roman" w:eastAsia="Times New Roman" w:hAnsi="Times New Roman"/>
          <w:sz w:val="16"/>
          <w:szCs w:val="16"/>
          <w:color w:val="auto"/>
        </w:rPr>
        <w:t>5:00p.m. Eastern Time on the date that is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Business Day after the Registration Statement has been declared effective under the Securities Act,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(including the Merger),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Under no circumstances shall the Company assert that any other approval or consent is necessary by its stockholders to approve this Agreement and the Contemplated Transactions. Promptly following receipt of the duly executed Company Stockholder Written Consent, the Company shall deliver a copy of the duly executed Company Stockholder Written Consent to Parent, accompanied by a certificate signed by the Chief Executive Officer of the Company certifying to the accuracy and completeness of such Company Stockholder Written Consent.</w:t>
      </w:r>
    </w:p>
    <w:p>
      <w:pPr>
        <w:spacing w:after="0" w:line="175" w:lineRule="exact"/>
        <w:rPr>
          <w:sz w:val="20"/>
          <w:szCs w:val="20"/>
          <w:color w:val="auto"/>
        </w:rPr>
      </w:pPr>
    </w:p>
    <w:p>
      <w:pPr>
        <w:ind w:left="1" w:right="140" w:firstLine="1253"/>
        <w:spacing w:after="0" w:line="266" w:lineRule="auto"/>
        <w:tabs>
          <w:tab w:leader="none" w:pos="1479"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receipt of the Required Company Stockholder Vote, the Company shall prepare and mail a notice (the “</w:t>
      </w:r>
      <w:r>
        <w:rPr>
          <w:rFonts w:ascii="Times New Roman" w:cs="Times New Roman" w:eastAsia="Times New Roman" w:hAnsi="Times New Roman"/>
          <w:sz w:val="15"/>
          <w:szCs w:val="15"/>
          <w:b w:val="1"/>
          <w:bCs w:val="1"/>
          <w:color w:val="auto"/>
        </w:rPr>
        <w:t>Stockholder Notice</w:t>
      </w:r>
      <w:r>
        <w:rPr>
          <w:rFonts w:ascii="Times New Roman" w:cs="Times New Roman" w:eastAsia="Times New Roman" w:hAnsi="Times New Roman"/>
          <w:sz w:val="15"/>
          <w:szCs w:val="15"/>
          <w:color w:val="auto"/>
        </w:rPr>
        <w:t>”), in accordance with Section 228(e) of the DGCL, to every stockholder of the Company that did not execute the Company Stockholder Written Consent. The Stockholder Notice shall (i) include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w:t>
      </w:r>
    </w:p>
    <w:p>
      <w:pPr>
        <w:spacing w:after="0" w:line="3" w:lineRule="exact"/>
        <w:rPr>
          <w:rFonts w:ascii="Times New Roman" w:cs="Times New Roman" w:eastAsia="Times New Roman" w:hAnsi="Times New Roman"/>
          <w:sz w:val="15"/>
          <w:szCs w:val="15"/>
          <w:color w:val="auto"/>
        </w:rPr>
      </w:pPr>
    </w:p>
    <w:p>
      <w:pPr>
        <w:ind w:left="1" w:hanging="1"/>
        <w:spacing w:after="0" w:line="250" w:lineRule="auto"/>
        <w:tabs>
          <w:tab w:leader="none" w:pos="27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 a description notice of the availability of appraisal rights of the Company’s stockholders available under Section 262 of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xml:space="preserve"> shall be subject to Gem’s advance review and reasonable approval.</w:t>
      </w:r>
    </w:p>
    <w:p>
      <w:pPr>
        <w:spacing w:after="0" w:line="164" w:lineRule="exact"/>
        <w:rPr>
          <w:rFonts w:ascii="Times New Roman" w:cs="Times New Roman" w:eastAsia="Times New Roman" w:hAnsi="Times New Roman"/>
          <w:sz w:val="16"/>
          <w:szCs w:val="16"/>
          <w:color w:val="auto"/>
        </w:rPr>
      </w:pPr>
    </w:p>
    <w:p>
      <w:pPr>
        <w:ind w:left="1" w:right="120" w:firstLine="1253"/>
        <w:spacing w:after="0" w:line="254" w:lineRule="auto"/>
        <w:tabs>
          <w:tab w:leader="none" w:pos="147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agrees that, subject to </w:t>
      </w:r>
      <w:r>
        <w:rPr>
          <w:rFonts w:ascii="Times New Roman" w:cs="Times New Roman" w:eastAsia="Times New Roman" w:hAnsi="Times New Roman"/>
          <w:sz w:val="16"/>
          <w:szCs w:val="16"/>
          <w:u w:val="single" w:color="auto"/>
          <w:color w:val="auto"/>
        </w:rPr>
        <w:t>Section 6.2(d)</w:t>
      </w:r>
      <w:r>
        <w:rPr>
          <w:rFonts w:ascii="Times New Roman" w:cs="Times New Roman" w:eastAsia="Times New Roman" w:hAnsi="Times New Roman"/>
          <w:sz w:val="16"/>
          <w:szCs w:val="16"/>
          <w:color w:val="auto"/>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(the recommendation of the Company Board that the Company’s stockholders vote to adopt and approve this Agreement being referred to as the “</w:t>
      </w:r>
      <w:r>
        <w:rPr>
          <w:rFonts w:ascii="Times New Roman" w:cs="Times New Roman" w:eastAsia="Times New Roman" w:hAnsi="Times New Roman"/>
          <w:sz w:val="16"/>
          <w:szCs w:val="16"/>
          <w:b w:val="1"/>
          <w:bCs w:val="1"/>
          <w:color w:val="auto"/>
        </w:rPr>
        <w:t>Company Board Recommendation</w:t>
      </w:r>
      <w:r>
        <w:rPr>
          <w:rFonts w:ascii="Times New Roman" w:cs="Times New Roman" w:eastAsia="Times New Roman" w:hAnsi="Times New Roman"/>
          <w:sz w:val="16"/>
          <w:szCs w:val="16"/>
          <w:color w:val="auto"/>
        </w:rPr>
        <w:t>”) and (ii) the Company Board Recommendation shall not be withdrawn or modified (and the Company Board shall not publicly</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9621"/>
          </w:cols>
          <w:pgMar w:left="1119" w:top="253" w:right="1159" w:bottom="1440" w:gutter="0" w:footer="0" w:header="0"/>
        </w:sectPr>
      </w:pPr>
    </w:p>
    <w:bookmarkStart w:id="89" w:name="page90"/>
    <w:bookmarkEnd w:id="89"/>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propose to withdraw or modify the Company Board Recommendation) in a manner adverse to Gem, and no resolution by the Company Board or any committee thereof to withdraw or modify the Company Board Recommendation in a manner adverse to Gem or to adopt, approve or recommend (or publicly propose to adopt, approve or recommend) any Acquisition Proposal shall be adopted or proposed.</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(d) Notwithstanding anything to the contrary contained in </w:t>
      </w:r>
      <w:r>
        <w:rPr>
          <w:rFonts w:ascii="Times New Roman" w:cs="Times New Roman" w:eastAsia="Times New Roman" w:hAnsi="Times New Roman"/>
          <w:sz w:val="16"/>
          <w:szCs w:val="16"/>
          <w:u w:val="single" w:color="auto"/>
          <w:color w:val="auto"/>
        </w:rPr>
        <w:t>Section 6.2(c)</w:t>
      </w:r>
      <w:r>
        <w:rPr>
          <w:rFonts w:ascii="Times New Roman" w:cs="Times New Roman" w:eastAsia="Times New Roman" w:hAnsi="Times New Roman"/>
          <w:sz w:val="16"/>
          <w:szCs w:val="16"/>
          <w:color w:val="auto"/>
        </w:rPr>
        <w:t xml:space="preserve">, and subject to compliance with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if at any time prior to approval and adoption of this Agreement by the Required Company Stockholder Vote, the Company receives a bona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fide written Superior Offer, the Company Board may withhold, amend, withdraw or modify the Company Board Recommendation (or publicly propose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withhold, amend, withdraw or modify the Company Board Recommendation) in a manner adverse to Gem (collectively, a “</w:t>
      </w:r>
      <w:r>
        <w:rPr>
          <w:rFonts w:ascii="Times New Roman" w:cs="Times New Roman" w:eastAsia="Times New Roman" w:hAnsi="Times New Roman"/>
          <w:sz w:val="16"/>
          <w:szCs w:val="16"/>
          <w:b w:val="1"/>
          <w:bCs w:val="1"/>
          <w:color w:val="auto"/>
        </w:rPr>
        <w:t>Company Board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Adverse Recommendation Change</w:t>
      </w:r>
      <w:r>
        <w:rPr>
          <w:rFonts w:ascii="Times New Roman" w:cs="Times New Roman" w:eastAsia="Times New Roman" w:hAnsi="Times New Roman"/>
          <w:sz w:val="15"/>
          <w:szCs w:val="15"/>
          <w:color w:val="auto"/>
        </w:rPr>
        <w:t>”) if, but only if, following the receipt of and on account of such Superior Offer, (i) the Company Board determines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good faith, based on the advice of its outside legal counsel, that the failure to withhold, amend, withdraw or modify such recommendation would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constitute a violation of the Company Board’s fiduciary duties under applicable Law, (ii) the Company has, and has caused its financial advisors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outside legal counsel to, during the Notice Period (as defined below), negotiate with Gem in good faith to make such adjustments to the terms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conditions of this Agreement so that such Acquisition Proposal ceases to constitute a Superior Offer and (iii) if after Gem shall have delivered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a written offer to alter the terms or conditions of this Agreement during the Notice Period, the Company Board shall have determined in good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faith, based on the advice of its outside legal counsel, that the failure to withhold, amend, withdraw or modify the Company Board Recommendation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would constitute a violation of the Company Board’s fiduciary duties under applicable Law (after taking into account such alterations of the terms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conditions of this Agreement); provided that (x) Gem receives written notice from the Company confirming that the Company Board has determined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 its recommendation at least four (4) Business Days in advance of the Company Board Adverse Recommendation Change (the “</w:t>
      </w:r>
      <w:r>
        <w:rPr>
          <w:rFonts w:ascii="Times New Roman" w:cs="Times New Roman" w:eastAsia="Times New Roman" w:hAnsi="Times New Roman"/>
          <w:sz w:val="15"/>
          <w:szCs w:val="15"/>
          <w:b w:val="1"/>
          <w:bCs w:val="1"/>
          <w:color w:val="auto"/>
        </w:rPr>
        <w:t>Notice Period</w:t>
      </w:r>
      <w:r>
        <w:rPr>
          <w:rFonts w:ascii="Times New Roman" w:cs="Times New Roman" w:eastAsia="Times New Roman" w:hAnsi="Times New Roman"/>
          <w:sz w:val="15"/>
          <w:szCs w:val="15"/>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notice shall include a description in reasonable detail of the reasons for such Company Board Adverse Recommendation Change, and written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copies of any relevant proposed transaction agreements with any party making a potential Superior Offer, (y) during any Notice Period, Gem shall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entitled to deliver to the Company one or more counterproposals to such Acquisition Proposal and the Company will, and cause its Representatives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negotiate with Gem in good faith (to the extent Gem desires to negotiate) to make such adjustments in the terms and conditions of this Agreement so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the applicable Acquisition Proposal ceases to constitute a Superior Offer and (z) in the event of any material amendment to any Superior Offer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any revision in the amount, form or mix of consideration the Company’s stockholders would receive as a result of such potential Superior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Offer), the Company shall be required to provide Gem with notice of such material amendment and the Notice Period shall be extended, if applicable,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ensure that at least two (2) Business Days remain in the Notice Period following such notification during which the parties shall comply again with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requirements of this </w:t>
      </w:r>
      <w:r>
        <w:rPr>
          <w:rFonts w:ascii="Times New Roman" w:cs="Times New Roman" w:eastAsia="Times New Roman" w:hAnsi="Times New Roman"/>
          <w:sz w:val="16"/>
          <w:szCs w:val="16"/>
          <w:u w:val="single" w:color="auto"/>
          <w:color w:val="auto"/>
        </w:rPr>
        <w:t>Section 6.2(d)</w:t>
      </w:r>
      <w:r>
        <w:rPr>
          <w:rFonts w:ascii="Times New Roman" w:cs="Times New Roman" w:eastAsia="Times New Roman" w:hAnsi="Times New Roman"/>
          <w:sz w:val="16"/>
          <w:szCs w:val="16"/>
          <w:color w:val="auto"/>
        </w:rPr>
        <w:t xml:space="preserve"> and the Company Board shall not make a Company Board Adverse Recommendation Change prior to the end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Notice Period as so extended (it being understood that there may be multiple extensions).</w:t>
      </w:r>
    </w:p>
    <w:p>
      <w:pPr>
        <w:spacing w:after="0" w:line="177" w:lineRule="exact"/>
        <w:rPr>
          <w:sz w:val="20"/>
          <w:szCs w:val="20"/>
          <w:color w:val="auto"/>
        </w:rPr>
      </w:pPr>
    </w:p>
    <w:p>
      <w:pPr>
        <w:jc w:val="both"/>
        <w:ind w:right="520" w:firstLine="1253"/>
        <w:spacing w:after="0" w:line="261" w:lineRule="auto"/>
        <w:tabs>
          <w:tab w:leader="none" w:pos="146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9620"/>
          </w:cols>
          <w:pgMar w:left="1120" w:top="253" w:right="115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6.3 </w:t>
      </w:r>
      <w:r>
        <w:rPr>
          <w:rFonts w:ascii="Times New Roman" w:cs="Times New Roman" w:eastAsia="Times New Roman" w:hAnsi="Times New Roman"/>
          <w:sz w:val="16"/>
          <w:szCs w:val="16"/>
          <w:u w:val="single" w:color="auto"/>
          <w:color w:val="auto"/>
        </w:rPr>
        <w:t>Gem Stockholder Meeting.</w:t>
      </w:r>
    </w:p>
    <w:p>
      <w:pPr>
        <w:spacing w:after="0" w:line="100" w:lineRule="exact"/>
        <w:rPr>
          <w:sz w:val="20"/>
          <w:szCs w:val="20"/>
          <w:color w:val="auto"/>
        </w:rPr>
      </w:pPr>
    </w:p>
    <w:p>
      <w:pPr>
        <w:ind w:firstLine="1253"/>
        <w:spacing w:after="0" w:line="267" w:lineRule="auto"/>
        <w:tabs>
          <w:tab w:leader="none" w:pos="14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Gem shall take all action necessary under applicable Law to call, give notice of and hold a meeting of the holders of Gem Common Stock to consider and vote to approve this Agreement and the Contemplated Transactions, including the issuance of the shares of Gem Common Stock to the stockholders of the Company pursuant to the terms of this Agreement, an amendment to Gem’s certificate of incorporation to effect the Nasdaq Reverse Split, and the approval of the Equity Plan Amendments (collectively, the “</w:t>
      </w:r>
      <w:r>
        <w:rPr>
          <w:rFonts w:ascii="Times New Roman" w:cs="Times New Roman" w:eastAsia="Times New Roman" w:hAnsi="Times New Roman"/>
          <w:sz w:val="15"/>
          <w:szCs w:val="15"/>
          <w:b w:val="1"/>
          <w:bCs w:val="1"/>
          <w:color w:val="auto"/>
        </w:rPr>
        <w:t>Gem Stockholder Matters</w:t>
      </w:r>
      <w:r>
        <w:rPr>
          <w:rFonts w:ascii="Times New Roman" w:cs="Times New Roman" w:eastAsia="Times New Roman" w:hAnsi="Times New Roman"/>
          <w:sz w:val="15"/>
          <w:szCs w:val="15"/>
          <w:color w:val="auto"/>
        </w:rPr>
        <w:t>” and such meeting, the “</w:t>
      </w:r>
      <w:r>
        <w:rPr>
          <w:rFonts w:ascii="Times New Roman" w:cs="Times New Roman" w:eastAsia="Times New Roman" w:hAnsi="Times New Roman"/>
          <w:sz w:val="15"/>
          <w:szCs w:val="15"/>
          <w:b w:val="1"/>
          <w:bCs w:val="1"/>
          <w:color w:val="auto"/>
        </w:rPr>
        <w:t>Gem Stockholder Meeting</w:t>
      </w:r>
      <w:r>
        <w:rPr>
          <w:rFonts w:ascii="Times New Roman" w:cs="Times New Roman" w:eastAsia="Times New Roman" w:hAnsi="Times New Roman"/>
          <w:sz w:val="15"/>
          <w:szCs w:val="15"/>
          <w:color w:val="auto"/>
        </w:rPr>
        <w:t>”). The Gem Stockholder Meeting shall be held as promptly as practicable after the Registration Statement is declared effective under the Securities Act, and in any event no later than forty-five (45) days after the effective date of the Registration Statement. Gem shall take reasonable measures to ensure that all proxies solicited in connection with the Gem Stockholder Meeting are solicited in compliance with all applicable Law. Notwithstanding anything to the contrary contained herein, if on the date of the Gem Stockholder Meeting, or a date preceding the date on which the Gem Stockholder Meeting is scheduled, Gem reasonably believes that (i) it will not receive proxies sufficient to obtain the Required Gem Stockholder Vote, whether or not a quorum would be present or (ii) it will not have sufficient shares of Gem Common Stock represented (whether in person or by proxy) to constitute a quorum necessary to conduct the business of the Gem Stockholder Meeting, Gem may postpone or adjourn, or make one or more successive postponements or adjournments of, the Gem Stockholder Meeting as long as the date of the Gem Stockholder Meeting is not postponed or adjourned more than an aggregate of forty (40) days in connection with any postponements or adjournments.</w:t>
      </w:r>
    </w:p>
    <w:p>
      <w:pPr>
        <w:spacing w:after="0" w:line="154" w:lineRule="exact"/>
        <w:rPr>
          <w:rFonts w:ascii="Times New Roman" w:cs="Times New Roman" w:eastAsia="Times New Roman" w:hAnsi="Times New Roman"/>
          <w:sz w:val="15"/>
          <w:szCs w:val="15"/>
          <w:color w:val="auto"/>
        </w:rPr>
      </w:pPr>
    </w:p>
    <w:p>
      <w:pPr>
        <w:ind w:firstLine="1253"/>
        <w:spacing w:after="0" w:line="250" w:lineRule="auto"/>
        <w:tabs>
          <w:tab w:leader="none" w:pos="147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agrees that, subject to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 xml:space="preserve">: (i) the Gem Board shall recommend that the holders of Gem Common Stock vote to approve the Gem Stockholder Matters and shall use commercially reasonable efforts to solicit such approval within the timeframe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above, (ii) the Proxy Statement shall include a statement to the effect that the Gem Board recommends that Gem’s stockholders vote to approve the Gem Stockholder Matters (the recommendation of the Gem Board being referred to as the “</w:t>
      </w:r>
      <w:r>
        <w:rPr>
          <w:rFonts w:ascii="Times New Roman" w:cs="Times New Roman" w:eastAsia="Times New Roman" w:hAnsi="Times New Roman"/>
          <w:sz w:val="16"/>
          <w:szCs w:val="16"/>
          <w:b w:val="1"/>
          <w:bCs w:val="1"/>
          <w:color w:val="auto"/>
        </w:rPr>
        <w:t>Gem Board Recommendation</w:t>
      </w:r>
      <w:r>
        <w:rPr>
          <w:rFonts w:ascii="Times New Roman" w:cs="Times New Roman" w:eastAsia="Times New Roman" w:hAnsi="Times New Roman"/>
          <w:sz w:val="16"/>
          <w:szCs w:val="16"/>
          <w:color w:val="auto"/>
        </w:rPr>
        <w:t>”) and (iii) the Gem Board Recommendation shall not be withheld, amended, withdrawn or modified (and the Gem Board shall not publicly propose to withhold, amend, withdraw or modify the Gem Board Recommendation) in a manner adverse to the Company, and no resolution by the Gem Board or any committee thereof to withdraw or modify the Gem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6"/>
          <w:szCs w:val="16"/>
          <w:b w:val="1"/>
          <w:bCs w:val="1"/>
          <w:color w:val="auto"/>
        </w:rPr>
        <w:t>Gem Board Adverse Recommendation Change</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and subject to compliance with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and</w:t>
      </w:r>
    </w:p>
    <w:p>
      <w:pPr>
        <w:spacing w:after="0" w:line="2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if at any time prior to the approval of Gem Stockholder Matters by the Required Gem Stockholder Vote, Gem receives a bona fide written Superior Offer, the Gem Board may make a Gem Board Adverse Recommendation Change if, but only if: in the receipt of and on account of such Superior Offer, (i) the Gem Board determines in good faith, based on the advice of its outside legal counsel, that the failure to make a Gem Board Adverse Recommendation Change would constitute a violation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9600"/>
          </w:cols>
          <w:pgMar w:left="1120" w:top="253" w:right="1179" w:bottom="1440" w:gutter="0" w:footer="0" w:header="0"/>
        </w:sectPr>
      </w:pPr>
    </w:p>
    <w:bookmarkStart w:id="91" w:name="page92"/>
    <w:bookmarkEnd w:id="91"/>
    <w:p>
      <w:pPr>
        <w:ind w:left="1"/>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of the Gem Board’s fiduciary duties under applicable Law, (ii) Gem has, and has caused its financial advisors and outside legal counsel to, during the Notice Period, negotiate with Company in good faith to make such adjustments to the terms and conditions of this Agreement so that such Acquisition Proposal ceases to constitute a Superior Offer and (iii) if after the Company shall have delivered to Gem a written offer to alter the terms or conditions of this Agreement during the Notice Period, the Gem Board shall have determined in good faith, based on the advice of its outside legal counsel, that the failure to withhold, amend, withdraw or modify the Gem Board Recommendation would constitute a violation of its fiduciary duties under applicable Law (after taking into account such alterations of the terms and conditions of this Agreement); provided that (1) the Company receives written notice from Gem confirming that the Gem Board has determined to change its recommendation during the Notice Period, which notice shall include a description in reasonable detail of the reasons for such Gem Board Adverse Recommendation Change, and written copies of any relevant proposed transaction agreements with any party making a potential Superior Offer, (2) during any Notice Period, the Company shall be entitled to deliver to Gem one or more counterproposals to such Acquisition Proposal and Gem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Gem’s stockholders would receive as a result of such potential Superior Offer), Gem shall be required to provide the Company with notice of such material amendment and the Notice Period shall be extended, if applicable, to ensure that at least two</w:t>
      </w:r>
    </w:p>
    <w:p>
      <w:pPr>
        <w:spacing w:after="0" w:line="10" w:lineRule="exact"/>
        <w:rPr>
          <w:sz w:val="20"/>
          <w:szCs w:val="20"/>
          <w:color w:val="auto"/>
        </w:rPr>
      </w:pPr>
    </w:p>
    <w:p>
      <w:pPr>
        <w:ind w:left="1" w:right="40" w:hanging="1"/>
        <w:spacing w:after="0" w:line="250" w:lineRule="auto"/>
        <w:tabs>
          <w:tab w:leader="none" w:pos="22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Business Days remain in the Notice Period following such notification during which the parties shall comply again with the requirements of this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 xml:space="preserve"> and the Gem Board shall not make a Gem Board Adverse Recommendation Change prior to the end of such Notice Period as so extended (it being understood that there may be multiple extensions).</w:t>
      </w:r>
    </w:p>
    <w:p>
      <w:pPr>
        <w:spacing w:after="0" w:line="164" w:lineRule="exact"/>
        <w:rPr>
          <w:rFonts w:ascii="Times New Roman" w:cs="Times New Roman" w:eastAsia="Times New Roman" w:hAnsi="Times New Roman"/>
          <w:sz w:val="16"/>
          <w:szCs w:val="16"/>
          <w:color w:val="auto"/>
        </w:rPr>
      </w:pPr>
    </w:p>
    <w:p>
      <w:pPr>
        <w:ind w:left="1" w:right="120" w:firstLine="1253"/>
        <w:spacing w:after="0" w:line="261" w:lineRule="auto"/>
        <w:tabs>
          <w:tab w:leader="none" w:pos="1479"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Gem’s obligation to call, give notice of and hold the Gem Stockholder Meeting in accordance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shall not be limited or otherwise affected by the commencement, disclosure, announcement or submission of any Superior Offer or Acquisition Proposal, or by any withdrawal or modification of the Gem Board Recommendation.</w:t>
      </w:r>
    </w:p>
    <w:p>
      <w:pPr>
        <w:spacing w:after="0" w:line="156" w:lineRule="exact"/>
        <w:rPr>
          <w:rFonts w:ascii="Times New Roman" w:cs="Times New Roman" w:eastAsia="Times New Roman" w:hAnsi="Times New Roman"/>
          <w:sz w:val="16"/>
          <w:szCs w:val="16"/>
          <w:color w:val="auto"/>
        </w:rPr>
      </w:pPr>
    </w:p>
    <w:p>
      <w:pPr>
        <w:ind w:left="1" w:right="200" w:firstLine="1253"/>
        <w:spacing w:after="0" w:line="254" w:lineRule="auto"/>
        <w:tabs>
          <w:tab w:leader="none" w:pos="147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shall prohibit Gem or the Gem Board from complying with Rules 14d-9 and 14e-2(a) promulgated under the Exchange Act; provided however, that any disclosure made by Gem or the Gem Board pursuant to Rules 14d-9 and 14e-2(a) shall be limited to a statement that Gem is unable to take a position with respect to the bidder’s tender offer unless the Gem Board determines in good faith, after consultation with its outside legal counsel, that such statement would constitute a violation of the Gem Board’s fiduciary duties under applicable Law.</w:t>
      </w:r>
    </w:p>
    <w:p>
      <w:pPr>
        <w:spacing w:after="0" w:line="16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Efforts; Regulatory Approvals.</w:t>
      </w:r>
    </w:p>
    <w:p>
      <w:pPr>
        <w:spacing w:after="0" w:line="100" w:lineRule="exact"/>
        <w:rPr>
          <w:sz w:val="20"/>
          <w:szCs w:val="20"/>
          <w:color w:val="auto"/>
        </w:rPr>
      </w:pPr>
    </w:p>
    <w:p>
      <w:pPr>
        <w:ind w:left="1461" w:hanging="207"/>
        <w:spacing w:after="0"/>
        <w:tabs>
          <w:tab w:leader="none" w:pos="1461"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shall use reasonable best efforts to consummate the Contemplated Transactions. Without limiting the generality of the</w:t>
      </w:r>
    </w:p>
    <w:p>
      <w:pPr>
        <w:spacing w:after="0" w:line="33" w:lineRule="exact"/>
        <w:rPr>
          <w:rFonts w:ascii="Times New Roman" w:cs="Times New Roman" w:eastAsia="Times New Roman" w:hAnsi="Times New Roman"/>
          <w:sz w:val="15"/>
          <w:szCs w:val="15"/>
          <w:color w:val="auto"/>
        </w:rPr>
      </w:pPr>
    </w:p>
    <w:p>
      <w:pPr>
        <w:ind w:left="1" w:right="1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9641"/>
          </w:cols>
          <w:pgMar w:left="1119" w:top="253" w:right="1139" w:bottom="1440" w:gutter="0" w:footer="0" w:header="0"/>
        </w:sectPr>
      </w:pPr>
    </w:p>
    <w:bookmarkStart w:id="92" w:name="page93"/>
    <w:bookmarkEnd w:id="92"/>
    <w:p>
      <w:pPr>
        <w:ind w:left="1" w:firstLine="1253"/>
        <w:spacing w:after="0" w:line="266" w:lineRule="auto"/>
        <w:tabs>
          <w:tab w:leader="none" w:pos="1479"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The Company and Gem shall respond as promptly as is practicable to respond in compliance with: (i) any inquiries or requests received from the Federal Trade Commission or the Department of Justice for additional information or documentation and (ii) any inquiries or requests received from any state attorney general, foreign antitrust or competition authority or other Governmental Authority in connection with antitrust or competition matters. Each of the Parties will promptly notify the other Party of the details of any material communication it receives from any Governmental Authority relating to the matters that are subject to this Agreement, and permit the other Party to review in advance, to the extent permitted by Law, any proposed material communication to any Governmental Entity. Each of the Parties will provide the other Party with advance notice of and, to the extent permitted by such Governmental Entity, give the other party the opportunity to attend and participate in any meeting with the Governmental Entity in respect of any filings, investigations, or other inquiries. Subject to applicable Laws, the Parties will coordinate and cooperate fully and promptly with one another in exchanging such information and providing such assistance as the other Party may reasonably request in connection with the foregoing. Subject to applicable Laws, each of the Parties will provide, or cause to be provided, to the other, copies of all material correspondence, filings, or communications between them or any of their Representatives, on the one hand, and any Governmental Entity or members of its staff, on the other hand, with respect to the Merger.</w:t>
      </w:r>
    </w:p>
    <w:p>
      <w:pPr>
        <w:spacing w:after="0" w:line="16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Company Options.</w:t>
      </w:r>
    </w:p>
    <w:p>
      <w:pPr>
        <w:spacing w:after="0" w:line="194" w:lineRule="exact"/>
        <w:rPr>
          <w:sz w:val="20"/>
          <w:szCs w:val="20"/>
          <w:color w:val="auto"/>
        </w:rPr>
      </w:pPr>
    </w:p>
    <w:p>
      <w:pPr>
        <w:ind w:left="1" w:right="60" w:firstLine="1253"/>
        <w:spacing w:after="0" w:line="265" w:lineRule="auto"/>
        <w:tabs>
          <w:tab w:leader="none" w:pos="1470"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6.5(c)</w:t>
      </w:r>
      <w:r>
        <w:rPr>
          <w:rFonts w:ascii="Times New Roman" w:cs="Times New Roman" w:eastAsia="Times New Roman" w:hAnsi="Times New Roman"/>
          <w:sz w:val="15"/>
          <w:szCs w:val="15"/>
          <w:color w:val="auto"/>
        </w:rPr>
        <w:t>, at the Effective Time, each Company Option that is outstanding and unexercised immediately prior to the Effective Time and that, following assumption by Gem at the Effective Time, will be eligible to be registered on Form S-8, whether or not vested, shall be assumed and converted into an option to purchase Gem Common Stock (an “</w:t>
      </w:r>
      <w:r>
        <w:rPr>
          <w:rFonts w:ascii="Times New Roman" w:cs="Times New Roman" w:eastAsia="Times New Roman" w:hAnsi="Times New Roman"/>
          <w:sz w:val="15"/>
          <w:szCs w:val="15"/>
          <w:b w:val="1"/>
          <w:bCs w:val="1"/>
          <w:color w:val="auto"/>
        </w:rPr>
        <w:t>Assumed Option</w:t>
      </w:r>
      <w:r>
        <w:rPr>
          <w:rFonts w:ascii="Times New Roman" w:cs="Times New Roman" w:eastAsia="Times New Roman" w:hAnsi="Times New Roman"/>
          <w:sz w:val="15"/>
          <w:szCs w:val="15"/>
          <w:color w:val="auto"/>
        </w:rPr>
        <w:t>”) in a manner consistent with the requirements of Section 409A and, for Company Options qualified under Section 422 of the Code, Section 424 of the Code, and Gem shall assume the Company Plan] All other Company Options shall be cancelled immediately prior to the Effective Time. All rights with respect to Company Common Stock under Company Options assumed by Gem shall thereupon be converted into rights with respect to Gem Common Stock. Accordingly, from and after the Effective Time: (i) each Assumed Option may be exercised solely for shares of Gem Common Stock, (ii) the number of shares of Gem Common Stock subject to each Assumed Option shall be determined by multiplying (A) the number of shares of Company Common Stock that were subject to such Assumed Option, as in effect immediately prior to the Effective Time, by (B) the Exchange Ratio, and rounding the resulting number down to the nearest whole number of shares of Gem Common Stock and (iii) the per share exercise price of each Assumed Option shall be determined by dividing</w:t>
      </w:r>
    </w:p>
    <w:p>
      <w:pPr>
        <w:spacing w:after="0" w:line="4" w:lineRule="exact"/>
        <w:rPr>
          <w:rFonts w:ascii="Times New Roman" w:cs="Times New Roman" w:eastAsia="Times New Roman" w:hAnsi="Times New Roman"/>
          <w:sz w:val="15"/>
          <w:szCs w:val="15"/>
          <w:color w:val="auto"/>
        </w:rPr>
      </w:pPr>
    </w:p>
    <w:p>
      <w:pPr>
        <w:ind w:left="1" w:right="100" w:hanging="1"/>
        <w:spacing w:after="0" w:line="250" w:lineRule="auto"/>
        <w:tabs>
          <w:tab w:leader="none" w:pos="25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such Assumed Option, as in effect immediately prior to the Effective Time, by (B) the Exchange Ratio and rounding the resulting exercise price up to the nearest whole cent. Each Assumed Option shall otherwise continue to be subject to substantially the same terms and conditions (including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9621"/>
          </w:cols>
          <w:pgMar w:left="1119" w:top="253" w:right="1159" w:bottom="1440" w:gutter="0" w:footer="0" w:header="0"/>
        </w:sectPr>
      </w:pPr>
    </w:p>
    <w:bookmarkStart w:id="93" w:name="page94"/>
    <w:bookmarkEnd w:id="93"/>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vesting arrangements and other terms and conditions set forth in the Company Plan and the applicable stock option or other agreement) as in effect and applicable to the Assumed Option immediately prior to the Effective Time; provided, however, that: (A) to the extent provided under the terms of a Company Option, each Assumed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Gem Common Stock subsequent to the Effective Time and (B) the Gem Board or a committee thereof shall succeed to the authority and responsibility of the Company Board or any committee thereof with respect to each Assumed Option and the Company Plan.</w:t>
      </w:r>
    </w:p>
    <w:p>
      <w:pPr>
        <w:spacing w:after="0" w:line="165" w:lineRule="exact"/>
        <w:rPr>
          <w:sz w:val="20"/>
          <w:szCs w:val="20"/>
          <w:color w:val="auto"/>
        </w:rPr>
      </w:pPr>
    </w:p>
    <w:p>
      <w:pPr>
        <w:ind w:right="100" w:firstLine="1253"/>
        <w:spacing w:after="0" w:line="276" w:lineRule="auto"/>
        <w:tabs>
          <w:tab w:leader="none" w:pos="147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shall file with the SEC, as soon as reasonably practicable after the Effective Time, a registration statement on Form S-8, if available for use by Gem, relating to the shares of Gem Common Stock issuable with respect to Assumed Options.</w:t>
      </w:r>
    </w:p>
    <w:p>
      <w:pPr>
        <w:spacing w:after="0" w:line="144" w:lineRule="exact"/>
        <w:rPr>
          <w:rFonts w:ascii="Times New Roman" w:cs="Times New Roman" w:eastAsia="Times New Roman" w:hAnsi="Times New Roman"/>
          <w:sz w:val="16"/>
          <w:szCs w:val="16"/>
          <w:color w:val="auto"/>
        </w:rPr>
      </w:pPr>
    </w:p>
    <w:p>
      <w:pPr>
        <w:ind w:firstLine="1253"/>
        <w:spacing w:after="0" w:line="261" w:lineRule="auto"/>
        <w:tabs>
          <w:tab w:leader="none" w:pos="146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Effective Time, the Company shall take all actions that may be necessary (under the Company Plan and otherwise) to effectuate the provisions of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and to ensure that, from and after the Effective Time, holders of Company Options have no rights with respect thereto other than those specifically provided in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Gem Options and RSUs.</w:t>
      </w:r>
    </w:p>
    <w:p>
      <w:pPr>
        <w:spacing w:after="0" w:line="100" w:lineRule="exact"/>
        <w:rPr>
          <w:sz w:val="20"/>
          <w:szCs w:val="20"/>
          <w:color w:val="auto"/>
        </w:rPr>
      </w:pPr>
    </w:p>
    <w:p>
      <w:pPr>
        <w:ind w:firstLine="1253"/>
        <w:spacing w:after="0" w:line="261" w:lineRule="auto"/>
        <w:tabs>
          <w:tab w:leader="none" w:pos="1469"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Gem Board shall have adopted appropriate resolutions and taken all other actions to the extent necessary and appropriate to provide that (i) outstanding Gem Options and Gem RSUs shall be treated in accordance with their terms and the terms of any applicable Company Plan and/or (ii) in accordance with the treatment described on Schedule 6.6.</w:t>
      </w:r>
    </w:p>
    <w:p>
      <w:pPr>
        <w:spacing w:after="0" w:line="156" w:lineRule="exact"/>
        <w:rPr>
          <w:rFonts w:ascii="Times New Roman" w:cs="Times New Roman" w:eastAsia="Times New Roman" w:hAnsi="Times New Roman"/>
          <w:sz w:val="16"/>
          <w:szCs w:val="16"/>
          <w:color w:val="auto"/>
        </w:rPr>
      </w:pPr>
    </w:p>
    <w:p>
      <w:pPr>
        <w:ind w:right="60" w:firstLine="1253"/>
        <w:spacing w:after="0" w:line="261" w:lineRule="auto"/>
        <w:tabs>
          <w:tab w:leader="none" w:pos="147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Gem Board shall approve the Equity Plan Amendments, cause the adoption of such Equity Plan Amendments to be included in the Proxy Statement as a matter for approval at the Gem Shareholder Meeting, and recommend to the Gem stockholders the approval of such matters.</w:t>
      </w:r>
    </w:p>
    <w:p>
      <w:pPr>
        <w:spacing w:after="0" w:line="62" w:lineRule="exact"/>
        <w:rPr>
          <w:sz w:val="20"/>
          <w:szCs w:val="20"/>
          <w:color w:val="auto"/>
        </w:rPr>
      </w:pPr>
    </w:p>
    <w:p>
      <w:pPr>
        <w:ind w:firstLine="869"/>
        <w:spacing w:after="0" w:line="271" w:lineRule="auto"/>
        <w:rPr>
          <w:sz w:val="20"/>
          <w:szCs w:val="20"/>
          <w:color w:val="auto"/>
        </w:rPr>
      </w:pPr>
      <w:r>
        <w:rPr>
          <w:rFonts w:ascii="Times New Roman" w:cs="Times New Roman" w:eastAsia="Times New Roman" w:hAnsi="Times New Roman"/>
          <w:sz w:val="15"/>
          <w:szCs w:val="15"/>
          <w:color w:val="auto"/>
        </w:rPr>
        <w:t xml:space="preserve">6.7 </w:t>
      </w:r>
      <w:r>
        <w:rPr>
          <w:rFonts w:ascii="Times New Roman" w:cs="Times New Roman" w:eastAsia="Times New Roman" w:hAnsi="Times New Roman"/>
          <w:sz w:val="15"/>
          <w:szCs w:val="15"/>
          <w:u w:val="single" w:color="auto"/>
          <w:color w:val="auto"/>
        </w:rPr>
        <w:t>Employee Benefits</w:t>
      </w:r>
      <w:r>
        <w:rPr>
          <w:rFonts w:ascii="Times New Roman" w:cs="Times New Roman" w:eastAsia="Times New Roman" w:hAnsi="Times New Roman"/>
          <w:sz w:val="15"/>
          <w:szCs w:val="15"/>
          <w:color w:val="auto"/>
        </w:rPr>
        <w:t>. Gem and the Company shall cause Gem to comply with the terms of any employment, severance, retention, change of control, or similar agreement specified on Section 4.17(c) of the Gem Disclosure Schedule, subject to the provisions of such agreements. Gem or the Company shall make available group health plan coverage satisfying the requirements of COBRA to any employee or former employee of Gem (and their respective dependents) whose “qualifying event” (within the meaning of COBRA) occurred prior to or in connection with the Merger, and Gem or the Company shall otherwise discharge and be responsible for all liabilities related to COBRA. Gem and the Company agree that the Merger shall constitute or be deemed to constitute a “change of control” or “change in control” for purposes of the Gem Employee Plans and any awards issued thereunder and for purposes of any Gem Employee Plan maintained for current or former employees or directors of or independent contractors to Gem.</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9620"/>
          </w:cols>
          <w:pgMar w:left="1120" w:top="253" w:right="1159" w:bottom="1440" w:gutter="0" w:footer="0" w:header="0"/>
        </w:sectPr>
      </w:pPr>
    </w:p>
    <w:bookmarkStart w:id="94" w:name="page95"/>
    <w:bookmarkEnd w:id="94"/>
    <w:p>
      <w:pPr>
        <w:ind w:left="8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6.8 </w:t>
      </w:r>
      <w:r>
        <w:rPr>
          <w:rFonts w:ascii="Times New Roman" w:cs="Times New Roman" w:eastAsia="Times New Roman" w:hAnsi="Times New Roman"/>
          <w:sz w:val="16"/>
          <w:szCs w:val="16"/>
          <w:u w:val="single" w:color="auto"/>
          <w:color w:val="auto"/>
        </w:rPr>
        <w:t>Indemnification of Officers and Directors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40" w:right="40" w:firstLine="1253"/>
        <w:spacing w:after="0" w:line="249" w:lineRule="auto"/>
        <w:tabs>
          <w:tab w:leader="none" w:pos="142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Effective Time through the sixth anniversary of the date on which the Effective Time occurs, each of Gem and the Surviving Corporation shall indemnify and hold harmless each person who is now, or has been at any time prior to the date hereof, or who becomes prior to the Effective Time, a director or officer of Gem or the Company, respectively (the “</w:t>
      </w:r>
      <w:r>
        <w:rPr>
          <w:rFonts w:ascii="Times New Roman" w:cs="Times New Roman" w:eastAsia="Times New Roman" w:hAnsi="Times New Roman"/>
          <w:sz w:val="16"/>
          <w:szCs w:val="16"/>
          <w:b w:val="1"/>
          <w:bCs w:val="1"/>
          <w:color w:val="auto"/>
        </w:rPr>
        <w:t>D&amp;O Indemnified Parties</w:t>
      </w:r>
      <w:r>
        <w:rPr>
          <w:rFonts w:ascii="Times New Roman" w:cs="Times New Roman" w:eastAsia="Times New Roman" w:hAnsi="Times New Roman"/>
          <w:sz w:val="16"/>
          <w:szCs w:val="16"/>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6"/>
          <w:szCs w:val="16"/>
          <w:b w:val="1"/>
          <w:bCs w:val="1"/>
          <w:color w:val="auto"/>
        </w:rPr>
        <w:t>Costs</w:t>
      </w:r>
      <w:r>
        <w:rPr>
          <w:rFonts w:ascii="Times New Roman" w:cs="Times New Roman" w:eastAsia="Times New Roman" w:hAnsi="Times New Roman"/>
          <w:sz w:val="16"/>
          <w:szCs w:val="16"/>
          <w:color w:val="auto"/>
        </w:rPr>
        <w:t>”), incurred in connection with any claim, action, suit, proceeding or investigation, whether civil, criminal, administrative or investigative, arising out of or pertaining to the fact that the D&amp;O Indemnified Party is or was a director or officer of Gem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Gem and the Surviving Corporation, jointly and severally, upon receipt by Gem or the Surviving Corporation from the D&amp;O Indemnified Party of a request therefor; provided that any such person to whom expenses are advanced provides an undertaking to Gem,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Wilmer Cutler Pickering Hale and Dorr LLP or such other counsel selected by the D&amp;O Indemnified Parties.</w:t>
      </w:r>
    </w:p>
    <w:p>
      <w:pPr>
        <w:spacing w:after="0" w:line="167" w:lineRule="exact"/>
        <w:rPr>
          <w:rFonts w:ascii="Times New Roman" w:cs="Times New Roman" w:eastAsia="Times New Roman" w:hAnsi="Times New Roman"/>
          <w:sz w:val="16"/>
          <w:szCs w:val="16"/>
          <w:color w:val="auto"/>
        </w:rPr>
      </w:pPr>
    </w:p>
    <w:p>
      <w:pPr>
        <w:ind w:left="-40" w:right="100" w:firstLine="1253"/>
        <w:spacing w:after="0" w:line="271" w:lineRule="auto"/>
        <w:tabs>
          <w:tab w:leader="none" w:pos="1438"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the certificate of incorporation and bylaws of Gem with respect to indemnification, advancement of expenses and exculpation of present and former directors and officers of Gem that are presently set forth in the certificate of incorporation and bylaws of Gem shall not be amended, modified or repealed for a period of six years from the Effective Time in a manner that would adversely affect the rights thereunder of individuals who, at or prior to the Effective Time, were officers or directors of Gem, unless such modification is required by applicable Law. The certificate of incorporation and bylaws of the Surviving Corporation shall contain, and Gem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Gem.</w:t>
      </w:r>
    </w:p>
    <w:p>
      <w:pPr>
        <w:spacing w:after="0" w:line="150" w:lineRule="exact"/>
        <w:rPr>
          <w:rFonts w:ascii="Times New Roman" w:cs="Times New Roman" w:eastAsia="Times New Roman" w:hAnsi="Times New Roman"/>
          <w:sz w:val="15"/>
          <w:szCs w:val="15"/>
          <w:color w:val="auto"/>
        </w:rPr>
      </w:pPr>
    </w:p>
    <w:p>
      <w:pPr>
        <w:ind w:left="-40" w:right="140" w:firstLine="1253"/>
        <w:spacing w:after="0" w:line="251" w:lineRule="auto"/>
        <w:tabs>
          <w:tab w:leader="none" w:pos="142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Gem shall fulfill and honor in all respects the obligations of Gem to its D&amp;O Indemnified Parties as of immediately prior to the Closing pursuant to any indemnification provisions under Gem’s Organizational Documents and pursuant to any indemnification agreements between Gem and such D&amp;O Indemnified Parties, with respect to claims arising out of matters occurring at or prior to the Effective Time.</w:t>
      </w:r>
    </w:p>
    <w:p>
      <w:pPr>
        <w:spacing w:after="0" w:line="166" w:lineRule="exact"/>
        <w:rPr>
          <w:rFonts w:ascii="Times New Roman" w:cs="Times New Roman" w:eastAsia="Times New Roman" w:hAnsi="Times New Roman"/>
          <w:sz w:val="16"/>
          <w:szCs w:val="16"/>
          <w:color w:val="auto"/>
        </w:rPr>
      </w:pPr>
    </w:p>
    <w:p>
      <w:pPr>
        <w:jc w:val="both"/>
        <w:ind w:left="-40" w:firstLine="1253"/>
        <w:spacing w:after="0" w:line="256" w:lineRule="auto"/>
        <w:tabs>
          <w:tab w:leader="none" w:pos="143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Gem shall maintain directors’ and officers’ liability insurance policies, with an effective date as of the Closing Date, on commercially available terms and conditions and with coverage limits customary for U.S. public companies similarly situated to Gem. In addition, Gem shall purchase, prior to the Effective Time, a six-year prepaid “D&amp;O tail policy” for the non-cancellable extension of the directors’ and officers’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9580"/>
          </w:cols>
          <w:pgMar w:left="1160" w:top="253" w:right="1159" w:bottom="1440" w:gutter="0" w:footer="0" w:header="0"/>
        </w:sectPr>
      </w:pPr>
    </w:p>
    <w:bookmarkStart w:id="95" w:name="page96"/>
    <w:bookmarkEnd w:id="95"/>
    <w:p>
      <w:pPr>
        <w:ind w:left="1"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liability coverage of Gem’s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Gem’s existing policies as of the date of this Agreement with respect to any actual or alleged error, misstatement, misleading statement, act, omission, neglect, breach of duty or any matter claimed against a director or officer of Gem by reason of him or her serving in such capacity that existed or occurred at or prior to the Effective Time (including in connection with this Agreement or the Contemplated Transactions or in connection with Gem’s initial public offering of shares of Gem Common Stock).</w:t>
      </w:r>
    </w:p>
    <w:p>
      <w:pPr>
        <w:spacing w:after="0" w:line="165" w:lineRule="exact"/>
        <w:rPr>
          <w:sz w:val="20"/>
          <w:szCs w:val="20"/>
          <w:color w:val="auto"/>
        </w:rPr>
      </w:pPr>
    </w:p>
    <w:p>
      <w:pPr>
        <w:jc w:val="both"/>
        <w:ind w:left="1" w:right="200" w:firstLine="1253"/>
        <w:spacing w:after="0" w:line="261" w:lineRule="auto"/>
        <w:tabs>
          <w:tab w:leader="none" w:pos="147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and after the Effective Time, Gem and the Surviving Corporation shall pay all expenses, including reasonable attorneys’ fees, that are incurred by the persons referred to in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in connection with their enforcement of the rights provided to such persons in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1" w:firstLine="1253"/>
        <w:spacing w:after="0" w:line="261" w:lineRule="auto"/>
        <w:tabs>
          <w:tab w:leader="none" w:pos="145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are intended to be in addition to the rights otherwise available to the current and former officers and directors of Gem and the Company by Law, charter, statute, bylaw or agreement, and shall operate for the benefit of, and shall be enforceable by, each of the D&amp;O Indemnified Parties, their heirs and their Representatives.</w:t>
      </w:r>
    </w:p>
    <w:p>
      <w:pPr>
        <w:spacing w:after="0" w:line="156" w:lineRule="exact"/>
        <w:rPr>
          <w:rFonts w:ascii="Times New Roman" w:cs="Times New Roman" w:eastAsia="Times New Roman" w:hAnsi="Times New Roman"/>
          <w:sz w:val="16"/>
          <w:szCs w:val="16"/>
          <w:color w:val="auto"/>
        </w:rPr>
      </w:pPr>
    </w:p>
    <w:p>
      <w:pPr>
        <w:ind w:left="1" w:right="80" w:firstLine="1253"/>
        <w:spacing w:after="0" w:line="254" w:lineRule="auto"/>
        <w:tabs>
          <w:tab w:leader="none" w:pos="147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Gem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Gem or the Surviving Corporation, as the case may be, shall succeed to the obligations set forth in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Gem shall cause the Surviving Corporation to perform all of the obligations of the Surviving Corporation under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ind w:left="1" w:right="140" w:firstLine="869"/>
        <w:spacing w:after="0" w:line="268" w:lineRule="auto"/>
        <w:rPr>
          <w:sz w:val="20"/>
          <w:szCs w:val="20"/>
          <w:color w:val="auto"/>
        </w:rPr>
      </w:pPr>
      <w:r>
        <w:rPr>
          <w:rFonts w:ascii="Times New Roman" w:cs="Times New Roman" w:eastAsia="Times New Roman" w:hAnsi="Times New Roman"/>
          <w:sz w:val="15"/>
          <w:szCs w:val="15"/>
          <w:color w:val="auto"/>
        </w:rPr>
        <w:t xml:space="preserve">6.9 </w:t>
      </w:r>
      <w:r>
        <w:rPr>
          <w:rFonts w:ascii="Times New Roman" w:cs="Times New Roman" w:eastAsia="Times New Roman" w:hAnsi="Times New Roman"/>
          <w:sz w:val="15"/>
          <w:szCs w:val="15"/>
          <w:u w:val="single" w:color="auto"/>
          <w:color w:val="auto"/>
        </w:rPr>
        <w:t>Disclosure</w:t>
      </w:r>
      <w:r>
        <w:rPr>
          <w:rFonts w:ascii="Times New Roman" w:cs="Times New Roman" w:eastAsia="Times New Roman" w:hAnsi="Times New Roman"/>
          <w:sz w:val="15"/>
          <w:szCs w:val="15"/>
          <w:color w:val="auto"/>
        </w:rPr>
        <w:t>. The Parties shall use their commercially reasonable efforts to agree to the text of a mutually acceptable joint initial press release and Gem’s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w:t>
      </w:r>
    </w:p>
    <w:p>
      <w:pPr>
        <w:ind w:left="1" w:right="40" w:hanging="1"/>
        <w:spacing w:after="0" w:line="266" w:lineRule="auto"/>
        <w:tabs>
          <w:tab w:leader="none" w:pos="224"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Gem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Gem in compliance with this </w:t>
      </w:r>
      <w:r>
        <w:rPr>
          <w:rFonts w:ascii="Times New Roman" w:cs="Times New Roman" w:eastAsia="Times New Roman" w:hAnsi="Times New Roman"/>
          <w:sz w:val="15"/>
          <w:szCs w:val="15"/>
          <w:u w:val="single" w:color="auto"/>
          <w:color w:val="auto"/>
        </w:rPr>
        <w:t>Section 6.9</w:t>
      </w:r>
      <w:r>
        <w:rPr>
          <w:rFonts w:ascii="Times New Roman" w:cs="Times New Roman" w:eastAsia="Times New Roman" w:hAnsi="Times New Roman"/>
          <w:sz w:val="15"/>
          <w:szCs w:val="15"/>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5"/>
          <w:szCs w:val="15"/>
          <w:u w:val="single" w:color="auto"/>
          <w:color w:val="auto"/>
        </w:rPr>
        <w:t>Section 6.3(d)</w:t>
      </w:r>
      <w:r>
        <w:rPr>
          <w:rFonts w:ascii="Times New Roman" w:cs="Times New Roman" w:eastAsia="Times New Roman" w:hAnsi="Times New Roman"/>
          <w:sz w:val="15"/>
          <w:szCs w:val="15"/>
          <w:color w:val="auto"/>
        </w:rPr>
        <w:t xml:space="preserve"> or with respect to any Acquisition Proposal, Gem Board Adverse Recommendation Change or Company Board Adverse Recommendation Change, as applicable, or with respect to Gem only, pursuant to </w:t>
      </w:r>
      <w:r>
        <w:rPr>
          <w:rFonts w:ascii="Times New Roman" w:cs="Times New Roman" w:eastAsia="Times New Roman" w:hAnsi="Times New Roman"/>
          <w:sz w:val="15"/>
          <w:szCs w:val="15"/>
          <w:u w:val="single" w:color="auto"/>
          <w:color w:val="auto"/>
        </w:rPr>
        <w:t>Section 6.3(e)</w:t>
      </w:r>
      <w:r>
        <w:rPr>
          <w:rFonts w:ascii="Times New Roman" w:cs="Times New Roman" w:eastAsia="Times New Roman" w:hAnsi="Times New Roman"/>
          <w:sz w:val="15"/>
          <w:szCs w:val="15"/>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9641"/>
          </w:cols>
          <w:pgMar w:left="1119" w:top="253" w:right="1139" w:bottom="1440" w:gutter="0" w:footer="0" w:header="0"/>
        </w:sectPr>
      </w:pPr>
    </w:p>
    <w:bookmarkStart w:id="96" w:name="page97"/>
    <w:bookmarkEnd w:id="96"/>
    <w:p>
      <w:pPr>
        <w:ind w:right="40" w:firstLine="869"/>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6.10 </w:t>
      </w:r>
      <w:r>
        <w:rPr>
          <w:rFonts w:ascii="Times New Roman" w:cs="Times New Roman" w:eastAsia="Times New Roman" w:hAnsi="Times New Roman"/>
          <w:sz w:val="15"/>
          <w:szCs w:val="15"/>
          <w:u w:val="single" w:color="auto"/>
          <w:color w:val="auto"/>
        </w:rPr>
        <w:t>Listing.</w:t>
      </w:r>
      <w:r>
        <w:rPr>
          <w:rFonts w:ascii="Times New Roman" w:cs="Times New Roman" w:eastAsia="Times New Roman" w:hAnsi="Times New Roman"/>
          <w:sz w:val="15"/>
          <w:szCs w:val="15"/>
          <w:color w:val="auto"/>
        </w:rPr>
        <w:t xml:space="preserve"> At or prior to the Effective Time, Gem shall use its commercially reasonable efforts to (a) maintain its existing listing on Nasdaq until the Effective Time and to obtain approval of the listing of the combined corporation on Nasdaq, (b) to the extent required by the rules and regulations of Nasdaq, prepare and submit to Nasdaq a notification form for the listing of the shares of Gem Common Stock to be issued in connection with the Contemplated Transactions and to cause such shares to be approved for listing (c) prepare and timely submit to Nasdaq a notification form of the Nasdaq Reverse Stock Split and to submit a copy of the amendment to Gem’s certificate of incorporation effect the Nasdaq Reverse Split and other amendments contemplated by Section 2.4 certified by the Secretary of State of the State of Delaware, to Nasdaq on the Closing Date; and (d) to the extent required by Nasdaq Marketplace Rule 5110, assist the Company in preparing and filing an initial listing application for the Gem Common Stock on Nasdaq (the “Nasdaq Listing Application”). The Party not filing the Nasdaq Listing Application will cooperate with the other Party as reasonably requested by such filing Party with respect to the Nasdaq Listing Application and promptly furnish to such filing Party all information concerning itself and its stockholders that may be required or reasonably requested in connection with any action contemplated by this </w:t>
      </w:r>
      <w:r>
        <w:rPr>
          <w:rFonts w:ascii="Times New Roman" w:cs="Times New Roman" w:eastAsia="Times New Roman" w:hAnsi="Times New Roman"/>
          <w:sz w:val="15"/>
          <w:szCs w:val="15"/>
          <w:u w:val="single" w:color="auto"/>
          <w:color w:val="auto"/>
        </w:rPr>
        <w:t>Section 6.10</w:t>
      </w:r>
      <w:r>
        <w:rPr>
          <w:rFonts w:ascii="Times New Roman" w:cs="Times New Roman" w:eastAsia="Times New Roman" w:hAnsi="Times New Roman"/>
          <w:sz w:val="15"/>
          <w:szCs w:val="15"/>
          <w:color w:val="auto"/>
        </w:rPr>
        <w:t>.</w:t>
      </w:r>
    </w:p>
    <w:p>
      <w:pPr>
        <w:spacing w:after="0" w:line="2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Tax Matters.</w:t>
      </w:r>
    </w:p>
    <w:p>
      <w:pPr>
        <w:spacing w:after="0" w:line="100" w:lineRule="exact"/>
        <w:rPr>
          <w:sz w:val="20"/>
          <w:szCs w:val="20"/>
          <w:color w:val="auto"/>
        </w:rPr>
      </w:pPr>
    </w:p>
    <w:p>
      <w:pPr>
        <w:jc w:val="both"/>
        <w:ind w:firstLine="1253"/>
        <w:spacing w:after="0" w:line="261" w:lineRule="auto"/>
        <w:tabs>
          <w:tab w:leader="none" w:pos="146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(and shall cause its Affiliates to) provide any information reasonably requested to allow Gem to comply with any information reporting or withholding requirements contained in the Code or other applicable Laws with respect to the transactions contemplated by, or any payment made in connection with, this Agreement.</w:t>
      </w:r>
    </w:p>
    <w:p>
      <w:pPr>
        <w:spacing w:after="0" w:line="156" w:lineRule="exact"/>
        <w:rPr>
          <w:rFonts w:ascii="Times New Roman" w:cs="Times New Roman" w:eastAsia="Times New Roman" w:hAnsi="Times New Roman"/>
          <w:sz w:val="16"/>
          <w:szCs w:val="16"/>
          <w:color w:val="auto"/>
        </w:rPr>
      </w:pPr>
    </w:p>
    <w:p>
      <w:pPr>
        <w:ind w:right="100" w:firstLine="1253"/>
        <w:spacing w:after="0" w:line="252" w:lineRule="auto"/>
        <w:tabs>
          <w:tab w:leader="none" w:pos="147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Gem will, and will cause its Affiliates to, cooperate and join in the execution of any such Tax Returns and other documentation, as applicable. Each Party shall (and shall cause its Affiliates to) provide certificates or forms, and timely execute any Tax Returns, that are necessary or appropriate to establish an exemption for (or reduction in) any Transfer Tax.</w:t>
      </w:r>
    </w:p>
    <w:p>
      <w:pPr>
        <w:spacing w:after="0" w:line="165" w:lineRule="exact"/>
        <w:rPr>
          <w:rFonts w:ascii="Times New Roman" w:cs="Times New Roman" w:eastAsia="Times New Roman" w:hAnsi="Times New Roman"/>
          <w:sz w:val="16"/>
          <w:szCs w:val="16"/>
          <w:color w:val="auto"/>
        </w:rPr>
      </w:pPr>
    </w:p>
    <w:p>
      <w:pPr>
        <w:ind w:firstLine="1253"/>
        <w:spacing w:after="0" w:line="254" w:lineRule="auto"/>
        <w:tabs>
          <w:tab w:leader="none" w:pos="146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9600"/>
          </w:cols>
          <w:pgMar w:left="1120" w:top="253" w:right="1179" w:bottom="1440" w:gutter="0" w:footer="0" w:header="0"/>
        </w:sectPr>
      </w:pPr>
    </w:p>
    <w:bookmarkStart w:id="97" w:name="page98"/>
    <w:bookmarkEnd w:id="97"/>
    <w:p>
      <w:pPr>
        <w:ind w:right="24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6.12 </w:t>
      </w: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xml:space="preserve"> Gem shall be entitled to place appropriate legends on the book entries and/or certificates evidencing any shares of Gem Common Stock to be received in the Merger by equityholders of the Company who may be considered “affiliates” of Gem for purposes of Rules 144 and 145 under the Securities Act reflecting the restrictions set forth in Rules 144 and</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 xml:space="preserve">145 and to issue appropriate stop transfer instructions to the transfer agent for Gem Common Stock. </w:t>
      </w:r>
      <w:r>
        <w:rPr>
          <w:rFonts w:ascii="Times New Roman" w:cs="Times New Roman" w:eastAsia="Times New Roman" w:hAnsi="Times New Roman"/>
          <w:sz w:val="16"/>
          <w:szCs w:val="16"/>
          <w:u w:val="single" w:color="auto"/>
          <w:color w:val="auto"/>
        </w:rPr>
        <w:t>Section 6.12</w:t>
      </w:r>
      <w:r>
        <w:rPr>
          <w:rFonts w:ascii="Times New Roman" w:cs="Times New Roman" w:eastAsia="Times New Roman" w:hAnsi="Times New Roman"/>
          <w:sz w:val="16"/>
          <w:szCs w:val="16"/>
          <w:color w:val="auto"/>
        </w:rPr>
        <w:t xml:space="preserve"> of the Company Disclosure Schedule sets forth a list of those persons who are, in the Company’s reasonable judgment, “affiliates” of the Company within the meaning of Rule 145 promulgated under the Securities Act (“Rule 145 Affiliates”). The Company shall notify Gem in writing regarding any change in the identity of its Rule 145 Affiliates prior to the Closing Date. Gem shall be entitled to place appropriate legends on the certificates evidencing any shares of Merger Consideration to be received by Rule 145 Affiliates of the Company in the Merger reflecting the restrictions set forth in Rule 145 promulgated under the Securities Act and to issue appropriate stop transfer instructions to the transfer agent for Gem.</w:t>
      </w:r>
    </w:p>
    <w:p>
      <w:pPr>
        <w:spacing w:after="0" w:line="2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u w:val="single" w:color="auto"/>
          <w:color w:val="auto"/>
        </w:rPr>
        <w:t>Directors.</w:t>
      </w:r>
    </w:p>
    <w:p>
      <w:pPr>
        <w:spacing w:after="0" w:line="100" w:lineRule="exact"/>
        <w:rPr>
          <w:sz w:val="20"/>
          <w:szCs w:val="20"/>
          <w:color w:val="auto"/>
        </w:rPr>
      </w:pPr>
    </w:p>
    <w:p>
      <w:pPr>
        <w:ind w:right="20" w:firstLine="1253"/>
        <w:spacing w:after="0" w:line="254" w:lineRule="auto"/>
        <w:tabs>
          <w:tab w:leader="none" w:pos="146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successors are duly elected or appointed and qualified in accordance with applicable Law, the Parties shall use reasonable best efforts and take all necessary action so that the Persons listed in Annex C are elected or appointed, as applicable, to the positions of officers and directors of Gem and the Surviving Corporation, as set forth therein, to serve in such positions effective as of the Effective Time. If any Person listed in Annex C is unable or unwilling to serve as officer or director of Gem or the Surviving Corporation, as set forth therein, the Party appointing such Person (as set forth on Annex C) shall designate a successor.</w:t>
      </w:r>
    </w:p>
    <w:p>
      <w:pPr>
        <w:spacing w:after="0" w:line="161" w:lineRule="exact"/>
        <w:rPr>
          <w:rFonts w:ascii="Times New Roman" w:cs="Times New Roman" w:eastAsia="Times New Roman" w:hAnsi="Times New Roman"/>
          <w:sz w:val="16"/>
          <w:szCs w:val="16"/>
          <w:color w:val="auto"/>
        </w:rPr>
      </w:pPr>
    </w:p>
    <w:p>
      <w:pPr>
        <w:ind w:firstLine="1253"/>
        <w:spacing w:after="0" w:line="261" w:lineRule="auto"/>
        <w:tabs>
          <w:tab w:leader="none" w:pos="147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Gem shall enter into customary indemnification agreements reasonably satisfactory to the Company with each individual to be appointed to, or serving on, the board of directors of Gem upon the Closing, which indemnification agreements shall continue to be effective following the Closing.</w:t>
      </w:r>
    </w:p>
    <w:p>
      <w:pPr>
        <w:spacing w:after="0" w:line="251" w:lineRule="exact"/>
        <w:rPr>
          <w:sz w:val="20"/>
          <w:szCs w:val="20"/>
          <w:color w:val="auto"/>
        </w:rPr>
      </w:pPr>
    </w:p>
    <w:p>
      <w:pPr>
        <w:ind w:right="100" w:firstLine="869"/>
        <w:spacing w:after="0" w:line="252" w:lineRule="auto"/>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u w:val="single" w:color="auto"/>
          <w:color w:val="auto"/>
        </w:rPr>
        <w:t>Termination of Certain Agreements and Rights</w:t>
      </w:r>
      <w:r>
        <w:rPr>
          <w:rFonts w:ascii="Times New Roman" w:cs="Times New Roman" w:eastAsia="Times New Roman" w:hAnsi="Times New Roman"/>
          <w:sz w:val="16"/>
          <w:szCs w:val="16"/>
          <w:color w:val="auto"/>
        </w:rPr>
        <w:t>. The Company shall cause any stockholders agreements, voting agreements, registration rights agreements, co-sale agreements and any other similar Contracts between the Company and any holders of Company Common Stock or Preferred Stock, including any such Contract granting any Person investor rights, rights of first refusal, registration rights or director designation rights but excluding the Form of the Registration Rights Agreement attached to the Subscription Agreement and which is expected to be entered into in connection with the Company Pre-Closing Financing (collectively, the “</w:t>
      </w:r>
      <w:r>
        <w:rPr>
          <w:rFonts w:ascii="Times New Roman" w:cs="Times New Roman" w:eastAsia="Times New Roman" w:hAnsi="Times New Roman"/>
          <w:sz w:val="16"/>
          <w:szCs w:val="16"/>
          <w:b w:val="1"/>
          <w:bCs w:val="1"/>
          <w:color w:val="auto"/>
        </w:rPr>
        <w:t>Investor Agreements</w:t>
      </w:r>
      <w:r>
        <w:rPr>
          <w:rFonts w:ascii="Times New Roman" w:cs="Times New Roman" w:eastAsia="Times New Roman" w:hAnsi="Times New Roman"/>
          <w:sz w:val="16"/>
          <w:szCs w:val="16"/>
          <w:color w:val="auto"/>
        </w:rPr>
        <w:t>”), to be terminated immediately prior to the Effective Time, without any liability being imposed on the part of the Surviving Corporation.</w:t>
      </w:r>
    </w:p>
    <w:p>
      <w:pPr>
        <w:spacing w:after="0" w:line="260" w:lineRule="exact"/>
        <w:rPr>
          <w:sz w:val="20"/>
          <w:szCs w:val="20"/>
          <w:color w:val="auto"/>
        </w:rPr>
      </w:pPr>
    </w:p>
    <w:p>
      <w:pPr>
        <w:ind w:right="240" w:firstLine="869"/>
        <w:spacing w:after="0" w:line="256" w:lineRule="auto"/>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Effective Time, Gem shall take all such steps as may be required to cause any acquisitions of Gem Common Stock and any options to purchase Gem Common Stock in connection with the Contemplated Transactions, by each individual who is reasonably expected to become subject to the reporting requirements of Section 16(a) of the Exchange Act with respect to Gem, to be exempt under Rule 16b-3 promulgated under the Exchange Act.</w:t>
      </w:r>
    </w:p>
    <w:p>
      <w:pPr>
        <w:spacing w:after="0" w:line="256" w:lineRule="exact"/>
        <w:rPr>
          <w:sz w:val="20"/>
          <w:szCs w:val="20"/>
          <w:color w:val="auto"/>
        </w:rPr>
      </w:pPr>
    </w:p>
    <w:p>
      <w:pPr>
        <w:ind w:right="120" w:firstLine="869"/>
        <w:spacing w:after="0" w:line="272" w:lineRule="auto"/>
        <w:rPr>
          <w:sz w:val="20"/>
          <w:szCs w:val="20"/>
          <w:color w:val="auto"/>
        </w:rPr>
      </w:pPr>
      <w:r>
        <w:rPr>
          <w:rFonts w:ascii="Times New Roman" w:cs="Times New Roman" w:eastAsia="Times New Roman" w:hAnsi="Times New Roman"/>
          <w:sz w:val="15"/>
          <w:szCs w:val="15"/>
          <w:color w:val="auto"/>
        </w:rPr>
        <w:t xml:space="preserve">6.16 </w:t>
      </w:r>
      <w:r>
        <w:rPr>
          <w:rFonts w:ascii="Times New Roman" w:cs="Times New Roman" w:eastAsia="Times New Roman" w:hAnsi="Times New Roman"/>
          <w:sz w:val="15"/>
          <w:szCs w:val="15"/>
          <w:u w:val="single" w:color="auto"/>
          <w:color w:val="auto"/>
        </w:rPr>
        <w:t>Allocation Certificate</w:t>
      </w:r>
      <w:r>
        <w:rPr>
          <w:rFonts w:ascii="Times New Roman" w:cs="Times New Roman" w:eastAsia="Times New Roman" w:hAnsi="Times New Roman"/>
          <w:sz w:val="15"/>
          <w:szCs w:val="15"/>
          <w:color w:val="auto"/>
        </w:rPr>
        <w:t>. The Company will prepare and deliver to Gem at least ten (10) Business Days prior to the Closing Date a certificate signed by the Chief Financial Officer of the Company in a form reasonably acceptable to Gem setting forth (as of immediately prior to the Effective Time) (a) each holder of Company Capital Stock or Company Options, (b) such holder’s name and address, (c) the number and type of Company Capital Stock held and/or underlying the Company Options as of the Closing Date for each such holder and (d) the number of shares of Gem Common Stock to be issued to such holder, or to underlie any Gem Option to be issued to such holder, pursuant to this Agreement in respect of the Company Capital Stock or Company Options held by such holder as of immediately prior to the Effective Time (the “</w:t>
      </w:r>
      <w:r>
        <w:rPr>
          <w:rFonts w:ascii="Times New Roman" w:cs="Times New Roman" w:eastAsia="Times New Roman" w:hAnsi="Times New Roman"/>
          <w:sz w:val="15"/>
          <w:szCs w:val="15"/>
          <w:b w:val="1"/>
          <w:bCs w:val="1"/>
          <w:color w:val="auto"/>
        </w:rPr>
        <w:t>Allocation Certificate</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9640"/>
          </w:cols>
          <w:pgMar w:left="1120" w:top="253" w:right="1139" w:bottom="1440" w:gutter="0" w:footer="0" w:header="0"/>
        </w:sectPr>
      </w:pPr>
    </w:p>
    <w:bookmarkStart w:id="98" w:name="page99"/>
    <w:bookmarkEnd w:id="98"/>
    <w:p>
      <w:pPr>
        <w:ind w:right="12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6.17 </w:t>
      </w:r>
      <w:r>
        <w:rPr>
          <w:rFonts w:ascii="Times New Roman" w:cs="Times New Roman" w:eastAsia="Times New Roman" w:hAnsi="Times New Roman"/>
          <w:sz w:val="16"/>
          <w:szCs w:val="16"/>
          <w:u w:val="single" w:color="auto"/>
          <w:color w:val="auto"/>
        </w:rPr>
        <w:t>Nasdaq Reverse Split</w:t>
      </w:r>
      <w:r>
        <w:rPr>
          <w:rFonts w:ascii="Times New Roman" w:cs="Times New Roman" w:eastAsia="Times New Roman" w:hAnsi="Times New Roman"/>
          <w:sz w:val="16"/>
          <w:szCs w:val="16"/>
          <w:color w:val="auto"/>
        </w:rPr>
        <w:t>. Gem shall submit to Gem’s stockholders at the Gem Stockholder Meeting a proposal to approve and adopt an amendment to Gem’s certificate of incorporation to authorize the Gem Board to effect the Nasdaq Reverse Split.</w:t>
      </w:r>
    </w:p>
    <w:p>
      <w:pPr>
        <w:spacing w:after="0" w:line="239" w:lineRule="exact"/>
        <w:rPr>
          <w:sz w:val="20"/>
          <w:szCs w:val="20"/>
          <w:color w:val="auto"/>
        </w:rPr>
      </w:pPr>
    </w:p>
    <w:p>
      <w:pPr>
        <w:ind w:right="1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6.18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If any takeover statute is or may become applicable to the Contemplated Transactions, each of the Company, the Company Board, Gem and the Gem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256" w:lineRule="exact"/>
        <w:rPr>
          <w:sz w:val="20"/>
          <w:szCs w:val="20"/>
          <w:color w:val="auto"/>
        </w:rPr>
      </w:pPr>
    </w:p>
    <w:p>
      <w:pPr>
        <w:ind w:firstLine="869"/>
        <w:spacing w:after="0" w:line="252" w:lineRule="auto"/>
        <w:rPr>
          <w:sz w:val="20"/>
          <w:szCs w:val="20"/>
          <w:color w:val="auto"/>
        </w:rPr>
      </w:pPr>
      <w:r>
        <w:rPr>
          <w:rFonts w:ascii="Times New Roman" w:cs="Times New Roman" w:eastAsia="Times New Roman" w:hAnsi="Times New Roman"/>
          <w:sz w:val="16"/>
          <w:szCs w:val="16"/>
          <w:color w:val="auto"/>
        </w:rPr>
        <w:t xml:space="preserve">6.19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Each Party shall keep the other Party reasonably informed regarding any stockholder litigation against Gem or any of its directors relating to this Agreement or the Contemplated Transactions (“</w:t>
      </w:r>
      <w:r>
        <w:rPr>
          <w:rFonts w:ascii="Times New Roman" w:cs="Times New Roman" w:eastAsia="Times New Roman" w:hAnsi="Times New Roman"/>
          <w:sz w:val="16"/>
          <w:szCs w:val="16"/>
          <w:b w:val="1"/>
          <w:bCs w:val="1"/>
          <w:color w:val="auto"/>
        </w:rPr>
        <w:t>Transaction Litigation</w:t>
      </w:r>
      <w:r>
        <w:rPr>
          <w:rFonts w:ascii="Times New Roman" w:cs="Times New Roman" w:eastAsia="Times New Roman" w:hAnsi="Times New Roman"/>
          <w:sz w:val="16"/>
          <w:szCs w:val="16"/>
          <w:color w:val="auto"/>
        </w:rPr>
        <w:t>”). Prior to the Closing, Gem shall have the right to control the defense and settlement of any litigation related to this Agreement or the Contemplated Transactions, but shall reasonably consult with and permit the Company and its Representatives to participate in consideration to the Company’s advice with respect to Transaction Litigation. Gem shall promptly advise the Company of the initiation of, and shall keep the Company reasonably apprised of any material developments in connection with, any such Transaction Litigation.</w:t>
      </w:r>
    </w:p>
    <w:p>
      <w:pPr>
        <w:spacing w:after="0" w:line="260" w:lineRule="exact"/>
        <w:rPr>
          <w:sz w:val="20"/>
          <w:szCs w:val="20"/>
          <w:color w:val="auto"/>
        </w:rPr>
      </w:pPr>
    </w:p>
    <w:p>
      <w:pPr>
        <w:ind w:right="1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6.20 </w:t>
      </w:r>
      <w:r>
        <w:rPr>
          <w:rFonts w:ascii="Times New Roman" w:cs="Times New Roman" w:eastAsia="Times New Roman" w:hAnsi="Times New Roman"/>
          <w:sz w:val="16"/>
          <w:szCs w:val="16"/>
          <w:u w:val="single" w:color="auto"/>
          <w:color w:val="auto"/>
        </w:rPr>
        <w:t>Gem SEC Documents</w:t>
      </w:r>
      <w:r>
        <w:rPr>
          <w:rFonts w:ascii="Times New Roman" w:cs="Times New Roman" w:eastAsia="Times New Roman" w:hAnsi="Times New Roman"/>
          <w:sz w:val="16"/>
          <w:szCs w:val="16"/>
          <w:color w:val="auto"/>
        </w:rPr>
        <w:t>. From the date of this Agreement until the Effective Time, Gem shall use reasonable best efforts to timely file with the SEC all Gem SEC Documents. As of its filing date, or if amended after the date of this Agreement, as of the date of the last such amendment, each Gem SEC Document filed by Gem with the SEC shall comply in all material respects with the applicable requirements of the Exchange Act and the Securities Act.</w:t>
      </w:r>
    </w:p>
    <w:p>
      <w:pPr>
        <w:spacing w:after="0" w:line="256" w:lineRule="exact"/>
        <w:rPr>
          <w:sz w:val="20"/>
          <w:szCs w:val="20"/>
          <w:color w:val="auto"/>
        </w:rPr>
      </w:pPr>
    </w:p>
    <w:p>
      <w:pPr>
        <w:ind w:right="1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6.21 </w:t>
      </w:r>
      <w:r>
        <w:rPr>
          <w:rFonts w:ascii="Times New Roman" w:cs="Times New Roman" w:eastAsia="Times New Roman" w:hAnsi="Times New Roman"/>
          <w:sz w:val="16"/>
          <w:szCs w:val="16"/>
          <w:u w:val="single" w:color="auto"/>
          <w:color w:val="auto"/>
        </w:rPr>
        <w:t>Obligations of Merger Sub</w:t>
      </w:r>
      <w:r>
        <w:rPr>
          <w:rFonts w:ascii="Times New Roman" w:cs="Times New Roman" w:eastAsia="Times New Roman" w:hAnsi="Times New Roman"/>
          <w:sz w:val="16"/>
          <w:szCs w:val="16"/>
          <w:color w:val="auto"/>
        </w:rPr>
        <w:t>. Gem will take all action necessary to cause Merger Sub to perform its obligations under this Agreement and to consummate the Merger on the terms and conditions set forth in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Conditions Precedent to Obligations of Each Party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251" w:lineRule="exact"/>
        <w:rPr>
          <w:sz w:val="20"/>
          <w:szCs w:val="20"/>
          <w:color w:val="auto"/>
        </w:rPr>
      </w:pPr>
    </w:p>
    <w:p>
      <w:pPr>
        <w:ind w:right="1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Effectiveness of Registration Statement</w:t>
      </w:r>
      <w:r>
        <w:rPr>
          <w:rFonts w:ascii="Times New Roman" w:cs="Times New Roman" w:eastAsia="Times New Roman" w:hAnsi="Times New Roman"/>
          <w:sz w:val="16"/>
          <w:szCs w:val="16"/>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9640"/>
          </w:cols>
          <w:pgMar w:left="1120" w:top="253" w:right="1139" w:bottom="1440" w:gutter="0" w:footer="0" w:header="0"/>
        </w:sectPr>
      </w:pPr>
    </w:p>
    <w:bookmarkStart w:id="99" w:name="page100"/>
    <w:bookmarkEnd w:id="99"/>
    <w:p>
      <w:pPr>
        <w:ind w:right="20" w:firstLine="869"/>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7.2 </w:t>
      </w:r>
      <w:r>
        <w:rPr>
          <w:rFonts w:ascii="Times New Roman" w:cs="Times New Roman" w:eastAsia="Times New Roman" w:hAnsi="Times New Roman"/>
          <w:sz w:val="16"/>
          <w:szCs w:val="16"/>
          <w:u w:val="single" w:color="auto"/>
          <w:color w:val="auto"/>
        </w:rPr>
        <w:t>No Restraints</w:t>
      </w:r>
      <w:r>
        <w:rPr>
          <w:rFonts w:ascii="Times New Roman" w:cs="Times New Roman" w:eastAsia="Times New Roman" w:hAnsi="Times New Roman"/>
          <w:sz w:val="16"/>
          <w:szCs w:val="16"/>
          <w:color w:val="auto"/>
        </w:rPr>
        <w:t>. No temporary restraining order, preliminary or permanent injunction or other Order preventing the consummation of the Contemplated Transactions shall</w:t>
      </w:r>
    </w:p>
    <w:p>
      <w:pPr>
        <w:ind w:right="80"/>
        <w:spacing w:after="0" w:line="250" w:lineRule="auto"/>
        <w:rPr>
          <w:sz w:val="20"/>
          <w:szCs w:val="20"/>
          <w:color w:val="auto"/>
        </w:rPr>
      </w:pPr>
      <w:r>
        <w:rPr>
          <w:rFonts w:ascii="Times New Roman" w:cs="Times New Roman" w:eastAsia="Times New Roman" w:hAnsi="Times New Roman"/>
          <w:sz w:val="16"/>
          <w:szCs w:val="16"/>
          <w:color w:val="auto"/>
        </w:rPr>
        <w:t>have been issued by any court of competent jurisdiction or other Governmental Authority of competent jurisdiction and remain in effect, no investigation by a Governmental Authority with respect to the consummation of the Contemplated Transactions is known to be pending, and there shall not be any Law which has the effect of making the consummation of the Contemplated Transactions illegal.</w:t>
      </w:r>
    </w:p>
    <w:p>
      <w:pPr>
        <w:spacing w:after="0" w:line="259" w:lineRule="exact"/>
        <w:rPr>
          <w:sz w:val="20"/>
          <w:szCs w:val="20"/>
          <w:color w:val="auto"/>
        </w:rPr>
      </w:pPr>
    </w:p>
    <w:p>
      <w:pPr>
        <w:ind w:right="1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(a) Gem shall have obtained the Required Gem Stockholder Vote and (b) the Company shall have obtained the Required Company Stockholder Vote.</w:t>
      </w:r>
    </w:p>
    <w:p>
      <w:pPr>
        <w:spacing w:after="0" w:line="239" w:lineRule="exact"/>
        <w:rPr>
          <w:sz w:val="20"/>
          <w:szCs w:val="20"/>
          <w:color w:val="auto"/>
        </w:rPr>
      </w:pPr>
    </w:p>
    <w:p>
      <w:pPr>
        <w:jc w:val="both"/>
        <w:ind w:firstLine="869"/>
        <w:spacing w:after="0" w:line="261"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approval of the listing of the additional shares of Gem Common Stock on Nasdaq shall have been obtained and the shares of Gem Common Stock to be issued in the Merger pursuant to this Agreement shall have been approved for listing (subject to official notice of issuance) on Nasdaq.</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Additional Conditions Precedent to Obligations of Gem and Merger Sub</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The obligations of Gem and Merger Sub to effect the Merger and otherwise consummate the transactions to be consummated at the Closing are subject to the satisfaction or the written waiver by Gem, at or prior to the Closing, of each of the following conditions:</w:t>
      </w:r>
    </w:p>
    <w:p>
      <w:pPr>
        <w:spacing w:after="0" w:line="239" w:lineRule="exact"/>
        <w:rPr>
          <w:sz w:val="20"/>
          <w:szCs w:val="20"/>
          <w:color w:val="auto"/>
        </w:rPr>
      </w:pPr>
    </w:p>
    <w:p>
      <w:pPr>
        <w:ind w:right="40" w:firstLine="869"/>
        <w:spacing w:after="0" w:line="248"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Accuracy of Representations</w:t>
      </w:r>
      <w:r>
        <w:rPr>
          <w:rFonts w:ascii="Times New Roman" w:cs="Times New Roman" w:eastAsia="Times New Roman" w:hAnsi="Times New Roman"/>
          <w:sz w:val="16"/>
          <w:szCs w:val="16"/>
          <w:color w:val="auto"/>
        </w:rPr>
        <w:t>. The Company Fundamental Representations shall have been accurate and complete in all respects as of the date of this Agreement and shall be accurate and complete on and as of the Closing Date with the same force and effect as if made on and as of such date (except to the extent such representations and warranties are specifically made as of a particular date, in which case such representations and warranties shall be accurate and complete as of such date). The Company Capitalization Representations shall have been accurate and complete in all respects as of the date of this Agreement and shall be accurate and complete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accurate and complete,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accurate and complete as of the date of this Agreement and shall be accurate and complete on and as of the Closing Date with the same force and effect as if made on the Closing Date except (a) in each case, or in the aggregate, where the failure to be so accurate and complete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accurate and complete,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9640"/>
          </w:cols>
          <w:pgMar w:left="1120" w:top="253" w:right="1139" w:bottom="1440" w:gutter="0" w:footer="0" w:header="0"/>
        </w:sectPr>
      </w:pPr>
    </w:p>
    <w:bookmarkStart w:id="100" w:name="page101"/>
    <w:bookmarkEnd w:id="100"/>
    <w:p>
      <w:pPr>
        <w:ind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8.2 </w:t>
      </w:r>
      <w:r>
        <w:rPr>
          <w:rFonts w:ascii="Times New Roman" w:cs="Times New Roman" w:eastAsia="Times New Roman" w:hAnsi="Times New Roman"/>
          <w:sz w:val="16"/>
          <w:szCs w:val="16"/>
          <w:u w:val="single" w:color="auto"/>
          <w:color w:val="auto"/>
        </w:rPr>
        <w:t>Performance of Covenants</w:t>
      </w:r>
      <w:r>
        <w:rPr>
          <w:rFonts w:ascii="Times New Roman" w:cs="Times New Roman" w:eastAsia="Times New Roman" w:hAnsi="Times New Roman"/>
          <w:sz w:val="16"/>
          <w:szCs w:val="16"/>
          <w:color w:val="auto"/>
        </w:rPr>
        <w:t>. The Company shall have performed or complied with in all material respects all agreements and covenants required to be performed or complied with by it under this Agreement at or prior to the Effective Time.</w:t>
      </w:r>
    </w:p>
    <w:p>
      <w:pPr>
        <w:spacing w:after="0" w:line="50" w:lineRule="exact"/>
        <w:rPr>
          <w:sz w:val="20"/>
          <w:szCs w:val="20"/>
          <w:color w:val="auto"/>
        </w:rPr>
      </w:pPr>
    </w:p>
    <w:p>
      <w:pPr>
        <w:ind w:right="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Closing Certificate</w:t>
      </w:r>
      <w:r>
        <w:rPr>
          <w:rFonts w:ascii="Times New Roman" w:cs="Times New Roman" w:eastAsia="Times New Roman" w:hAnsi="Times New Roman"/>
          <w:sz w:val="16"/>
          <w:szCs w:val="16"/>
          <w:color w:val="auto"/>
        </w:rPr>
        <w:t xml:space="preserve">. Gem shall have received a certificate executed by the Chief Executive Officer or Chief Financial Officer of the Company certifying (a) that the conditions set forth in </w:t>
      </w:r>
      <w:r>
        <w:rPr>
          <w:rFonts w:ascii="Times New Roman" w:cs="Times New Roman" w:eastAsia="Times New Roman" w:hAnsi="Times New Roman"/>
          <w:sz w:val="16"/>
          <w:szCs w:val="16"/>
          <w:u w:val="single" w:color="auto"/>
          <w:color w:val="auto"/>
        </w:rPr>
        <w:t>Sections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8.7</w:t>
      </w:r>
      <w:r>
        <w:rPr>
          <w:rFonts w:ascii="Times New Roman" w:cs="Times New Roman" w:eastAsia="Times New Roman" w:hAnsi="Times New Roman"/>
          <w:sz w:val="16"/>
          <w:szCs w:val="16"/>
          <w:color w:val="auto"/>
        </w:rPr>
        <w:t xml:space="preserve"> have been duly satisfied and (b) that the information set forth in the Allocation Certificate delivered by the Company in accordance with </w:t>
      </w:r>
      <w:r>
        <w:rPr>
          <w:rFonts w:ascii="Times New Roman" w:cs="Times New Roman" w:eastAsia="Times New Roman" w:hAnsi="Times New Roman"/>
          <w:sz w:val="16"/>
          <w:szCs w:val="16"/>
          <w:u w:val="single" w:color="auto"/>
          <w:color w:val="auto"/>
        </w:rPr>
        <w:t>Section 6.16</w:t>
      </w:r>
      <w:r>
        <w:rPr>
          <w:rFonts w:ascii="Times New Roman" w:cs="Times New Roman" w:eastAsia="Times New Roman" w:hAnsi="Times New Roman"/>
          <w:sz w:val="16"/>
          <w:szCs w:val="16"/>
          <w:color w:val="auto"/>
        </w:rPr>
        <w:t xml:space="preserve"> is true and accurate in all respects as of the Closing Date.</w:t>
      </w:r>
    </w:p>
    <w:p>
      <w:pPr>
        <w:spacing w:after="0" w:line="62" w:lineRule="exact"/>
        <w:rPr>
          <w:sz w:val="20"/>
          <w:szCs w:val="20"/>
          <w:color w:val="auto"/>
        </w:rPr>
      </w:pPr>
    </w:p>
    <w:p>
      <w:pPr>
        <w:ind w:right="140" w:firstLine="869"/>
        <w:spacing w:after="0" w:line="279" w:lineRule="auto"/>
        <w:rPr>
          <w:sz w:val="20"/>
          <w:szCs w:val="20"/>
          <w:color w:val="auto"/>
        </w:rPr>
      </w:pPr>
      <w:r>
        <w:rPr>
          <w:rFonts w:ascii="Times New Roman" w:cs="Times New Roman" w:eastAsia="Times New Roman" w:hAnsi="Times New Roman"/>
          <w:sz w:val="15"/>
          <w:szCs w:val="15"/>
          <w:color w:val="auto"/>
        </w:rPr>
        <w:t xml:space="preserve">8.4 </w:t>
      </w:r>
      <w:r>
        <w:rPr>
          <w:rFonts w:ascii="Times New Roman" w:cs="Times New Roman" w:eastAsia="Times New Roman" w:hAnsi="Times New Roman"/>
          <w:sz w:val="15"/>
          <w:szCs w:val="15"/>
          <w:u w:val="single" w:color="auto"/>
          <w:color w:val="auto"/>
        </w:rPr>
        <w:t>FIRPTA Certificate</w:t>
      </w:r>
      <w:r>
        <w:rPr>
          <w:rFonts w:ascii="Times New Roman" w:cs="Times New Roman" w:eastAsia="Times New Roman" w:hAnsi="Times New Roman"/>
          <w:sz w:val="15"/>
          <w:szCs w:val="15"/>
          <w:color w:val="auto"/>
        </w:rPr>
        <w:t>. On or no more than thirty (30) days prior to the Closing Date, the Company shall deliver to Gem a properly executed certification that shares of Company Capital Stock are not “U.S. real property interests” in accordance with the Treasury Regulations under Sections 897 and 1445 of the Code, together with a notice to the IRS (which shall be filed by Gem with the IRS following the Closing within the time period specified in Treasury Regulations Section 1.897-2(h)(2))) in accordance with the provisions of Treasury Regulations section 1.897-2(h)(2).</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8.5 </w:t>
      </w:r>
      <w:r>
        <w:rPr>
          <w:rFonts w:ascii="Times New Roman" w:cs="Times New Roman" w:eastAsia="Times New Roman" w:hAnsi="Times New Roman"/>
          <w:sz w:val="15"/>
          <w:szCs w:val="15"/>
          <w:u w:val="single" w:color="auto"/>
          <w:color w:val="auto"/>
        </w:rPr>
        <w:t>No Company Material Adverse Effect</w:t>
      </w:r>
      <w:r>
        <w:rPr>
          <w:rFonts w:ascii="Times New Roman" w:cs="Times New Roman" w:eastAsia="Times New Roman" w:hAnsi="Times New Roman"/>
          <w:sz w:val="15"/>
          <w:szCs w:val="15"/>
          <w:color w:val="auto"/>
        </w:rPr>
        <w:t>. Since the date of this Agreement, there shall not have occurred any Company Material Adverse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w:t>
      </w:r>
    </w:p>
    <w:p>
      <w:pPr>
        <w:spacing w:after="0" w:line="83" w:lineRule="exact"/>
        <w:rPr>
          <w:sz w:val="20"/>
          <w:szCs w:val="20"/>
          <w:color w:val="auto"/>
        </w:rPr>
      </w:pPr>
    </w:p>
    <w:p>
      <w:pPr>
        <w:ind w:right="2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8.6 </w:t>
      </w:r>
      <w:r>
        <w:rPr>
          <w:rFonts w:ascii="Times New Roman" w:cs="Times New Roman" w:eastAsia="Times New Roman" w:hAnsi="Times New Roman"/>
          <w:sz w:val="16"/>
          <w:szCs w:val="16"/>
          <w:u w:val="single" w:color="auto"/>
          <w:color w:val="auto"/>
        </w:rPr>
        <w:t>Company Lock-Up Agreements</w:t>
      </w:r>
      <w:r>
        <w:rPr>
          <w:rFonts w:ascii="Times New Roman" w:cs="Times New Roman" w:eastAsia="Times New Roman" w:hAnsi="Times New Roman"/>
          <w:sz w:val="16"/>
          <w:szCs w:val="16"/>
          <w:color w:val="auto"/>
        </w:rPr>
        <w:t>. The Company Lock-Up Agreements will continue to be in full force and effect as of immediately following the Effective Time.</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8.7 </w:t>
      </w:r>
      <w:r>
        <w:rPr>
          <w:rFonts w:ascii="Times New Roman" w:cs="Times New Roman" w:eastAsia="Times New Roman" w:hAnsi="Times New Roman"/>
          <w:sz w:val="16"/>
          <w:szCs w:val="16"/>
          <w:u w:val="single" w:color="auto"/>
          <w:color w:val="auto"/>
        </w:rPr>
        <w:t>Termination of Investor Agreements</w:t>
      </w:r>
      <w:r>
        <w:rPr>
          <w:rFonts w:ascii="Times New Roman" w:cs="Times New Roman" w:eastAsia="Times New Roman" w:hAnsi="Times New Roman"/>
          <w:sz w:val="16"/>
          <w:szCs w:val="16"/>
          <w:color w:val="auto"/>
        </w:rPr>
        <w:t>. The Investor Agreements shall have been terminated.</w:t>
      </w:r>
    </w:p>
    <w:p>
      <w:pPr>
        <w:spacing w:after="0" w:line="100" w:lineRule="exact"/>
        <w:rPr>
          <w:sz w:val="20"/>
          <w:szCs w:val="20"/>
          <w:color w:val="auto"/>
        </w:rPr>
      </w:pPr>
    </w:p>
    <w:p>
      <w:pPr>
        <w:ind w:right="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8.8 </w:t>
      </w:r>
      <w:r>
        <w:rPr>
          <w:rFonts w:ascii="Times New Roman" w:cs="Times New Roman" w:eastAsia="Times New Roman" w:hAnsi="Times New Roman"/>
          <w:sz w:val="16"/>
          <w:szCs w:val="16"/>
          <w:u w:val="single" w:color="auto"/>
          <w:color w:val="auto"/>
        </w:rPr>
        <w:t>Company Preferred Stock Conversion</w:t>
      </w:r>
      <w:r>
        <w:rPr>
          <w:rFonts w:ascii="Times New Roman" w:cs="Times New Roman" w:eastAsia="Times New Roman" w:hAnsi="Times New Roman"/>
          <w:sz w:val="16"/>
          <w:szCs w:val="16"/>
          <w:color w:val="auto"/>
        </w:rPr>
        <w:t>. The Company shall have effected a conversion of all Company Preferred Stock into Company Common Stock as of immediately prior to the Effective Time (the “</w:t>
      </w:r>
      <w:r>
        <w:rPr>
          <w:rFonts w:ascii="Times New Roman" w:cs="Times New Roman" w:eastAsia="Times New Roman" w:hAnsi="Times New Roman"/>
          <w:sz w:val="16"/>
          <w:szCs w:val="16"/>
          <w:b w:val="1"/>
          <w:bCs w:val="1"/>
          <w:color w:val="auto"/>
        </w:rPr>
        <w:t>Company Preferred Stock Conversion</w:t>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8.9 </w:t>
      </w:r>
      <w:r>
        <w:rPr>
          <w:rFonts w:ascii="Times New Roman" w:cs="Times New Roman" w:eastAsia="Times New Roman" w:hAnsi="Times New Roman"/>
          <w:sz w:val="16"/>
          <w:szCs w:val="16"/>
          <w:u w:val="single" w:color="auto"/>
          <w:color w:val="auto"/>
        </w:rPr>
        <w:t>Third Party Consents</w:t>
      </w:r>
      <w:r>
        <w:rPr>
          <w:rFonts w:ascii="Times New Roman" w:cs="Times New Roman" w:eastAsia="Times New Roman" w:hAnsi="Times New Roman"/>
          <w:sz w:val="16"/>
          <w:szCs w:val="16"/>
          <w:color w:val="auto"/>
        </w:rPr>
        <w:t>. The Company shall have obtained and delivered to Gem (i) all consents and approvals of third parties listed in Schedule 8.10 and (ii) any other consent or approval of any third party (other than a Governmental Entity) the failure of which to obtain, individually or in the aggregate, is reasonably likely to have a Company Material Adverse Effect.</w:t>
      </w:r>
    </w:p>
    <w:p>
      <w:pPr>
        <w:spacing w:after="0" w:line="62" w:lineRule="exact"/>
        <w:rPr>
          <w:sz w:val="20"/>
          <w:szCs w:val="20"/>
          <w:color w:val="auto"/>
        </w:rPr>
      </w:pPr>
    </w:p>
    <w:p>
      <w:pPr>
        <w:ind w:right="1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8.10 </w:t>
      </w:r>
      <w:r>
        <w:rPr>
          <w:rFonts w:ascii="Times New Roman" w:cs="Times New Roman" w:eastAsia="Times New Roman" w:hAnsi="Times New Roman"/>
          <w:sz w:val="16"/>
          <w:szCs w:val="16"/>
          <w:u w:val="single" w:color="auto"/>
          <w:color w:val="auto"/>
        </w:rPr>
        <w:t>Dividend</w:t>
      </w:r>
      <w:r>
        <w:rPr>
          <w:rFonts w:ascii="Times New Roman" w:cs="Times New Roman" w:eastAsia="Times New Roman" w:hAnsi="Times New Roman"/>
          <w:sz w:val="16"/>
          <w:szCs w:val="16"/>
          <w:color w:val="auto"/>
        </w:rPr>
        <w:t>. Each of the Dividends, if any, shall have been declared and the record dates with respect to such declared Dividend shall have occurred.</w:t>
      </w:r>
    </w:p>
    <w:p>
      <w:pPr>
        <w:spacing w:after="0" w:line="50" w:lineRule="exact"/>
        <w:rPr>
          <w:sz w:val="20"/>
          <w:szCs w:val="20"/>
          <w:color w:val="auto"/>
        </w:rPr>
      </w:pPr>
    </w:p>
    <w:p>
      <w:pPr>
        <w:ind w:right="2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8.11 </w:t>
      </w:r>
      <w:r>
        <w:rPr>
          <w:rFonts w:ascii="Times New Roman" w:cs="Times New Roman" w:eastAsia="Times New Roman" w:hAnsi="Times New Roman"/>
          <w:sz w:val="16"/>
          <w:szCs w:val="16"/>
          <w:u w:val="single" w:color="auto"/>
          <w:color w:val="auto"/>
        </w:rPr>
        <w:t>Agreement Addendum.</w:t>
      </w:r>
      <w:r>
        <w:rPr>
          <w:rFonts w:ascii="Times New Roman" w:cs="Times New Roman" w:eastAsia="Times New Roman" w:hAnsi="Times New Roman"/>
          <w:sz w:val="16"/>
          <w:szCs w:val="16"/>
          <w:color w:val="auto"/>
        </w:rPr>
        <w:t xml:space="preserve"> The agreement (and the specified addendum to the agreement) listed on Schedule 8.11 of this Agreement shall remain in full force and effect.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Additional Conditions Precedent to Obligation of the Company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9600"/>
          </w:cols>
          <w:pgMar w:left="1120" w:top="253" w:right="1179" w:bottom="1440" w:gutter="0" w:footer="0" w:header="0"/>
        </w:sectPr>
      </w:pPr>
    </w:p>
    <w:bookmarkStart w:id="101" w:name="page102"/>
    <w:bookmarkEnd w:id="101"/>
    <w:p>
      <w:pPr>
        <w:ind w:left="1"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9.1 </w:t>
      </w:r>
      <w:r>
        <w:rPr>
          <w:rFonts w:ascii="Times New Roman" w:cs="Times New Roman" w:eastAsia="Times New Roman" w:hAnsi="Times New Roman"/>
          <w:sz w:val="15"/>
          <w:szCs w:val="15"/>
          <w:u w:val="single" w:color="auto"/>
          <w:color w:val="auto"/>
        </w:rPr>
        <w:t>Accuracy of Representations</w:t>
      </w:r>
      <w:r>
        <w:rPr>
          <w:rFonts w:ascii="Times New Roman" w:cs="Times New Roman" w:eastAsia="Times New Roman" w:hAnsi="Times New Roman"/>
          <w:sz w:val="15"/>
          <w:szCs w:val="15"/>
          <w:color w:val="auto"/>
        </w:rPr>
        <w:t>. Each of the Gem Fundamental Representations shall have been accurate and complete in all respects as of the date of this Agreement and shall be accurate and complete on and as of the Closing Date with the same force and effect as if made on and as of such date (except to the extent such representations and warranties are specifically made as of a particular date, in which case such representations and warranties shall be accurate and complete as of such date). The Gem Capitalization Representations shall have been accurate and complete as of the date of this Agreement and shall be accurate and complete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accurate and complete, subject to the qualifications as set forth in the preceding clause (x), as of such particular date). The representations and warranties of Gem and Merger Sub contained in this Agreement (other than the Gem Fundamental Representations and the Gem Capitalization Representations) shall have been accurate and complete as of the date of this Agreement and shall be accurate and complete on and as of the Closing Date with the same force and effect as if made on the Closing Date except (a) in each case, or in the aggregate, where the failure to be accurate and complete would not reasonably be expected to have a Gem Material Adverse Effect (without giving effect to any references therein to any Gem Material Adverse Effect or other materiality qualifications) or</w:t>
      </w:r>
    </w:p>
    <w:p>
      <w:pPr>
        <w:spacing w:after="0" w:line="2" w:lineRule="exact"/>
        <w:rPr>
          <w:sz w:val="20"/>
          <w:szCs w:val="20"/>
          <w:color w:val="auto"/>
        </w:rPr>
      </w:pPr>
    </w:p>
    <w:p>
      <w:pPr>
        <w:jc w:val="both"/>
        <w:ind w:left="1" w:right="180" w:hanging="1"/>
        <w:spacing w:after="0" w:line="249" w:lineRule="auto"/>
        <w:tabs>
          <w:tab w:leader="none" w:pos="2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those representations and warranties which address matters only as of a particular date (which representations shall have been accurate and complete, subject to the qualifications as set forth in the preceding clause (a), as of such particular date) (it being understood that, for purposes of determining the accuracy of such representations and warranties, any update of or modification to the Gem Disclosure Schedule made or purported to have been made after the date of this Agreement shall be disregarded).</w:t>
      </w:r>
    </w:p>
    <w:p>
      <w:pPr>
        <w:spacing w:after="0" w:line="71"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Performance of Covenants</w:t>
      </w:r>
      <w:r>
        <w:rPr>
          <w:rFonts w:ascii="Times New Roman" w:cs="Times New Roman" w:eastAsia="Times New Roman" w:hAnsi="Times New Roman"/>
          <w:sz w:val="16"/>
          <w:szCs w:val="16"/>
          <w:color w:val="auto"/>
        </w:rPr>
        <w:t>. Gem and Merger Sub shall have performed or complied with in all material respects all of their agreements and covenants required to be performed or complied with by each of them under this Agreement at or prior to the Effective Time.</w:t>
      </w:r>
    </w:p>
    <w:p>
      <w:pPr>
        <w:spacing w:after="0" w:line="5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Documents</w:t>
      </w:r>
      <w:r>
        <w:rPr>
          <w:rFonts w:ascii="Times New Roman" w:cs="Times New Roman" w:eastAsia="Times New Roman" w:hAnsi="Times New Roman"/>
          <w:sz w:val="16"/>
          <w:szCs w:val="16"/>
          <w:color w:val="auto"/>
        </w:rPr>
        <w:t>. The Company shall have received the following documents, each of which shall be in full force and effect:</w:t>
      </w:r>
    </w:p>
    <w:p>
      <w:pPr>
        <w:spacing w:after="0" w:line="100" w:lineRule="exact"/>
        <w:rPr>
          <w:sz w:val="20"/>
          <w:szCs w:val="20"/>
          <w:color w:val="auto"/>
        </w:rPr>
      </w:pPr>
    </w:p>
    <w:p>
      <w:pPr>
        <w:ind w:left="1" w:right="20" w:firstLine="1253"/>
        <w:spacing w:after="0" w:line="276" w:lineRule="auto"/>
        <w:tabs>
          <w:tab w:leader="none" w:pos="147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certificate executed by the Chief Executive Officer of Gem confirming that the conditions set forth in </w:t>
      </w:r>
      <w:r>
        <w:rPr>
          <w:rFonts w:ascii="Times New Roman" w:cs="Times New Roman" w:eastAsia="Times New Roman" w:hAnsi="Times New Roman"/>
          <w:sz w:val="16"/>
          <w:szCs w:val="16"/>
          <w:u w:val="single" w:color="auto"/>
          <w:color w:val="auto"/>
        </w:rPr>
        <w:t>Sections 9.1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9.4</w:t>
      </w:r>
      <w:r>
        <w:rPr>
          <w:rFonts w:ascii="Times New Roman" w:cs="Times New Roman" w:eastAsia="Times New Roman" w:hAnsi="Times New Roman"/>
          <w:sz w:val="16"/>
          <w:szCs w:val="16"/>
          <w:color w:val="auto"/>
        </w:rPr>
        <w:t xml:space="preserve"> have been duly satisfied; and</w:t>
      </w:r>
    </w:p>
    <w:p>
      <w:pPr>
        <w:spacing w:after="0" w:line="49" w:lineRule="exact"/>
        <w:rPr>
          <w:rFonts w:ascii="Times New Roman" w:cs="Times New Roman" w:eastAsia="Times New Roman" w:hAnsi="Times New Roman"/>
          <w:sz w:val="16"/>
          <w:szCs w:val="16"/>
          <w:color w:val="auto"/>
        </w:rPr>
      </w:pPr>
    </w:p>
    <w:p>
      <w:pPr>
        <w:ind w:left="1" w:right="520" w:firstLine="1253"/>
        <w:spacing w:after="0" w:line="276" w:lineRule="auto"/>
        <w:tabs>
          <w:tab w:leader="none" w:pos="147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written resignations in forms reasonably satisfactory to the Company, dated as of the Closing Date and effective as of the Closing, executed by the officers and directors of Gem who are not to continue as officers or directors of Gem pursuant to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No Gem Material Adverse Effect</w:t>
      </w:r>
      <w:r>
        <w:rPr>
          <w:rFonts w:ascii="Times New Roman" w:cs="Times New Roman" w:eastAsia="Times New Roman" w:hAnsi="Times New Roman"/>
          <w:sz w:val="16"/>
          <w:szCs w:val="16"/>
          <w:color w:val="auto"/>
        </w:rPr>
        <w:t>. Since the date of this Agreement, there shall not have occurred any Gem Material Adverse Effect.</w:t>
      </w:r>
    </w:p>
    <w:p>
      <w:pPr>
        <w:spacing w:after="0" w:line="100"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Gem Lock-Up Agreements</w:t>
      </w:r>
      <w:r>
        <w:rPr>
          <w:rFonts w:ascii="Times New Roman" w:cs="Times New Roman" w:eastAsia="Times New Roman" w:hAnsi="Times New Roman"/>
          <w:sz w:val="16"/>
          <w:szCs w:val="16"/>
          <w:color w:val="auto"/>
        </w:rPr>
        <w:t>. The Gem Lock-Up Agreements will continue to be in full force and effect as of immediately following the Effective Time.</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9621"/>
          </w:cols>
          <w:pgMar w:left="1119" w:top="253" w:right="1159" w:bottom="1440" w:gutter="0" w:footer="0" w:header="0"/>
        </w:sectPr>
      </w:pPr>
    </w:p>
    <w:bookmarkStart w:id="102" w:name="page103"/>
    <w:bookmarkEnd w:id="102"/>
    <w:p>
      <w:pPr>
        <w:ind w:right="48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9.6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existing shares of Gem Common Stock shall have been continually listed on Nasdaq as of and from the date of this Agreement through the Closing Date.</w:t>
      </w:r>
    </w:p>
    <w:p>
      <w:pPr>
        <w:spacing w:after="0" w:line="50" w:lineRule="exact"/>
        <w:rPr>
          <w:sz w:val="20"/>
          <w:szCs w:val="20"/>
          <w:color w:val="auto"/>
        </w:rPr>
      </w:pPr>
    </w:p>
    <w:p>
      <w:pPr>
        <w:jc w:val="both"/>
        <w:ind w:right="1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Payoff Letter</w:t>
      </w:r>
      <w:r>
        <w:rPr>
          <w:rFonts w:ascii="Times New Roman" w:cs="Times New Roman" w:eastAsia="Times New Roman" w:hAnsi="Times New Roman"/>
          <w:sz w:val="16"/>
          <w:szCs w:val="16"/>
          <w:color w:val="auto"/>
        </w:rPr>
        <w:t>. The Company shall have received a true and correct copy of a payoff letter addressed to the Company and Gem from SVB Leerink in connection with the repayment by Gem of any unpaid indebtedness for borrowed money of Gem and related fees to SVB Leerink and termination of the relevant debt facility.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jc w:val="both"/>
        <w:ind w:right="1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prior to the Effective Time (whether before or after adoption of this Agreement by the Company’s stockholders and whether before or after approval of the Gem Stockholder Matters by Gem’s stockholders, unless otherwise specified below):</w:t>
      </w:r>
    </w:p>
    <w:p>
      <w:pPr>
        <w:spacing w:after="0" w:line="62" w:lineRule="exact"/>
        <w:rPr>
          <w:sz w:val="20"/>
          <w:szCs w:val="20"/>
          <w:color w:val="auto"/>
        </w:rPr>
      </w:pPr>
    </w:p>
    <w:p>
      <w:pPr>
        <w:ind w:left="1460" w:hanging="207"/>
        <w:spacing w:after="0"/>
        <w:tabs>
          <w:tab w:leader="none" w:pos="14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Gem and the Company;</w:t>
      </w:r>
    </w:p>
    <w:p>
      <w:pPr>
        <w:spacing w:after="0" w:line="99" w:lineRule="exact"/>
        <w:rPr>
          <w:rFonts w:ascii="Times New Roman" w:cs="Times New Roman" w:eastAsia="Times New Roman" w:hAnsi="Times New Roman"/>
          <w:sz w:val="16"/>
          <w:szCs w:val="16"/>
          <w:color w:val="auto"/>
        </w:rPr>
      </w:pPr>
    </w:p>
    <w:p>
      <w:pPr>
        <w:ind w:firstLine="1253"/>
        <w:spacing w:after="0" w:line="251" w:lineRule="auto"/>
        <w:tabs>
          <w:tab w:leader="none" w:pos="147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either Gem or the Company if the Merger shall not have been consummated by March 15, 2023 (subject to possible extension as provided in this </w:t>
      </w:r>
      <w:r>
        <w:rPr>
          <w:rFonts w:ascii="Times New Roman" w:cs="Times New Roman" w:eastAsia="Times New Roman" w:hAnsi="Times New Roman"/>
          <w:sz w:val="16"/>
          <w:szCs w:val="16"/>
          <w:u w:val="single" w:color="auto"/>
          <w:color w:val="auto"/>
        </w:rPr>
        <w:t>Section 10.1(b)</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End Date</w:t>
      </w:r>
      <w:r>
        <w:rPr>
          <w:rFonts w:ascii="Times New Roman" w:cs="Times New Roman" w:eastAsia="Times New Roman" w:hAnsi="Times New Roman"/>
          <w:sz w:val="16"/>
          <w:szCs w:val="16"/>
          <w:color w:val="auto"/>
        </w:rPr>
        <w:t xml:space="preserve">”); provided, however, that the right to terminate this Agreement under this </w:t>
      </w:r>
      <w:r>
        <w:rPr>
          <w:rFonts w:ascii="Times New Roman" w:cs="Times New Roman" w:eastAsia="Times New Roman" w:hAnsi="Times New Roman"/>
          <w:sz w:val="16"/>
          <w:szCs w:val="16"/>
          <w:u w:val="single" w:color="auto"/>
          <w:color w:val="auto"/>
        </w:rPr>
        <w:t>Section 10.1(b)</w:t>
      </w:r>
      <w:r>
        <w:rPr>
          <w:rFonts w:ascii="Times New Roman" w:cs="Times New Roman" w:eastAsia="Times New Roman" w:hAnsi="Times New Roman"/>
          <w:sz w:val="16"/>
          <w:szCs w:val="16"/>
          <w:color w:val="auto"/>
        </w:rPr>
        <w:t xml:space="preserve"> shall not be available to the Company or Gem if such Party’s (or in the case of Gem, Merger Sub’s) action or failure to act has been a principal cause of the failure of the Merger to occur on or before the End Date and such action or failure to act constitutes a breach of this Agreement, provided, further, however, that, in the event that the condition set forth in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(if the injunction, investigation or order relates to antitrust Laws) shall not have been satisfied by the initial End Date, or in the event that the SEC has not declared effective under the Securities Act the Registration Statement by the date which is 60 days prior to the End Date, then either the Company or Gem shall be entitled to extend the End Date for an additional 60 days;</w:t>
      </w:r>
    </w:p>
    <w:p>
      <w:pPr>
        <w:spacing w:after="0" w:line="72" w:lineRule="exact"/>
        <w:rPr>
          <w:rFonts w:ascii="Times New Roman" w:cs="Times New Roman" w:eastAsia="Times New Roman" w:hAnsi="Times New Roman"/>
          <w:sz w:val="16"/>
          <w:szCs w:val="16"/>
          <w:color w:val="auto"/>
        </w:rPr>
      </w:pPr>
    </w:p>
    <w:p>
      <w:pPr>
        <w:ind w:right="40" w:firstLine="1253"/>
        <w:spacing w:after="0" w:line="261" w:lineRule="auto"/>
        <w:tabs>
          <w:tab w:leader="none" w:pos="146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Gem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62" w:lineRule="exact"/>
        <w:rPr>
          <w:rFonts w:ascii="Times New Roman" w:cs="Times New Roman" w:eastAsia="Times New Roman" w:hAnsi="Times New Roman"/>
          <w:sz w:val="16"/>
          <w:szCs w:val="16"/>
          <w:color w:val="auto"/>
        </w:rPr>
      </w:pPr>
    </w:p>
    <w:p>
      <w:pPr>
        <w:ind w:right="200" w:firstLine="1253"/>
        <w:spacing w:after="0" w:line="227" w:lineRule="auto"/>
        <w:tabs>
          <w:tab w:leader="none" w:pos="147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Gem if the Required Company Stockholder Vote shall not have been obtained, and evidence thereof and the accompanying certificate each delivered to Gem, by 5:00 p.m. Eastern Time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Business Days after the date on which the Registration Statement becomes effective in accordance with the provisions of the Securities Act provided, however, that, that once the Required Company Stockholder Vote has been obtained, Gem may not terminate this Agreement pursuant to this </w:t>
      </w:r>
      <w:r>
        <w:rPr>
          <w:rFonts w:ascii="Times New Roman" w:cs="Times New Roman" w:eastAsia="Times New Roman" w:hAnsi="Times New Roman"/>
          <w:sz w:val="16"/>
          <w:szCs w:val="16"/>
          <w:u w:val="single" w:color="auto"/>
          <w:color w:val="auto"/>
        </w:rPr>
        <w:t>Section 10.1(d)</w:t>
      </w:r>
      <w:r>
        <w:rPr>
          <w:rFonts w:ascii="Times New Roman" w:cs="Times New Roman" w:eastAsia="Times New Roman" w:hAnsi="Times New Roman"/>
          <w:sz w:val="16"/>
          <w:szCs w:val="16"/>
          <w:color w:val="auto"/>
        </w:rPr>
        <w:t>;</w:t>
      </w:r>
    </w:p>
    <w:p>
      <w:pPr>
        <w:spacing w:after="0" w:line="79" w:lineRule="exact"/>
        <w:rPr>
          <w:rFonts w:ascii="Times New Roman" w:cs="Times New Roman" w:eastAsia="Times New Roman" w:hAnsi="Times New Roman"/>
          <w:sz w:val="16"/>
          <w:szCs w:val="16"/>
          <w:color w:val="auto"/>
        </w:rPr>
      </w:pPr>
    </w:p>
    <w:p>
      <w:pPr>
        <w:ind w:right="60" w:firstLine="1253"/>
        <w:spacing w:after="0" w:line="252" w:lineRule="auto"/>
        <w:tabs>
          <w:tab w:leader="none" w:pos="146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Gem or the Company if (i) the Gem Stockholder Meeting (including any adjournments and postponements thereof) shall have been held and completed and Gem’s stockholders shall have taken a final vote on the Gem Stockholder Matters and (ii) the Gem Stockholder Matters shall not have been approved at the Gem Stockholder Meeting (or at any adjournment or postponement thereof) by the Required Gem Stockholder Vote; provided, however, that the right to terminate this Agreement under this </w:t>
      </w:r>
      <w:r>
        <w:rPr>
          <w:rFonts w:ascii="Times New Roman" w:cs="Times New Roman" w:eastAsia="Times New Roman" w:hAnsi="Times New Roman"/>
          <w:sz w:val="16"/>
          <w:szCs w:val="16"/>
          <w:u w:val="single" w:color="auto"/>
          <w:color w:val="auto"/>
        </w:rPr>
        <w:t>Section 10.1(e)</w:t>
      </w:r>
      <w:r>
        <w:rPr>
          <w:rFonts w:ascii="Times New Roman" w:cs="Times New Roman" w:eastAsia="Times New Roman" w:hAnsi="Times New Roman"/>
          <w:sz w:val="16"/>
          <w:szCs w:val="16"/>
          <w:color w:val="auto"/>
        </w:rPr>
        <w:t xml:space="preserve"> shall not be available to Gem where the failure to obtain the Required Gem Stockholder Vote shall have been caused by the action or failure to act of Gem and such action or failure to act constitutes a material breach by Gem of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9640"/>
          </w:cols>
          <w:pgMar w:left="1120" w:top="253" w:right="1139" w:bottom="1440" w:gutter="0" w:footer="0" w:header="0"/>
        </w:sectPr>
      </w:pPr>
    </w:p>
    <w:bookmarkStart w:id="103" w:name="page104"/>
    <w:bookmarkEnd w:id="103"/>
    <w:p>
      <w:pPr>
        <w:ind w:right="120" w:firstLine="1253"/>
        <w:spacing w:after="0" w:line="276" w:lineRule="auto"/>
        <w:tabs>
          <w:tab w:leader="none" w:pos="145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by the Company (at any time prior to the approval of the Gem Stockholder Matters by the Required Gem Stockholder Vote) if a Gem Triggering Event shall have occurred;</w:t>
      </w:r>
    </w:p>
    <w:p>
      <w:pPr>
        <w:spacing w:after="0" w:line="144" w:lineRule="exact"/>
        <w:rPr>
          <w:rFonts w:ascii="Times New Roman" w:cs="Times New Roman" w:eastAsia="Times New Roman" w:hAnsi="Times New Roman"/>
          <w:sz w:val="16"/>
          <w:szCs w:val="16"/>
          <w:color w:val="auto"/>
        </w:rPr>
      </w:pPr>
    </w:p>
    <w:p>
      <w:pPr>
        <w:ind w:right="40" w:firstLine="1253"/>
        <w:spacing w:after="0" w:line="276" w:lineRule="auto"/>
        <w:tabs>
          <w:tab w:leader="none" w:pos="147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Gem (at any time prior to the adoption of this Agreement and the approval of the Contemplated Transactions by the Required Company Stockholder Vote) if a Company Triggering Event shall have occurred;</w:t>
      </w:r>
    </w:p>
    <w:p>
      <w:pPr>
        <w:spacing w:after="0" w:line="144" w:lineRule="exact"/>
        <w:rPr>
          <w:rFonts w:ascii="Times New Roman" w:cs="Times New Roman" w:eastAsia="Times New Roman" w:hAnsi="Times New Roman"/>
          <w:sz w:val="16"/>
          <w:szCs w:val="16"/>
          <w:color w:val="auto"/>
        </w:rPr>
      </w:pPr>
    </w:p>
    <w:p>
      <w:pPr>
        <w:ind w:right="40" w:firstLine="1253"/>
        <w:spacing w:after="0" w:line="269" w:lineRule="auto"/>
        <w:tabs>
          <w:tab w:leader="none" w:pos="1478"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upon a breach of any representation, warranty, covenant or agreement set forth in this Agreement by Gem or Merger Sub or if any representation or warranty of Gem or Merger Sub shall have become inaccurate, in either case, such that the conditions set forth in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Gem’s or Merger Sub’s representations and warranties or breach by Gem or Merger Sub is curable by Gem or Merger Sub, then this Agreement shall not terminate pursuant to this </w:t>
      </w:r>
      <w:r>
        <w:rPr>
          <w:rFonts w:ascii="Times New Roman" w:cs="Times New Roman" w:eastAsia="Times New Roman" w:hAnsi="Times New Roman"/>
          <w:sz w:val="15"/>
          <w:szCs w:val="15"/>
          <w:u w:val="single" w:color="auto"/>
          <w:color w:val="auto"/>
        </w:rPr>
        <w:t>Section 10.1(h)</w:t>
      </w:r>
      <w:r>
        <w:rPr>
          <w:rFonts w:ascii="Times New Roman" w:cs="Times New Roman" w:eastAsia="Times New Roman" w:hAnsi="Times New Roman"/>
          <w:sz w:val="15"/>
          <w:szCs w:val="15"/>
          <w:color w:val="auto"/>
        </w:rPr>
        <w:t xml:space="preserve"> as a result of such particular breach or inaccuracy until the expiration of a 30-day period commencing upon delivery of written notice from the Company to Gem or Merger Sub of such breach or inaccuracy and its intention to terminate pursuant to this </w:t>
      </w:r>
      <w:r>
        <w:rPr>
          <w:rFonts w:ascii="Times New Roman" w:cs="Times New Roman" w:eastAsia="Times New Roman" w:hAnsi="Times New Roman"/>
          <w:sz w:val="15"/>
          <w:szCs w:val="15"/>
          <w:u w:val="single" w:color="auto"/>
          <w:color w:val="auto"/>
        </w:rPr>
        <w:t>Section 10.1(h)</w:t>
      </w:r>
      <w:r>
        <w:rPr>
          <w:rFonts w:ascii="Times New Roman" w:cs="Times New Roman" w:eastAsia="Times New Roman" w:hAnsi="Times New Roman"/>
          <w:sz w:val="15"/>
          <w:szCs w:val="15"/>
          <w:color w:val="auto"/>
        </w:rPr>
        <w:t xml:space="preserve"> (it being understood that this Agreement shall not terminate pursuant to this </w:t>
      </w:r>
      <w:r>
        <w:rPr>
          <w:rFonts w:ascii="Times New Roman" w:cs="Times New Roman" w:eastAsia="Times New Roman" w:hAnsi="Times New Roman"/>
          <w:sz w:val="15"/>
          <w:szCs w:val="15"/>
          <w:u w:val="single" w:color="auto"/>
          <w:color w:val="auto"/>
        </w:rPr>
        <w:t>Section 10.1(h)</w:t>
      </w:r>
      <w:r>
        <w:rPr>
          <w:rFonts w:ascii="Times New Roman" w:cs="Times New Roman" w:eastAsia="Times New Roman" w:hAnsi="Times New Roman"/>
          <w:sz w:val="15"/>
          <w:szCs w:val="15"/>
          <w:color w:val="auto"/>
        </w:rPr>
        <w:t xml:space="preserve"> as a result of such particular breach or inaccuracy if such breach by Gem or Merger Sub is cured prior to such termination becoming effective);</w:t>
      </w:r>
    </w:p>
    <w:p>
      <w:pPr>
        <w:spacing w:after="0" w:line="152" w:lineRule="exact"/>
        <w:rPr>
          <w:rFonts w:ascii="Times New Roman" w:cs="Times New Roman" w:eastAsia="Times New Roman" w:hAnsi="Times New Roman"/>
          <w:sz w:val="15"/>
          <w:szCs w:val="15"/>
          <w:color w:val="auto"/>
        </w:rPr>
      </w:pPr>
    </w:p>
    <w:p>
      <w:pPr>
        <w:ind w:firstLine="1253"/>
        <w:spacing w:after="0" w:line="250" w:lineRule="auto"/>
        <w:tabs>
          <w:tab w:leader="none" w:pos="1443"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Gem,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would not be satisfied as of the time of such breach or as of the time such representation or warranty shall have become inaccurate; provided that Gem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as a result of such particular breach or inaccuracy until the expiration of a 30-day period commencing upon delivery of written notice from Gem to the Company of such breach or inaccuracy and its intention to terminate pursuant to this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(it being understood that this Agreement shall not terminate pursuant to this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as a result of such particular breach or inaccuracy if such breach by the Company is cured prior to such termination becoming effective);</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this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(other than pursuant to </w:t>
      </w:r>
      <w:r>
        <w:rPr>
          <w:rFonts w:ascii="Times New Roman" w:cs="Times New Roman" w:eastAsia="Times New Roman" w:hAnsi="Times New Roman"/>
          <w:sz w:val="16"/>
          <w:szCs w:val="16"/>
          <w:u w:val="single" w:color="auto"/>
          <w:color w:val="auto"/>
        </w:rPr>
        <w:t>Section 10.1(a)</w:t>
      </w:r>
      <w:r>
        <w:rPr>
          <w:rFonts w:ascii="Times New Roman" w:cs="Times New Roman" w:eastAsia="Times New Roman" w:hAnsi="Times New Roman"/>
          <w:sz w:val="16"/>
          <w:szCs w:val="16"/>
          <w:color w:val="auto"/>
        </w:rPr>
        <w:t>) shall give a notice of such termination to the other Party specifying the provisions hereof pursuant to which such termination is made and the basis therefor described in reasonable detail.</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9620"/>
          </w:cols>
          <w:pgMar w:left="1120" w:top="253" w:right="1159" w:bottom="1440" w:gutter="0" w:footer="0" w:header="0"/>
        </w:sectPr>
      </w:pPr>
    </w:p>
    <w:bookmarkStart w:id="104" w:name="page105"/>
    <w:bookmarkEnd w:id="104"/>
    <w:p>
      <w:pPr>
        <w:ind w:left="1"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10.2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In the event of the termination of this Agreement as provided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this Agreement shall be of no further force or effect; provided, however, that (a)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shall not relieve any Party of any liability for fraud or for any willful and material breach of any representation, warranty, covenant, obligation or other provision contained in this Agreement.</w:t>
      </w:r>
    </w:p>
    <w:p>
      <w:pPr>
        <w:spacing w:after="0" w:line="256"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Expenses; Termination Fees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20" w:firstLine="1253"/>
        <w:spacing w:after="0" w:line="275" w:lineRule="auto"/>
        <w:tabs>
          <w:tab w:leader="none" w:pos="1470" w:val="left"/>
        </w:tabs>
        <w:numPr>
          <w:ilvl w:val="1"/>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set forth in this </w:t>
      </w:r>
      <w:r>
        <w:rPr>
          <w:rFonts w:ascii="Times New Roman" w:cs="Times New Roman" w:eastAsia="Times New Roman" w:hAnsi="Times New Roman"/>
          <w:sz w:val="15"/>
          <w:szCs w:val="15"/>
          <w:u w:val="single" w:color="auto"/>
          <w:color w:val="auto"/>
        </w:rPr>
        <w:t>Section 10.3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6.10</w:t>
      </w:r>
      <w:r>
        <w:rPr>
          <w:rFonts w:ascii="Times New Roman" w:cs="Times New Roman" w:eastAsia="Times New Roman" w:hAnsi="Times New Roman"/>
          <w:sz w:val="15"/>
          <w:szCs w:val="15"/>
          <w:color w:val="auto"/>
        </w:rPr>
        <w:t xml:space="preserve"> all fees and expenses incurred in connection with this Agreement and the Contemplated Transactions shall be paid by the Party incurring such expenses, whether or not the Merger is consummated; provided, however, that</w:t>
      </w:r>
    </w:p>
    <w:p>
      <w:pPr>
        <w:ind w:left="1" w:right="120" w:hanging="1"/>
        <w:spacing w:after="0" w:line="249" w:lineRule="auto"/>
        <w:tabs>
          <w:tab w:leader="none" w:pos="18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and the Company shall share equally the costs and expenses incurred in relation to the filings by the Parties under any antitrust Law applicable to this Agreement and the transactions contemplated hereby, and (ii) that Gem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w:t>
      </w:r>
    </w:p>
    <w:p>
      <w:pPr>
        <w:spacing w:after="0" w:line="70" w:lineRule="exact"/>
        <w:rPr>
          <w:rFonts w:ascii="Times New Roman" w:cs="Times New Roman" w:eastAsia="Times New Roman" w:hAnsi="Times New Roman"/>
          <w:sz w:val="16"/>
          <w:szCs w:val="16"/>
          <w:color w:val="auto"/>
        </w:rPr>
      </w:pPr>
    </w:p>
    <w:p>
      <w:pPr>
        <w:ind w:left="1481" w:hanging="227"/>
        <w:spacing w:after="0"/>
        <w:tabs>
          <w:tab w:leader="none" w:pos="148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this Agreement is terminated by Gem or the Company pursuant to </w:t>
      </w:r>
      <w:r>
        <w:rPr>
          <w:rFonts w:ascii="Times New Roman" w:cs="Times New Roman" w:eastAsia="Times New Roman" w:hAnsi="Times New Roman"/>
          <w:sz w:val="16"/>
          <w:szCs w:val="16"/>
          <w:u w:val="single" w:color="auto"/>
          <w:color w:val="auto"/>
        </w:rPr>
        <w:t>Section 10.1(e)</w:t>
      </w:r>
      <w:r>
        <w:rPr>
          <w:rFonts w:ascii="Times New Roman" w:cs="Times New Roman" w:eastAsia="Times New Roman" w:hAnsi="Times New Roman"/>
          <w:sz w:val="16"/>
          <w:szCs w:val="16"/>
          <w:color w:val="auto"/>
        </w:rPr>
        <w:t xml:space="preserve"> or by the Company pursuant to</w:t>
      </w:r>
    </w:p>
    <w:p>
      <w:pPr>
        <w:spacing w:after="0" w:line="22" w:lineRule="exact"/>
        <w:rPr>
          <w:sz w:val="20"/>
          <w:szCs w:val="20"/>
          <w:color w:val="auto"/>
        </w:rPr>
      </w:pPr>
    </w:p>
    <w:p>
      <w:pPr>
        <w:ind w:left="1" w:right="60"/>
        <w:spacing w:after="0" w:line="263" w:lineRule="auto"/>
        <w:rPr>
          <w:sz w:val="20"/>
          <w:szCs w:val="20"/>
          <w:color w:val="auto"/>
        </w:rPr>
      </w:pPr>
      <w:r>
        <w:rPr>
          <w:rFonts w:ascii="Times New Roman" w:cs="Times New Roman" w:eastAsia="Times New Roman" w:hAnsi="Times New Roman"/>
          <w:sz w:val="15"/>
          <w:szCs w:val="15"/>
          <w:u w:val="single" w:color="auto"/>
          <w:color w:val="auto"/>
        </w:rPr>
        <w:t>Section 10.1(f)</w:t>
      </w:r>
      <w:r>
        <w:rPr>
          <w:rFonts w:ascii="Times New Roman" w:cs="Times New Roman" w:eastAsia="Times New Roman" w:hAnsi="Times New Roman"/>
          <w:sz w:val="15"/>
          <w:szCs w:val="15"/>
          <w:color w:val="auto"/>
        </w:rPr>
        <w:t xml:space="preserve">, (ii) at any time after the date of this Agreement and prior to the Gem Stockholder Meeting an Acquisition Proposal with respect to Gem shall have been publicly announced, disclosed or otherwise communicated to the Gem Board (and shall not have been withdrawn) and (iii) in the event this Agreement is terminated pursuant to </w:t>
      </w:r>
      <w:r>
        <w:rPr>
          <w:rFonts w:ascii="Times New Roman" w:cs="Times New Roman" w:eastAsia="Times New Roman" w:hAnsi="Times New Roman"/>
          <w:sz w:val="15"/>
          <w:szCs w:val="15"/>
          <w:u w:val="single" w:color="auto"/>
          <w:color w:val="auto"/>
        </w:rPr>
        <w:t>Section 10.1(e)</w:t>
      </w:r>
      <w:r>
        <w:rPr>
          <w:rFonts w:ascii="Times New Roman" w:cs="Times New Roman" w:eastAsia="Times New Roman" w:hAnsi="Times New Roman"/>
          <w:sz w:val="15"/>
          <w:szCs w:val="15"/>
          <w:color w:val="auto"/>
        </w:rPr>
        <w:t>, within twelve (12) months after the date of such termination, Gem enters into a definitive agreement with respect to a Subsequent Transaction or consummates a Subsequent Transaction, then Gem shall pay to the Company, within ten</w:t>
      </w:r>
    </w:p>
    <w:p>
      <w:pPr>
        <w:spacing w:after="0" w:line="1" w:lineRule="exact"/>
        <w:rPr>
          <w:sz w:val="20"/>
          <w:szCs w:val="20"/>
          <w:color w:val="auto"/>
        </w:rPr>
      </w:pPr>
    </w:p>
    <w:p>
      <w:pPr>
        <w:ind w:left="1" w:right="100" w:hanging="1"/>
        <w:spacing w:after="0" w:line="253" w:lineRule="auto"/>
        <w:tabs>
          <w:tab w:leader="none" w:pos="30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after termination (or, if applicable, upon such entry into a definitive agreement and/or consummation of a Subsequent Transaction), a nonrefundable fee in an amount equal to $3,000,000 (the “</w:t>
      </w:r>
      <w:r>
        <w:rPr>
          <w:rFonts w:ascii="Times New Roman" w:cs="Times New Roman" w:eastAsia="Times New Roman" w:hAnsi="Times New Roman"/>
          <w:sz w:val="16"/>
          <w:szCs w:val="16"/>
          <w:b w:val="1"/>
          <w:bCs w:val="1"/>
          <w:color w:val="auto"/>
        </w:rPr>
        <w:t>Company Termination Fee</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1" w:firstLine="1253"/>
        <w:spacing w:after="0" w:line="251" w:lineRule="auto"/>
        <w:tabs>
          <w:tab w:leader="none" w:pos="147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this Agreement is terminated by Gem pursuant to </w:t>
      </w:r>
      <w:r>
        <w:rPr>
          <w:rFonts w:ascii="Times New Roman" w:cs="Times New Roman" w:eastAsia="Times New Roman" w:hAnsi="Times New Roman"/>
          <w:sz w:val="16"/>
          <w:szCs w:val="16"/>
          <w:u w:val="single" w:color="auto"/>
          <w:color w:val="auto"/>
        </w:rPr>
        <w:t>Section 10.1(d)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10.1(g)</w:t>
      </w:r>
      <w:r>
        <w:rPr>
          <w:rFonts w:ascii="Times New Roman" w:cs="Times New Roman" w:eastAsia="Times New Roman" w:hAnsi="Times New Roman"/>
          <w:sz w:val="16"/>
          <w:szCs w:val="16"/>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Times New Roman" w:cs="Times New Roman" w:eastAsia="Times New Roman" w:hAnsi="Times New Roman"/>
          <w:sz w:val="16"/>
          <w:szCs w:val="16"/>
          <w:u w:val="single" w:color="auto"/>
          <w:color w:val="auto"/>
        </w:rPr>
        <w:t>Section 10.1(d)</w:t>
      </w:r>
      <w:r>
        <w:rPr>
          <w:rFonts w:ascii="Times New Roman" w:cs="Times New Roman" w:eastAsia="Times New Roman" w:hAnsi="Times New Roman"/>
          <w:sz w:val="16"/>
          <w:szCs w:val="16"/>
          <w:color w:val="auto"/>
        </w:rPr>
        <w:t>, within twelve (12) months after the date of such termination, the Company enters into a definitive agreement with respect to a Subsequent Transaction or consummates a Subsequent Transaction, then the Company shall pay to Gem, within ten (10) Business Days after termination (or, if applicable, upon such entry into a definitive agreement and/or consummation of a Subsequent Transaction), a nonrefundable fee in an amount equal to $7,800,000 (the “</w:t>
      </w:r>
      <w:r>
        <w:rPr>
          <w:rFonts w:ascii="Times New Roman" w:cs="Times New Roman" w:eastAsia="Times New Roman" w:hAnsi="Times New Roman"/>
          <w:sz w:val="16"/>
          <w:szCs w:val="16"/>
          <w:b w:val="1"/>
          <w:bCs w:val="1"/>
          <w:color w:val="auto"/>
        </w:rPr>
        <w:t>Gem Termination Fee</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jc w:val="both"/>
        <w:ind w:left="1" w:right="540" w:firstLine="1253"/>
        <w:spacing w:after="0" w:line="256" w:lineRule="auto"/>
        <w:tabs>
          <w:tab w:leader="none" w:pos="1479"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this Agreement is terminated by the Company pursuant to </w:t>
      </w:r>
      <w:r>
        <w:rPr>
          <w:rFonts w:ascii="Times New Roman" w:cs="Times New Roman" w:eastAsia="Times New Roman" w:hAnsi="Times New Roman"/>
          <w:sz w:val="16"/>
          <w:szCs w:val="16"/>
          <w:u w:val="single" w:color="auto"/>
          <w:color w:val="auto"/>
        </w:rPr>
        <w:t>Section 10.1(e)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10.1(f),</w:t>
      </w:r>
      <w:r>
        <w:rPr>
          <w:rFonts w:ascii="Times New Roman" w:cs="Times New Roman" w:eastAsia="Times New Roman" w:hAnsi="Times New Roman"/>
          <w:sz w:val="16"/>
          <w:szCs w:val="16"/>
          <w:color w:val="auto"/>
        </w:rPr>
        <w:t xml:space="preserve"> Gem shall reimburse the Company for all reasonable out-of-pocket fees and expenses incurred by the Company in connection with this Agreement and the Contemplated Transactions, up to a maximum of $750,000, by wire transfer of same-day funds within ten (10) Business Days following the date on which the Company submits to Gem accurate and complete copies of reasonable documentation supporting such expenses.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9641"/>
          </w:cols>
          <w:pgMar w:left="1119" w:top="253" w:right="1139" w:bottom="1440" w:gutter="0" w:footer="0" w:header="0"/>
        </w:sectPr>
      </w:pPr>
    </w:p>
    <w:bookmarkStart w:id="105" w:name="page106"/>
    <w:bookmarkEnd w:id="105"/>
    <w:p>
      <w:pPr>
        <w:ind w:firstLine="1253"/>
        <w:spacing w:after="0" w:line="256" w:lineRule="auto"/>
        <w:tabs>
          <w:tab w:leader="none" w:pos="1469"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If this Agreement is terminated by Gem pursuant to </w:t>
      </w:r>
      <w:r>
        <w:rPr>
          <w:rFonts w:ascii="Times New Roman" w:cs="Times New Roman" w:eastAsia="Times New Roman" w:hAnsi="Times New Roman"/>
          <w:sz w:val="16"/>
          <w:szCs w:val="16"/>
          <w:u w:val="single" w:color="auto"/>
          <w:color w:val="auto"/>
        </w:rPr>
        <w:t>Section 10.1(g)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the Company shall reimburse Gem for all reasonable out-of-pocket fees and expenses incurred by Gem in connection with this Agreement and the Contemplated Transactions, up to a maximum of $750,000, by wire transfer of same-day funds within ten (10) Business Days following the date on which Gem submits to the Company accurate and complete copies of reasonable documentation supporting such expenses.</w:t>
      </w:r>
    </w:p>
    <w:p>
      <w:pPr>
        <w:spacing w:after="0" w:line="161" w:lineRule="exact"/>
        <w:rPr>
          <w:rFonts w:ascii="Times New Roman" w:cs="Times New Roman" w:eastAsia="Times New Roman" w:hAnsi="Times New Roman"/>
          <w:sz w:val="16"/>
          <w:szCs w:val="16"/>
          <w:color w:val="auto"/>
        </w:rPr>
      </w:pPr>
    </w:p>
    <w:p>
      <w:pPr>
        <w:ind w:right="20" w:firstLine="1253"/>
        <w:spacing w:after="0" w:line="252" w:lineRule="auto"/>
        <w:tabs>
          <w:tab w:leader="none" w:pos="145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either Party fails to pay when due any amount payable by it under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65" w:lineRule="exact"/>
        <w:rPr>
          <w:rFonts w:ascii="Times New Roman" w:cs="Times New Roman" w:eastAsia="Times New Roman" w:hAnsi="Times New Roman"/>
          <w:sz w:val="16"/>
          <w:szCs w:val="16"/>
          <w:color w:val="auto"/>
        </w:rPr>
      </w:pPr>
    </w:p>
    <w:p>
      <w:pPr>
        <w:ind w:right="20" w:firstLine="1253"/>
        <w:spacing w:after="0" w:line="248" w:lineRule="auto"/>
        <w:tabs>
          <w:tab w:leader="none" w:pos="1478"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that,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the payment of the fees and expenses set forth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it being understood that in no event shall either Gem or the Company be required to pay the individual fees or damages payable pursuant to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on more than one occasion.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following the payment of the fees and expenses set forth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is not a penalty, but rather is liquidated damages in a reasonable amount that will compensate the Parties in the circumstances in which such amount is payable.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and Warranties</w:t>
      </w:r>
      <w:r>
        <w:rPr>
          <w:rFonts w:ascii="Times New Roman" w:cs="Times New Roman" w:eastAsia="Times New Roman" w:hAnsi="Times New Roman"/>
          <w:sz w:val="16"/>
          <w:szCs w:val="16"/>
          <w:color w:val="auto"/>
        </w:rPr>
        <w:t xml:space="preserve">. The representations and warranties of the Company, Gem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Effective Time.</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9580"/>
          </w:cols>
          <w:pgMar w:left="1120" w:top="253" w:right="1199" w:bottom="1440" w:gutter="0" w:footer="0" w:header="0"/>
        </w:sectPr>
      </w:pPr>
    </w:p>
    <w:bookmarkStart w:id="106" w:name="page107"/>
    <w:bookmarkEnd w:id="106"/>
    <w:p>
      <w:pPr>
        <w:ind w:right="8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11.2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Agreement may be amended with the approval of the respective boards of directors of the Company, Merger Sub and Gem at any time (whether before or after the adoption and approval of this Agreement by the Company’s stockholders or before or after obtaining the Required Gem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Gem.</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60" w:firstLine="1253"/>
        <w:spacing w:after="0" w:line="254" w:lineRule="auto"/>
        <w:tabs>
          <w:tab w:leader="none" w:pos="146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67" w:lineRule="exact"/>
        <w:rPr>
          <w:rFonts w:ascii="Times New Roman" w:cs="Times New Roman" w:eastAsia="Times New Roman" w:hAnsi="Times New Roman"/>
          <w:sz w:val="16"/>
          <w:szCs w:val="16"/>
          <w:color w:val="auto"/>
        </w:rPr>
      </w:pPr>
    </w:p>
    <w:p>
      <w:pPr>
        <w:ind w:firstLine="1253"/>
        <w:spacing w:after="0" w:line="286" w:lineRule="auto"/>
        <w:tabs>
          <w:tab w:leader="none" w:pos="1478"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46" w:lineRule="exact"/>
        <w:rPr>
          <w:sz w:val="20"/>
          <w:szCs w:val="20"/>
          <w:color w:val="auto"/>
        </w:rPr>
      </w:pPr>
    </w:p>
    <w:p>
      <w:pPr>
        <w:ind w:right="120" w:firstLine="869"/>
        <w:spacing w:after="0" w:line="272" w:lineRule="auto"/>
        <w:rPr>
          <w:sz w:val="20"/>
          <w:szCs w:val="20"/>
          <w:color w:val="auto"/>
        </w:rPr>
      </w:pPr>
      <w:r>
        <w:rPr>
          <w:rFonts w:ascii="Times New Roman" w:cs="Times New Roman" w:eastAsia="Times New Roman" w:hAnsi="Times New Roman"/>
          <w:sz w:val="15"/>
          <w:szCs w:val="15"/>
          <w:color w:val="auto"/>
        </w:rPr>
        <w:t xml:space="preserve">11.4 </w:t>
      </w:r>
      <w:r>
        <w:rPr>
          <w:rFonts w:ascii="Times New Roman" w:cs="Times New Roman" w:eastAsia="Times New Roman" w:hAnsi="Times New Roman"/>
          <w:sz w:val="15"/>
          <w:szCs w:val="15"/>
          <w:u w:val="single" w:color="auto"/>
          <w:color w:val="auto"/>
        </w:rPr>
        <w:t>Entire Agreement; Counterparts; Exchanges by Facsimile</w:t>
      </w:r>
      <w:r>
        <w:rPr>
          <w:rFonts w:ascii="Times New Roman" w:cs="Times New Roman" w:eastAsia="Times New Roman" w:hAnsi="Times New Roman"/>
          <w:sz w:val="15"/>
          <w:szCs w:val="15"/>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57" w:lineRule="exact"/>
        <w:rPr>
          <w:sz w:val="20"/>
          <w:szCs w:val="20"/>
          <w:color w:val="auto"/>
        </w:rPr>
      </w:pPr>
    </w:p>
    <w:p>
      <w:pPr>
        <w:ind w:right="160" w:firstLine="869"/>
        <w:spacing w:after="0" w:line="251"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Applicable Law; Jurisdiction</w:t>
      </w:r>
      <w:r>
        <w:rPr>
          <w:rFonts w:ascii="Times New Roman" w:cs="Times New Roman" w:eastAsia="Times New Roman" w:hAnsi="Times New Roman"/>
          <w:sz w:val="16"/>
          <w:szCs w:val="16"/>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9640"/>
          </w:cols>
          <w:pgMar w:left="1120" w:top="253" w:right="1139" w:bottom="1440" w:gutter="0" w:footer="0" w:header="0"/>
        </w:sectPr>
      </w:pPr>
    </w:p>
    <w:bookmarkStart w:id="107" w:name="page108"/>
    <w:bookmarkEnd w:id="107"/>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CLAIMS IN RESPECT OF SUCH ACTION OR PROCEEDING SHALL BE HEARD AND DETERMINED EXCLUSIVELY IN ACCORDANCE WITH CLAUSE (A) OF THIS SECTION 11.5,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11.7 OF THIS AGREEMENT AND (F) IRREVOCABLY WAIVES THE RIGHT TO TRIAL BY JURY.</w:t>
      </w:r>
    </w:p>
    <w:p>
      <w:pPr>
        <w:spacing w:after="0" w:line="165"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6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Gem or Merger Sub: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297 Boston Post Road #248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Wayland, MA 01778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 State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02109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Stuart M. Falber, Esq.</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World Trade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250 Greenwich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10007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Christopher D. Barnstable-Brown</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E-mail: *****@*****.com</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9600"/>
          </w:cols>
          <w:pgMar w:left="1120" w:top="253" w:right="11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if to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321 Arsenal Street, Suite 101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Watertown, MA 02472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Northern 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02110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William D. Collins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ind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57" w:lineRule="exact"/>
        <w:rPr>
          <w:sz w:val="20"/>
          <w:szCs w:val="20"/>
          <w:color w:val="auto"/>
        </w:rPr>
      </w:pPr>
    </w:p>
    <w:p>
      <w:pPr>
        <w:ind w:right="20" w:firstLine="869"/>
        <w:spacing w:after="0" w:line="250"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67" w:lineRule="exact"/>
        <w:rPr>
          <w:sz w:val="20"/>
          <w:szCs w:val="20"/>
          <w:color w:val="auto"/>
        </w:rPr>
      </w:pPr>
    </w:p>
    <w:p>
      <w:pPr>
        <w:ind w:firstLine="869"/>
        <w:spacing w:after="0" w:line="271" w:lineRule="auto"/>
        <w:rPr>
          <w:sz w:val="20"/>
          <w:szCs w:val="20"/>
          <w:color w:val="auto"/>
        </w:rPr>
      </w:pPr>
      <w:r>
        <w:rPr>
          <w:rFonts w:ascii="Times New Roman" w:cs="Times New Roman" w:eastAsia="Times New Roman" w:hAnsi="Times New Roman"/>
          <w:sz w:val="15"/>
          <w:szCs w:val="15"/>
          <w:color w:val="auto"/>
        </w:rPr>
        <w:t xml:space="preserve">11.10 </w:t>
      </w:r>
      <w:r>
        <w:rPr>
          <w:rFonts w:ascii="Times New Roman" w:cs="Times New Roman" w:eastAsia="Times New Roman" w:hAnsi="Times New Roman"/>
          <w:sz w:val="15"/>
          <w:szCs w:val="15"/>
          <w:u w:val="single" w:color="auto"/>
          <w:color w:val="auto"/>
        </w:rPr>
        <w:t>Other Remedies; Specific Performance</w:t>
      </w:r>
      <w:r>
        <w:rPr>
          <w:rFonts w:ascii="Times New Roman" w:cs="Times New Roman" w:eastAsia="Times New Roman" w:hAnsi="Times New Roman"/>
          <w:sz w:val="15"/>
          <w:szCs w:val="15"/>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9640"/>
          </w:cols>
          <w:pgMar w:left="1120" w:top="253" w:right="1139" w:bottom="1440" w:gutter="0" w:footer="0" w:header="0"/>
        </w:sectPr>
      </w:pPr>
    </w:p>
    <w:bookmarkStart w:id="109" w:name="page110"/>
    <w:bookmarkEnd w:id="109"/>
    <w:p>
      <w:pPr>
        <w:ind w:firstLine="869"/>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11.11 </w:t>
      </w: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any right, benefit or remedy of any nature whatsoever under or by reason of this Agreement.</w:t>
      </w:r>
    </w:p>
    <w:p>
      <w:pPr>
        <w:spacing w:after="0" w:line="1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9460"/>
          </w:cols>
          <w:pgMar w:left="1120" w:top="253" w:right="1319" w:bottom="1440" w:gutter="0" w:footer="0" w:header="0"/>
        </w:sectPr>
      </w:pPr>
    </w:p>
    <w:bookmarkStart w:id="110" w:name="page111"/>
    <w:bookmarkEnd w:id="110"/>
    <w:p>
      <w:pPr>
        <w:ind w:left="5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Parties have caused this Agreement to be executed as of the date first above written.</w:t>
      </w:r>
    </w:p>
    <w:p>
      <w:pPr>
        <w:spacing w:after="0" w:line="2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96" w:lineRule="exact"/>
        <w:rPr>
          <w:sz w:val="20"/>
          <w:szCs w:val="20"/>
          <w:color w:val="auto"/>
        </w:rPr>
      </w:pPr>
    </w:p>
    <w:tbl>
      <w:tblPr>
        <w:tblLayout w:type="fixed"/>
        <w:tblInd w:w="5480" w:type="dxa"/>
        <w:tblCellMar>
          <w:top w:w="0" w:type="dxa"/>
          <w:left w:w="0" w:type="dxa"/>
          <w:bottom w:w="0" w:type="dxa"/>
          <w:right w:w="0" w:type="dxa"/>
        </w:tblCellMar>
      </w:tblP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Interim President and Chief Executive Officer</w:t>
            </w:r>
          </w:p>
        </w:tc>
      </w:tr>
      <w:tr>
        <w:trPr>
          <w:trHeight w:val="38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3"/>
                <w:szCs w:val="13"/>
                <w:b w:val="1"/>
                <w:bCs w:val="1"/>
                <w:color w:val="auto"/>
              </w:rPr>
              <w:t>EMSTONE</w:t>
            </w:r>
            <w:r>
              <w:rPr>
                <w:rFonts w:ascii="Times New Roman" w:cs="Times New Roman" w:eastAsia="Times New Roman" w:hAnsi="Times New Roman"/>
                <w:sz w:val="16"/>
                <w:szCs w:val="16"/>
                <w:b w:val="1"/>
                <w:bCs w:val="1"/>
                <w:color w:val="auto"/>
              </w:rPr>
              <w:t xml:space="preserve"> M</w:t>
            </w:r>
            <w:r>
              <w:rPr>
                <w:rFonts w:ascii="Times New Roman" w:cs="Times New Roman" w:eastAsia="Times New Roman" w:hAnsi="Times New Roman"/>
                <w:sz w:val="13"/>
                <w:szCs w:val="13"/>
                <w:b w:val="1"/>
                <w:bCs w:val="1"/>
                <w:color w:val="auto"/>
              </w:rPr>
              <w:t>ERGER</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3"/>
                <w:szCs w:val="13"/>
                <w:b w:val="1"/>
                <w:bCs w:val="1"/>
                <w:color w:val="auto"/>
              </w:rPr>
              <w:t>UB</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38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DISC MEDICINE, INC.</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Quisel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Quisel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bl>
    <w:p>
      <w:pPr>
        <w:sectPr>
          <w:pgSz w:w="11900" w:h="16838" w:orient="portrait"/>
          <w:cols w:equalWidth="0" w:num="1">
            <w:col w:w="9320"/>
          </w:cols>
          <w:pgMar w:left="1440" w:top="251" w:right="11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A</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 OF GEM STOCKHOLDER SUPPORT AGREEMENT</w:t>
      </w:r>
    </w:p>
    <w:p>
      <w:pPr>
        <w:spacing w:after="0" w:line="196" w:lineRule="exact"/>
        <w:rPr>
          <w:sz w:val="20"/>
          <w:szCs w:val="20"/>
          <w:color w:val="auto"/>
        </w:rPr>
      </w:pPr>
    </w:p>
    <w:p>
      <w:pPr>
        <w:jc w:val="both"/>
        <w:ind w:left="1" w:right="80" w:firstLine="386"/>
        <w:spacing w:after="0" w:line="261" w:lineRule="auto"/>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 a [•] [•]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Gem. Capitalized terms used herein but not otherwise defined shall have the respective meanings ascribed to such terms in the Merger Agreement (as defined below).</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 a [•] [•]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left="1" w:right="14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Gem Common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1"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the Company to enter into the Merger Agreement, the Company has required that Stockholder enter into this Agreement.</w:t>
      </w:r>
    </w:p>
    <w:p>
      <w:pPr>
        <w:spacing w:after="0" w:line="14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left="1" w:right="20" w:firstLine="385"/>
        <w:spacing w:after="0" w:line="276" w:lineRule="auto"/>
        <w:tabs>
          <w:tab w:leader="none" w:pos="545"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left="1" w:right="300" w:firstLine="867"/>
        <w:spacing w:after="0" w:line="256" w:lineRule="auto"/>
        <w:tabs>
          <w:tab w:leader="none" w:pos="1084"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left="1101" w:hanging="233"/>
        <w:spacing w:after="0"/>
        <w:tabs>
          <w:tab w:leader="none" w:pos="1101"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Gem Common Stock owned, beneficially or of record, by the Stockholder as of the date hereof, and</w:t>
      </w:r>
    </w:p>
    <w:p>
      <w:pPr>
        <w:spacing w:after="0" w:line="22" w:lineRule="exact"/>
        <w:rPr>
          <w:rFonts w:ascii="Times New Roman" w:cs="Times New Roman" w:eastAsia="Times New Roman" w:hAnsi="Times New Roman"/>
          <w:sz w:val="16"/>
          <w:szCs w:val="16"/>
          <w:color w:val="auto"/>
        </w:rPr>
      </w:pPr>
    </w:p>
    <w:p>
      <w:pPr>
        <w:ind w:left="1" w:right="600" w:hanging="1"/>
        <w:spacing w:after="0" w:line="253" w:lineRule="auto"/>
        <w:tabs>
          <w:tab w:leader="none" w:pos="23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additional shares of Gem Common Stock acquired by the Stockholder, beneficially or of record, during the period commencing with the execution and delivery of this Agreement and expiring on the Closing Date.</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21"/>
          </w:cols>
          <w:pgMar w:left="1119" w:top="251" w:right="1159" w:bottom="1440" w:gutter="0" w:footer="0" w:header="0"/>
        </w:sectPr>
      </w:pPr>
    </w:p>
    <w:bookmarkStart w:id="112" w:name="page113"/>
    <w:bookmarkEnd w:id="112"/>
    <w:p>
      <w:pPr>
        <w:ind w:left="-40" w:firstLine="867"/>
        <w:spacing w:after="0" w:line="251" w:lineRule="auto"/>
        <w:tabs>
          <w:tab w:leader="none" w:pos="1043"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72"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51" w:lineRule="auto"/>
        <w:tabs>
          <w:tab w:leader="none" w:pos="105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this Agreement or otherwise permitted or required or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Gem Stockholder Matters.</w:t>
      </w:r>
    </w:p>
    <w:p>
      <w:pPr>
        <w:spacing w:after="0" w:line="69" w:lineRule="exact"/>
        <w:rPr>
          <w:rFonts w:ascii="Times New Roman" w:cs="Times New Roman" w:eastAsia="Times New Roman" w:hAnsi="Times New Roman"/>
          <w:sz w:val="16"/>
          <w:szCs w:val="16"/>
          <w:color w:val="auto"/>
        </w:rPr>
      </w:pPr>
    </w:p>
    <w:p>
      <w:pPr>
        <w:ind w:left="-40" w:firstLine="867"/>
        <w:spacing w:after="0" w:line="268" w:lineRule="auto"/>
        <w:tabs>
          <w:tab w:leader="none" w:pos="1043" w:val="left"/>
        </w:tabs>
        <w:numPr>
          <w:ilvl w:val="1"/>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113" w:name="page114"/>
    <w:bookmarkEnd w:id="113"/>
    <w:p>
      <w:pPr>
        <w:ind w:left="541" w:hanging="155"/>
        <w:spacing w:after="0"/>
        <w:tabs>
          <w:tab w:leader="none" w:pos="541"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jc w:val="both"/>
        <w:ind w:left="1" w:right="100" w:firstLine="867"/>
        <w:spacing w:after="0" w:line="271" w:lineRule="auto"/>
        <w:tabs>
          <w:tab w:leader="none" w:pos="1084" w:val="left"/>
        </w:tabs>
        <w:numPr>
          <w:ilvl w:val="2"/>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the Expiration Date (as defined below), at any meeting of the stockholders of Gem, however called, and at every adjournment or postponement thereof, and on every action or approval by written consent of the stockholders of Gem, the Stockholder shall be present (in person or by proxy) and vote, or exercise its right to consent with respect to, all Shares held by the Stockholder (A) in favor of the Gem Stockholder Matters and</w:t>
      </w:r>
    </w:p>
    <w:p>
      <w:pPr>
        <w:ind w:left="241" w:hanging="241"/>
        <w:spacing w:after="0"/>
        <w:tabs>
          <w:tab w:leader="none" w:pos="241"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Acquisition Proposal.</w:t>
      </w:r>
    </w:p>
    <w:p>
      <w:pPr>
        <w:spacing w:after="0" w:line="82" w:lineRule="exact"/>
        <w:rPr>
          <w:rFonts w:ascii="Times New Roman" w:cs="Times New Roman" w:eastAsia="Times New Roman" w:hAnsi="Times New Roman"/>
          <w:sz w:val="16"/>
          <w:szCs w:val="16"/>
          <w:color w:val="auto"/>
        </w:rPr>
      </w:pPr>
    </w:p>
    <w:p>
      <w:pPr>
        <w:ind w:left="1" w:right="100" w:firstLine="867"/>
        <w:spacing w:after="0" w:line="310" w:lineRule="auto"/>
        <w:tabs>
          <w:tab w:leader="none" w:pos="1093" w:val="left"/>
        </w:tabs>
        <w:numPr>
          <w:ilvl w:val="2"/>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5"/>
          <w:szCs w:val="15"/>
          <w:u w:val="single" w:color="auto"/>
          <w:color w:val="auto"/>
        </w:rPr>
        <w:t>Section 3.</w:t>
      </w:r>
    </w:p>
    <w:p>
      <w:pPr>
        <w:spacing w:after="0" w:line="27" w:lineRule="exact"/>
        <w:rPr>
          <w:rFonts w:ascii="Times New Roman" w:cs="Times New Roman" w:eastAsia="Times New Roman" w:hAnsi="Times New Roman"/>
          <w:sz w:val="15"/>
          <w:szCs w:val="15"/>
          <w:color w:val="auto"/>
        </w:rPr>
      </w:pPr>
    </w:p>
    <w:p>
      <w:pPr>
        <w:ind w:left="1" w:right="60" w:firstLine="867"/>
        <w:spacing w:after="0" w:line="256" w:lineRule="auto"/>
        <w:tabs>
          <w:tab w:leader="none" w:pos="1084" w:val="left"/>
        </w:tabs>
        <w:numPr>
          <w:ilvl w:val="2"/>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Gem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left="1" w:right="180" w:firstLine="385"/>
        <w:spacing w:after="0" w:line="261" w:lineRule="auto"/>
        <w:tabs>
          <w:tab w:leader="none" w:pos="545"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a record holder and beneficial owner, as applicable, of its Shares and not in the Stockholder’s capacity as a director or officer of Gem. Nothing herein shall limit or affect the Stockholder’s ability to act as an officer or director of Gem.</w:t>
      </w:r>
    </w:p>
    <w:p>
      <w:pPr>
        <w:spacing w:after="0" w:line="62" w:lineRule="exact"/>
        <w:rPr>
          <w:rFonts w:ascii="Times New Roman" w:cs="Times New Roman" w:eastAsia="Times New Roman" w:hAnsi="Times New Roman"/>
          <w:sz w:val="16"/>
          <w:szCs w:val="16"/>
          <w:color w:val="auto"/>
        </w:rPr>
      </w:pPr>
    </w:p>
    <w:p>
      <w:pPr>
        <w:ind w:left="1" w:firstLine="385"/>
        <w:spacing w:after="0" w:line="268" w:lineRule="auto"/>
        <w:tabs>
          <w:tab w:leader="none" w:pos="545" w:val="left"/>
        </w:tabs>
        <w:numPr>
          <w:ilvl w:val="1"/>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Irrevocable Proxy</w:t>
      </w:r>
      <w:r>
        <w:rPr>
          <w:rFonts w:ascii="Times New Roman" w:cs="Times New Roman" w:eastAsia="Times New Roman" w:hAnsi="Times New Roman"/>
          <w:sz w:val="15"/>
          <w:szCs w:val="15"/>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at any applicable meeting of the stockholders of Gem or pursuant to any applicable written consent of the stockholders of Gem,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Gem stockholders or at any meeting of the Gem stockholders called with respect to any of the matters specified in, and in accordance and consistent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of this Agreement. Gem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1"/>
          </w:cols>
          <w:pgMar w:left="1119" w:top="253" w:right="1139" w:bottom="1440" w:gutter="0" w:footer="0" w:header="0"/>
        </w:sectPr>
      </w:pPr>
    </w:p>
    <w:bookmarkStart w:id="114" w:name="page115"/>
    <w:bookmarkEnd w:id="114"/>
    <w:p>
      <w:pPr>
        <w:ind w:firstLine="385"/>
        <w:spacing w:after="0" w:line="251" w:lineRule="auto"/>
        <w:tabs>
          <w:tab w:leader="none" w:pos="5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firstLine="385"/>
        <w:spacing w:after="0" w:line="250" w:lineRule="auto"/>
        <w:tabs>
          <w:tab w:leader="none" w:pos="5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Exercise of Appraisal Rights; Waivers</w:t>
      </w:r>
      <w:r>
        <w:rPr>
          <w:rFonts w:ascii="Times New Roman" w:cs="Times New Roman" w:eastAsia="Times New Roman" w:hAnsi="Times New Roman"/>
          <w:sz w:val="16"/>
          <w:szCs w:val="16"/>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Gem Board, breaches any fiduciary duty of the Gem Board or any member thereof; provided, that the Stockholder may defend against, contest or settle any such action, claim, suit or cause of action brought against the Stockholder that relates solely to the Stockholder’s capacity as a director, officer or securityholder of Gem.</w:t>
      </w:r>
    </w:p>
    <w:p>
      <w:pPr>
        <w:spacing w:after="0" w:line="72" w:lineRule="exact"/>
        <w:rPr>
          <w:rFonts w:ascii="Times New Roman" w:cs="Times New Roman" w:eastAsia="Times New Roman" w:hAnsi="Times New Roman"/>
          <w:sz w:val="16"/>
          <w:szCs w:val="16"/>
          <w:color w:val="auto"/>
        </w:rPr>
      </w:pPr>
    </w:p>
    <w:p>
      <w:pPr>
        <w:ind w:left="540" w:hanging="155"/>
        <w:spacing w:after="0"/>
        <w:tabs>
          <w:tab w:leader="none" w:pos="5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or record owner of the shares of Gem Common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free and clear of any and all Liens; and (ii) the Stockholder does not beneficially own any securities of Gem other than the shares of Gem Common Stock and rights to purchase shares Gem Common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115" w:name="page116"/>
    <w:bookmarkEnd w:id="115"/>
    <w:p>
      <w:pPr>
        <w:ind w:firstLine="867"/>
        <w:spacing w:after="0" w:line="251" w:lineRule="auto"/>
        <w:tabs>
          <w:tab w:leader="none" w:pos="109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61" w:lineRule="auto"/>
        <w:tabs>
          <w:tab w:leader="none" w:pos="109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the Stockholder’s legal counsel. The Stockholder understands and acknowledges that the Company is entering into the Merger Agreement in reliance upon the Stockholder’s execution, delivery and performance of this Agreement.</w:t>
      </w:r>
    </w:p>
    <w:p>
      <w:pPr>
        <w:spacing w:after="0" w:line="62"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65"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116" w:name="page117"/>
    <w:bookmarkEnd w:id="116"/>
    <w:p>
      <w:pPr>
        <w:jc w:val="both"/>
        <w:ind w:left="1" w:right="60" w:firstLine="867"/>
        <w:spacing w:after="0" w:line="256" w:lineRule="auto"/>
        <w:tabs>
          <w:tab w:leader="none" w:pos="1093"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left="1" w:firstLine="385"/>
        <w:spacing w:after="0" w:line="275" w:lineRule="auto"/>
        <w:tabs>
          <w:tab w:leader="none" w:pos="623" w:val="left"/>
        </w:tabs>
        <w:numPr>
          <w:ilvl w:val="1"/>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that</w:t>
      </w:r>
    </w:p>
    <w:p>
      <w:pPr>
        <w:ind w:left="1" w:right="340" w:hanging="1"/>
        <w:spacing w:after="0" w:line="253" w:lineRule="auto"/>
        <w:tabs>
          <w:tab w:leader="none" w:pos="18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67" w:lineRule="exact"/>
        <w:rPr>
          <w:rFonts w:ascii="Times New Roman" w:cs="Times New Roman" w:eastAsia="Times New Roman" w:hAnsi="Times New Roman"/>
          <w:sz w:val="16"/>
          <w:szCs w:val="16"/>
          <w:color w:val="auto"/>
        </w:rPr>
      </w:pPr>
    </w:p>
    <w:p>
      <w:pPr>
        <w:ind w:left="621" w:hanging="235"/>
        <w:spacing w:after="0"/>
        <w:tabs>
          <w:tab w:leader="none" w:pos="621"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1" w:right="100" w:firstLine="867"/>
        <w:spacing w:after="0" w:line="276" w:lineRule="auto"/>
        <w:tabs>
          <w:tab w:leader="none" w:pos="1084"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left="1" w:right="320" w:firstLine="867"/>
        <w:spacing w:after="0" w:line="276" w:lineRule="auto"/>
        <w:tabs>
          <w:tab w:leader="none" w:pos="1093"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left="1" w:right="80" w:firstLine="867"/>
        <w:spacing w:after="0" w:line="256" w:lineRule="auto"/>
        <w:tabs>
          <w:tab w:leader="none" w:pos="1084"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left="1" w:firstLine="867"/>
        <w:spacing w:after="0" w:line="250" w:lineRule="auto"/>
        <w:tabs>
          <w:tab w:leader="none" w:pos="1093"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xml:space="preserve">. Each of the parties to this Agreement (i)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party with respect thereto. Any party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6"/>
          <w:szCs w:val="16"/>
          <w:u w:val="single" w:color="auto"/>
          <w:color w:val="auto"/>
        </w:rPr>
        <w:t>Section 11(j)</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11(d)</w:t>
      </w:r>
      <w:r>
        <w:rPr>
          <w:rFonts w:ascii="Times New Roman" w:cs="Times New Roman" w:eastAsia="Times New Roman" w:hAnsi="Times New Roman"/>
          <w:sz w:val="16"/>
          <w:szCs w:val="16"/>
          <w:color w:val="auto"/>
        </w:rPr>
        <w:t>, however, shall affect the right of any party to serve legal process in any other manner permitted by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1"/>
          </w:cols>
          <w:pgMar w:left="1119" w:top="253" w:right="1139" w:bottom="1440" w:gutter="0" w:footer="0" w:header="0"/>
        </w:sectPr>
      </w:pPr>
    </w:p>
    <w:bookmarkStart w:id="117" w:name="page118"/>
    <w:bookmarkEnd w:id="117"/>
    <w:p>
      <w:pPr>
        <w:ind w:left="1" w:right="80" w:firstLine="867"/>
        <w:spacing w:after="0" w:line="254" w:lineRule="auto"/>
        <w:tabs>
          <w:tab w:leader="none" w:pos="1084"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left="1" w:right="300" w:firstLine="867"/>
        <w:spacing w:after="0" w:line="254" w:lineRule="auto"/>
        <w:tabs>
          <w:tab w:leader="none" w:pos="1067"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left="1" w:firstLine="867"/>
        <w:spacing w:after="0" w:line="276" w:lineRule="auto"/>
        <w:tabs>
          <w:tab w:leader="none" w:pos="109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left="1" w:right="20" w:firstLine="867"/>
        <w:spacing w:after="0" w:line="250" w:lineRule="auto"/>
        <w:tabs>
          <w:tab w:leader="none" w:pos="109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72" w:lineRule="exact"/>
        <w:rPr>
          <w:rFonts w:ascii="Times New Roman" w:cs="Times New Roman" w:eastAsia="Times New Roman" w:hAnsi="Times New Roman"/>
          <w:sz w:val="16"/>
          <w:szCs w:val="16"/>
          <w:color w:val="auto"/>
        </w:rPr>
      </w:pPr>
    </w:p>
    <w:p>
      <w:pPr>
        <w:ind w:left="1" w:right="20" w:firstLine="867"/>
        <w:spacing w:after="0" w:line="256" w:lineRule="auto"/>
        <w:tabs>
          <w:tab w:leader="none" w:pos="1058"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1" w:firstLine="867"/>
        <w:spacing w:after="0" w:line="269" w:lineRule="auto"/>
        <w:tabs>
          <w:tab w:leader="none" w:pos="1058"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hereunder shall be in writing and shall be deemed duly delivered (i) three Business Days after being sent by registered or certified mail, return receipt requested, postage prepaid, or (ii) one Business Day after being sent for next Business Day delivery, fees prepaid, via a reputable overnight courier service, in each case to the intended recipient as follows: (A) if to the Company or Gem, to the address, electronic mail address or facsimile provided in the Merger Agreement, including to the persons designated therein to receive copies; and/or</w:t>
      </w:r>
    </w:p>
    <w:p>
      <w:pPr>
        <w:ind w:left="241" w:hanging="241"/>
        <w:spacing w:after="0"/>
        <w:tabs>
          <w:tab w:leader="none" w:pos="24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Stockholder, to the Stockholder’s address, electronic mail address or facsimile shown below Stockholder’s signature 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1"/>
          </w:cols>
          <w:pgMar w:left="1119" w:top="253" w:right="1139" w:bottom="1440" w:gutter="0" w:footer="0" w:header="0"/>
        </w:sectPr>
      </w:pPr>
    </w:p>
    <w:bookmarkStart w:id="118" w:name="page119"/>
    <w:bookmarkEnd w:id="118"/>
    <w:p>
      <w:pPr>
        <w:ind w:left="-20" w:firstLine="867"/>
        <w:spacing w:after="0" w:line="254" w:lineRule="auto"/>
        <w:tabs>
          <w:tab w:leader="none" w:pos="107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firstLine="867"/>
        <w:spacing w:after="0" w:line="250" w:lineRule="auto"/>
        <w:tabs>
          <w:tab w:leader="none" w:pos="103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Gem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Gem,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11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119" w:name="page120"/>
    <w:bookmarkEnd w:id="119"/>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764540</wp:posOffset>
            </wp:positionV>
            <wp:extent cx="244792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339"/>
          </w:cols>
          <w:pgMar w:left="1120" w:top="253"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B</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COMPANY STOCKHOLDER SUPPORT AGREEMENT</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[Disc] a Delaware corporation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 a Delaware corporation (“</w:t>
      </w:r>
      <w:r>
        <w:rPr>
          <w:rFonts w:ascii="Times New Roman" w:cs="Times New Roman" w:eastAsia="Times New Roman" w:hAnsi="Times New Roman"/>
          <w:sz w:val="15"/>
          <w:szCs w:val="15"/>
          <w:u w:val="single" w:color="auto"/>
          <w:color w:val="auto"/>
        </w:rPr>
        <w:t>Gem</w:t>
      </w:r>
      <w:r>
        <w:rPr>
          <w:rFonts w:ascii="Times New Roman" w:cs="Times New Roman" w:eastAsia="Times New Roman" w:hAnsi="Times New Roman"/>
          <w:sz w:val="15"/>
          <w:szCs w:val="15"/>
          <w:color w:val="auto"/>
        </w:rPr>
        <w:t>”), and the undersigned stockholder (the “</w:t>
      </w:r>
      <w:r>
        <w:rPr>
          <w:rFonts w:ascii="Times New Roman" w:cs="Times New Roman" w:eastAsia="Times New Roman" w:hAnsi="Times New Roman"/>
          <w:sz w:val="15"/>
          <w:szCs w:val="15"/>
          <w:u w:val="single" w:color="auto"/>
          <w:color w:val="auto"/>
        </w:rPr>
        <w:t>Stockholder</w:t>
      </w:r>
      <w:r>
        <w:rPr>
          <w:rFonts w:ascii="Times New Roman" w:cs="Times New Roman" w:eastAsia="Times New Roman" w:hAnsi="Times New Roman"/>
          <w:sz w:val="15"/>
          <w:szCs w:val="15"/>
          <w:color w:val="auto"/>
        </w:rPr>
        <w:t>”) of the Company. Capitalized terms used herein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but not otherwise defined shall have the respective meanings ascribed to such terms in the Merger Agreement (as defined below).</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[MERGER SUB], a Delaware corporation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right="14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Gem to enter into the Merger Agreement, Gem has required that Stockholder enter into this Agreement.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right="20" w:firstLine="385"/>
        <w:spacing w:after="0" w:line="276" w:lineRule="auto"/>
        <w:tabs>
          <w:tab w:leader="none" w:pos="543"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right="300" w:firstLine="867"/>
        <w:spacing w:after="0" w:line="256" w:lineRule="auto"/>
        <w:tabs>
          <w:tab w:leader="none" w:pos="1083"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right="60" w:firstLine="867"/>
        <w:spacing w:after="0" w:line="261" w:lineRule="auto"/>
        <w:tabs>
          <w:tab w:leader="none" w:pos="1092"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20"/>
          </w:cols>
          <w:pgMar w:left="1120" w:top="251" w:right="1159" w:bottom="1440" w:gutter="0" w:footer="0" w:header="0"/>
        </w:sectPr>
      </w:pPr>
    </w:p>
    <w:bookmarkStart w:id="122" w:name="page123"/>
    <w:bookmarkEnd w:id="122"/>
    <w:p>
      <w:pPr>
        <w:ind w:left="-40" w:firstLine="867"/>
        <w:spacing w:after="0" w:line="251" w:lineRule="auto"/>
        <w:tabs>
          <w:tab w:leader="none" w:pos="1043"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w:t>
      </w:r>
    </w:p>
    <w:p>
      <w:pPr>
        <w:spacing w:after="0" w:line="166"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Gem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70" w:lineRule="auto"/>
        <w:tabs>
          <w:tab w:leader="none" w:pos="1052"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the Amended and Restated Voting Agreement of the Company, dated as of August 23, 2021 (the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w:t>
      </w:r>
    </w:p>
    <w:p>
      <w:pPr>
        <w:spacing w:after="0" w:line="55" w:lineRule="exact"/>
        <w:rPr>
          <w:rFonts w:ascii="Times New Roman" w:cs="Times New Roman" w:eastAsia="Times New Roman" w:hAnsi="Times New Roman"/>
          <w:sz w:val="15"/>
          <w:szCs w:val="15"/>
          <w:color w:val="auto"/>
        </w:rPr>
      </w:pPr>
    </w:p>
    <w:p>
      <w:pPr>
        <w:ind w:left="-40" w:firstLine="867"/>
        <w:spacing w:after="0" w:line="268" w:lineRule="auto"/>
        <w:tabs>
          <w:tab w:leader="none" w:pos="1043"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123" w:name="page124"/>
    <w:bookmarkEnd w:id="123"/>
    <w:p>
      <w:pPr>
        <w:ind w:left="540" w:hanging="155"/>
        <w:spacing w:after="0"/>
        <w:tabs>
          <w:tab w:leader="none" w:pos="5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firstLine="867"/>
        <w:spacing w:after="0" w:line="256" w:lineRule="auto"/>
        <w:tabs>
          <w:tab w:leader="none" w:pos="108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and (C) against any Acquisition Proposal.</w:t>
      </w:r>
    </w:p>
    <w:p>
      <w:pPr>
        <w:spacing w:after="0" w:line="66"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6"/>
          <w:szCs w:val="16"/>
          <w:u w:val="single" w:color="auto"/>
          <w:color w:val="auto"/>
        </w:rPr>
        <w:t>Section 3.</w:t>
      </w:r>
    </w:p>
    <w:p>
      <w:pPr>
        <w:spacing w:after="0" w:line="49" w:lineRule="exact"/>
        <w:rPr>
          <w:rFonts w:ascii="Times New Roman" w:cs="Times New Roman" w:eastAsia="Times New Roman" w:hAnsi="Times New Roman"/>
          <w:sz w:val="16"/>
          <w:szCs w:val="16"/>
          <w:color w:val="auto"/>
        </w:rPr>
      </w:pPr>
    </w:p>
    <w:p>
      <w:pPr>
        <w:ind w:right="20" w:firstLine="867"/>
        <w:spacing w:after="0" w:line="256" w:lineRule="auto"/>
        <w:tabs>
          <w:tab w:leader="none" w:pos="108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right="160" w:firstLine="385"/>
        <w:spacing w:after="0" w:line="261" w:lineRule="auto"/>
        <w:tabs>
          <w:tab w:leader="none" w:pos="54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the beneficial owner of its Shares and not in the Stockholder’s capacity as a director or officer of the Company. Nothing herein shall limit or affect the Stockholder’s ability to act as an officer or director of the Company.</w:t>
      </w:r>
    </w:p>
    <w:p>
      <w:pPr>
        <w:spacing w:after="0" w:line="62" w:lineRule="exact"/>
        <w:rPr>
          <w:rFonts w:ascii="Times New Roman" w:cs="Times New Roman" w:eastAsia="Times New Roman" w:hAnsi="Times New Roman"/>
          <w:sz w:val="16"/>
          <w:szCs w:val="16"/>
          <w:color w:val="auto"/>
        </w:rPr>
      </w:pPr>
    </w:p>
    <w:p>
      <w:pPr>
        <w:ind w:firstLine="385"/>
        <w:spacing w:after="0" w:line="249" w:lineRule="auto"/>
        <w:tabs>
          <w:tab w:leader="none" w:pos="54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Irrevocable Proxy</w:t>
      </w:r>
      <w:r>
        <w:rPr>
          <w:rFonts w:ascii="Times New Roman" w:cs="Times New Roman" w:eastAsia="Times New Roman" w:hAnsi="Times New Roman"/>
          <w:sz w:val="16"/>
          <w:szCs w:val="16"/>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0"/>
          </w:cols>
          <w:pgMar w:left="1120" w:top="253" w:right="1139" w:bottom="1440" w:gutter="0" w:footer="0" w:header="0"/>
        </w:sectPr>
      </w:pPr>
    </w:p>
    <w:bookmarkStart w:id="124" w:name="page125"/>
    <w:bookmarkEnd w:id="124"/>
    <w:p>
      <w:pPr>
        <w:ind w:firstLine="385"/>
        <w:spacing w:after="0" w:line="251" w:lineRule="auto"/>
        <w:tabs>
          <w:tab w:leader="none" w:pos="543"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Acquisition Inquiry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0" w:firstLine="385"/>
        <w:spacing w:after="0" w:line="268" w:lineRule="auto"/>
        <w:tabs>
          <w:tab w:leader="none" w:pos="543"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Exercise of Appraisal Rights; Waivers</w:t>
      </w:r>
      <w:r>
        <w:rPr>
          <w:rFonts w:ascii="Times New Roman" w:cs="Times New Roman" w:eastAsia="Times New Roman" w:hAnsi="Times New Roman"/>
          <w:sz w:val="15"/>
          <w:szCs w:val="15"/>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such Stockholder has (or may be alleged to have) to the Company or to the other Company stockholders; provided,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57" w:lineRule="exact"/>
        <w:rPr>
          <w:rFonts w:ascii="Times New Roman" w:cs="Times New Roman" w:eastAsia="Times New Roman" w:hAnsi="Times New Roman"/>
          <w:sz w:val="15"/>
          <w:szCs w:val="15"/>
          <w:color w:val="auto"/>
        </w:rPr>
      </w:pPr>
    </w:p>
    <w:p>
      <w:pPr>
        <w:ind w:left="540" w:hanging="155"/>
        <w:spacing w:after="0"/>
        <w:tabs>
          <w:tab w:leader="none" w:pos="5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owner of the shares of Company Capital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free and clear of any and all Encumbrances (except for any Encumbrance that may be imposed pursuant to this Agreement, the Voting Agreement, the Amended and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125" w:name="page126"/>
    <w:bookmarkEnd w:id="125"/>
    <w:p>
      <w:pPr>
        <w:ind w:right="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Restated Investors’ Rights Agreement of the Company, dated as of August 23, 2021 (the “</w:t>
      </w:r>
      <w:r>
        <w:rPr>
          <w:rFonts w:ascii="Times New Roman" w:cs="Times New Roman" w:eastAsia="Times New Roman" w:hAnsi="Times New Roman"/>
          <w:sz w:val="16"/>
          <w:szCs w:val="16"/>
          <w:u w:val="single" w:color="auto"/>
          <w:color w:val="auto"/>
        </w:rPr>
        <w:t>Investor’s Rights Agreement</w:t>
      </w:r>
      <w:r>
        <w:rPr>
          <w:rFonts w:ascii="Times New Roman" w:cs="Times New Roman" w:eastAsia="Times New Roman" w:hAnsi="Times New Roman"/>
          <w:sz w:val="16"/>
          <w:szCs w:val="16"/>
          <w:color w:val="auto"/>
        </w:rPr>
        <w:t xml:space="preserve">”), or any lock-up agreement entered into by and between the Stockholder, the Company and Gem); and (ii) the Stockholder does not beneficially own any securities of the Company other than the shares of Company Capital Stock and rights to purchase shares Company Capital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right="20" w:firstLine="867"/>
        <w:spacing w:after="0" w:line="251" w:lineRule="auto"/>
        <w:tabs>
          <w:tab w:leader="none" w:pos="109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56" w:lineRule="auto"/>
        <w:tabs>
          <w:tab w:leader="none" w:pos="109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8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126" w:name="page127"/>
    <w:bookmarkEnd w:id="126"/>
    <w:p>
      <w:pPr>
        <w:jc w:val="both"/>
        <w:ind w:right="60" w:firstLine="867"/>
        <w:spacing w:after="0" w:line="256" w:lineRule="auto"/>
        <w:tabs>
          <w:tab w:leader="none" w:pos="1065"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right="40" w:firstLine="385"/>
        <w:spacing w:after="0" w:line="252" w:lineRule="auto"/>
        <w:tabs>
          <w:tab w:leader="none" w:pos="62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and shall cease to be of any further force or effect as of the earliest of (a) such date and time as the Merger Agreement shall have been terminated pursuant to the terms thereof as in effect on the date of this Agreement (and without giving effect to any amendments thereto unless consented to by the Stockholder), (b) the Effective Time and (c) the time this Agreement is terminated upon the written agreement of the Stockholder, the Company and Gem (the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70" w:lineRule="exact"/>
        <w:rPr>
          <w:rFonts w:ascii="Times New Roman" w:cs="Times New Roman" w:eastAsia="Times New Roman" w:hAnsi="Times New Roman"/>
          <w:sz w:val="16"/>
          <w:szCs w:val="16"/>
          <w:color w:val="auto"/>
        </w:rPr>
      </w:pPr>
    </w:p>
    <w:p>
      <w:pPr>
        <w:ind w:left="620" w:hanging="235"/>
        <w:spacing w:after="0"/>
        <w:tabs>
          <w:tab w:leader="none" w:pos="6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right="100" w:firstLine="867"/>
        <w:spacing w:after="0" w:line="276" w:lineRule="auto"/>
        <w:tabs>
          <w:tab w:leader="none" w:pos="108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right="320" w:firstLine="867"/>
        <w:spacing w:after="0" w:line="276" w:lineRule="auto"/>
        <w:tabs>
          <w:tab w:leader="none" w:pos="1092"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0"/>
          </w:cols>
          <w:pgMar w:left="1120" w:top="253" w:right="1139" w:bottom="1440" w:gutter="0" w:footer="0" w:header="0"/>
        </w:sectPr>
      </w:pPr>
    </w:p>
    <w:bookmarkStart w:id="127" w:name="page128"/>
    <w:bookmarkEnd w:id="127"/>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11(d),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11(j) OF THIS AGREEMENT AND (F) IRREVOCABLY WAIVES THE RIGHT TO TRIAL BY JURY.</w:t>
      </w:r>
    </w:p>
    <w:p>
      <w:pPr>
        <w:spacing w:after="0" w:line="72" w:lineRule="exact"/>
        <w:rPr>
          <w:sz w:val="20"/>
          <w:szCs w:val="20"/>
          <w:color w:val="auto"/>
        </w:rPr>
      </w:pPr>
    </w:p>
    <w:p>
      <w:pPr>
        <w:ind w:right="80" w:firstLine="867"/>
        <w:spacing w:after="0" w:line="254" w:lineRule="auto"/>
        <w:tabs>
          <w:tab w:leader="none" w:pos="1083"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right="300" w:firstLine="867"/>
        <w:spacing w:after="0" w:line="254" w:lineRule="auto"/>
        <w:tabs>
          <w:tab w:leader="none" w:pos="106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right="20" w:firstLine="867"/>
        <w:spacing w:after="0" w:line="250" w:lineRule="auto"/>
        <w:tabs>
          <w:tab w:leader="none" w:pos="109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0"/>
          </w:cols>
          <w:pgMar w:left="1120" w:top="253" w:right="1139" w:bottom="1440" w:gutter="0" w:footer="0" w:header="0"/>
        </w:sectPr>
      </w:pPr>
    </w:p>
    <w:bookmarkStart w:id="128" w:name="page129"/>
    <w:bookmarkEnd w:id="128"/>
    <w:p>
      <w:pPr>
        <w:ind w:left="-20" w:firstLine="867"/>
        <w:spacing w:after="0" w:line="256" w:lineRule="auto"/>
        <w:tabs>
          <w:tab w:leader="none" w:pos="10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0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to have been duly delivered and received hereunder (i) three Business Days after being sent by registered or certified mail, return receipt requested, postage prepaid, (ii) one Business Day after being sent for next Business Day delivery, fees prepaid, via a reputable overnight courier service, (iii) upon delivery, in the case of delivery by hand, or (iv) on the date delivered in the place of delivery if sent by electronic mail or facsimile (with written or electronic confirmation of delivery) prior to 6:00 p.m., New York City time, otherwise on the next succeeding Business Day, in each case to the intended recipient as follows: (A) if to the Company or Gem, to the address, electronic mail address or facsimile provided in the Merger Agreement, including to the persons designated therein to receive copies; and/or (B) if to the Stockholder, to the Stockholder’s address, electronic mail address or facsimile shown below Stockholder’s signature to this Agreement.</w:t>
      </w:r>
    </w:p>
    <w:p>
      <w:pPr>
        <w:spacing w:after="0" w:line="69" w:lineRule="exact"/>
        <w:rPr>
          <w:rFonts w:ascii="Times New Roman" w:cs="Times New Roman" w:eastAsia="Times New Roman" w:hAnsi="Times New Roman"/>
          <w:sz w:val="16"/>
          <w:szCs w:val="16"/>
          <w:color w:val="auto"/>
        </w:rPr>
      </w:pPr>
    </w:p>
    <w:p>
      <w:pPr>
        <w:ind w:left="-20" w:firstLine="867"/>
        <w:spacing w:after="0" w:line="254" w:lineRule="auto"/>
        <w:tabs>
          <w:tab w:leader="none" w:pos="107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right="120" w:firstLine="867"/>
        <w:spacing w:after="0" w:line="249" w:lineRule="auto"/>
        <w:tabs>
          <w:tab w:leader="none" w:pos="10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3.4 of the Investors’ Rights Agreement.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129" w:name="page130"/>
    <w:bookmarkEnd w:id="129"/>
    <w:p>
      <w:pPr>
        <w:ind w:left="-40" w:firstLine="867"/>
        <w:spacing w:after="0" w:line="251" w:lineRule="auto"/>
        <w:tabs>
          <w:tab w:leader="none" w:pos="109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560"/>
          </w:cols>
          <w:pgMar w:left="1160" w:top="253" w:right="1179" w:bottom="1440" w:gutter="0" w:footer="0" w:header="0"/>
        </w:sectPr>
      </w:pPr>
    </w:p>
    <w:bookmarkStart w:id="130" w:name="page131"/>
    <w:bookmarkEnd w:id="130"/>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704850</wp:posOffset>
            </wp:positionV>
            <wp:extent cx="244792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9339"/>
          </w:cols>
          <w:pgMar w:left="1120" w:top="253"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0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The undersigned signatory of this lock-up agreement (this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understands that [Gem],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has entered into an Agreement and Plan of Merger and Reorganization, dated as of [•], 2022 (as the same may be amended from time to time,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with [Merger Sub], a Delaware corporation and a wholly owned subsidiary of Gem, and [Company],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otherwise defined herein shall have the respective meanings ascribed to such terms in the Merger Agreement.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As a condition and inducement to Gem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Gem, the undersigned will not, during the period commencing upon the Closing and ending on the date that is 180 days after the Closing Date (the “</w:t>
      </w:r>
      <w:r>
        <w:rPr>
          <w:rFonts w:ascii="Times New Roman" w:cs="Times New Roman" w:eastAsia="Times New Roman" w:hAnsi="Times New Roman"/>
          <w:sz w:val="16"/>
          <w:szCs w:val="16"/>
          <w:u w:val="single" w:color="auto"/>
          <w:color w:val="auto"/>
        </w:rPr>
        <w:t>Restricted Period</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385"/>
        <w:spacing w:after="0" w:line="252" w:lineRule="auto"/>
        <w:tabs>
          <w:tab w:leader="none" w:pos="60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Gem Common Stock or any securities convertible into or exercisable or exchangeable for shares of Gem Common Stock (including without limitation, shares of Gem Common Stock or such other securities which may be deemed to be beneficially owned by the undersigned in accordance with the rules and regulations of the SEC and securities of Gem which may be issued upon exercise of an option to purchase shares of Gem Common Stock or a warrant to purchase shares of Gem Common Stock) that are currently or hereafter owned by the undersigned, except as set forth below (collectively, the “</w:t>
      </w:r>
      <w:r>
        <w:rPr>
          <w:rFonts w:ascii="Times New Roman" w:cs="Times New Roman" w:eastAsia="Times New Roman" w:hAnsi="Times New Roman"/>
          <w:sz w:val="16"/>
          <w:szCs w:val="16"/>
          <w:u w:val="single" w:color="auto"/>
          <w:color w:val="auto"/>
        </w:rPr>
        <w:t>Undersigned’s Shares</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40" w:firstLine="385"/>
        <w:spacing w:after="0" w:line="261" w:lineRule="auto"/>
        <w:tabs>
          <w:tab w:leader="none" w:pos="60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Gem Common Stock or other securities, in cash or otherwise;</w:t>
      </w:r>
    </w:p>
    <w:p>
      <w:pPr>
        <w:spacing w:after="0" w:line="156" w:lineRule="exact"/>
        <w:rPr>
          <w:rFonts w:ascii="Times New Roman" w:cs="Times New Roman" w:eastAsia="Times New Roman" w:hAnsi="Times New Roman"/>
          <w:sz w:val="16"/>
          <w:szCs w:val="16"/>
          <w:color w:val="auto"/>
        </w:rPr>
      </w:pPr>
    </w:p>
    <w:p>
      <w:pPr>
        <w:ind w:right="160" w:firstLine="385"/>
        <w:spacing w:after="0" w:line="276" w:lineRule="auto"/>
        <w:tabs>
          <w:tab w:leader="none" w:pos="60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demand for, or exercise any right with respect to, the registration of any shares of Gem Common Stock or any security convertible into or exercisable or exchangeable for shares of Gem Common Stock (other than such rights set forth in the Merger Agreement); or</w:t>
      </w:r>
    </w:p>
    <w:p>
      <w:pPr>
        <w:spacing w:after="0" w:line="144"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disclose the intention to do any of the foregoing.</w:t>
      </w:r>
    </w:p>
    <w:p>
      <w:pPr>
        <w:sectPr>
          <w:pgSz w:w="11900" w:h="16838" w:orient="portrait"/>
          <w:cols w:equalWidth="0" w:num="1">
            <w:col w:w="9640"/>
          </w:cols>
          <w:pgMar w:left="1120" w:top="251" w:right="11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restrictions and obligations contemplated by this Lock-Up Agreement shall not apply to:</w:t>
      </w:r>
    </w:p>
    <w:p>
      <w:pPr>
        <w:spacing w:after="0" w:line="194" w:lineRule="exact"/>
        <w:rPr>
          <w:sz w:val="20"/>
          <w:szCs w:val="20"/>
          <w:color w:val="auto"/>
        </w:rPr>
      </w:pPr>
    </w:p>
    <w:p>
      <w:pPr>
        <w:ind w:left="600" w:hanging="215"/>
        <w:spacing w:after="0"/>
        <w:tabs>
          <w:tab w:leader="none" w:pos="6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the Undersigned’s Shares:</w:t>
      </w:r>
    </w:p>
    <w:p>
      <w:pPr>
        <w:spacing w:after="0" w:line="194" w:lineRule="exact"/>
        <w:rPr>
          <w:rFonts w:ascii="Times New Roman" w:cs="Times New Roman" w:eastAsia="Times New Roman" w:hAnsi="Times New Roman"/>
          <w:sz w:val="16"/>
          <w:szCs w:val="16"/>
          <w:color w:val="auto"/>
        </w:rPr>
      </w:pPr>
    </w:p>
    <w:p>
      <w:pPr>
        <w:ind w:firstLine="867"/>
        <w:spacing w:after="0" w:line="252" w:lineRule="auto"/>
        <w:tabs>
          <w:tab w:leader="none" w:pos="1092"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 any person related to the undersigned (or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65" w:lineRule="exact"/>
        <w:rPr>
          <w:rFonts w:ascii="Times New Roman" w:cs="Times New Roman" w:eastAsia="Times New Roman" w:hAnsi="Times New Roman"/>
          <w:sz w:val="16"/>
          <w:szCs w:val="16"/>
          <w:color w:val="auto"/>
        </w:rPr>
      </w:pPr>
    </w:p>
    <w:p>
      <w:pPr>
        <w:ind w:right="40" w:firstLine="867"/>
        <w:spacing w:after="0" w:line="251" w:lineRule="auto"/>
        <w:tabs>
          <w:tab w:leader="none" w:pos="1092"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corporation, partnership, limited liability company or other entity</w:t>
      </w:r>
      <w:r>
        <w:rPr>
          <w:rFonts w:ascii="Times New Roman" w:cs="Times New Roman" w:eastAsia="Times New Roman" w:hAnsi="Times New Roman"/>
          <w:sz w:val="16"/>
          <w:szCs w:val="16"/>
          <w:color w:val="auto"/>
        </w:rPr>
        <w:t>,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163"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trust</w:t>
      </w:r>
      <w:r>
        <w:rPr>
          <w:rFonts w:ascii="Times New Roman" w:cs="Times New Roman" w:eastAsia="Times New Roman" w:hAnsi="Times New Roman"/>
          <w:sz w:val="16"/>
          <w:szCs w:val="16"/>
          <w:color w:val="auto"/>
        </w:rPr>
        <w:t>, to any grantors or beneficiaries of the trust;</w:t>
      </w:r>
    </w:p>
    <w:p>
      <w:pPr>
        <w:spacing w:after="0" w:line="194"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case of any transfer or distribution pursuant to this clause (a), such transfer is not for value (other than transfers pursuant to 1(A), 1(E) or 2(A)) and each donee, heir, beneficiary or other transferee or distributee shall sign and deliver to Gem a lock-up agreement in the form of this Lock-Up Agreement with respect to the shares of Gem Common Stock or such other securities that have been so transferred or distributed;</w:t>
      </w:r>
    </w:p>
    <w:p>
      <w:pPr>
        <w:spacing w:after="0" w:line="140" w:lineRule="exact"/>
        <w:rPr>
          <w:sz w:val="20"/>
          <w:szCs w:val="20"/>
          <w:color w:val="auto"/>
        </w:rPr>
      </w:pPr>
    </w:p>
    <w:p>
      <w:pPr>
        <w:ind w:right="60" w:firstLine="385"/>
        <w:spacing w:after="0" w:line="254" w:lineRule="auto"/>
        <w:tabs>
          <w:tab w:leader="none" w:pos="60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exercise of an option to purchase shares of Gem Common Stock (including a net or cashless exercise of an option to purchase shares of Gem Common Stock ), and any related transfer of shares of Gem Common Stock to Gem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pacing w:after="0" w:line="161" w:lineRule="exact"/>
        <w:rPr>
          <w:rFonts w:ascii="Times New Roman" w:cs="Times New Roman" w:eastAsia="Times New Roman" w:hAnsi="Times New Roman"/>
          <w:sz w:val="16"/>
          <w:szCs w:val="16"/>
          <w:color w:val="auto"/>
        </w:rPr>
      </w:pPr>
    </w:p>
    <w:p>
      <w:pPr>
        <w:ind w:right="20" w:firstLine="385"/>
        <w:spacing w:after="0" w:line="261" w:lineRule="auto"/>
        <w:tabs>
          <w:tab w:leader="none" w:pos="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transfers to Gem in connection with the net settlement of any other equity award that represents the right to receive in the future shares of Gem Common Stock, settled in shares of Gem Common Stock, to pay any tax withholding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ectPr>
          <w:pgSz w:w="11900" w:h="16838" w:orient="portrait"/>
          <w:cols w:equalWidth="0" w:num="1">
            <w:col w:w="9640"/>
          </w:cols>
          <w:pgMar w:left="1120" w:top="253" w:right="1139" w:bottom="1440" w:gutter="0" w:footer="0" w:header="0"/>
        </w:sectPr>
      </w:pPr>
    </w:p>
    <w:bookmarkStart w:id="134" w:name="page135"/>
    <w:bookmarkEnd w:id="134"/>
    <w:p>
      <w:pPr>
        <w:ind w:right="520" w:firstLine="385"/>
        <w:spacing w:after="0" w:line="276" w:lineRule="auto"/>
        <w:tabs>
          <w:tab w:leader="none" w:pos="60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the establishment of a trading plan pursuant to Rule 10b5-1 under the Exchange Act for the transfer of shares of Gem Common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plan does not provide for any transfers of shares of Gem Common Stock during the Restricted Period;</w:t>
      </w:r>
    </w:p>
    <w:p>
      <w:pPr>
        <w:spacing w:after="0" w:line="144" w:lineRule="exact"/>
        <w:rPr>
          <w:rFonts w:ascii="Times New Roman" w:cs="Times New Roman" w:eastAsia="Times New Roman" w:hAnsi="Times New Roman"/>
          <w:sz w:val="16"/>
          <w:szCs w:val="16"/>
          <w:color w:val="auto"/>
        </w:rPr>
      </w:pPr>
    </w:p>
    <w:p>
      <w:pPr>
        <w:ind w:right="280" w:firstLine="385"/>
        <w:spacing w:after="0" w:line="276" w:lineRule="auto"/>
        <w:tabs>
          <w:tab w:leader="none" w:pos="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purchased by the undersigned on the open market or in a public offering by Gem, in each case following the date of the Merger Agreement;</w:t>
      </w:r>
    </w:p>
    <w:p>
      <w:pPr>
        <w:spacing w:after="0" w:line="144" w:lineRule="exact"/>
        <w:rPr>
          <w:rFonts w:ascii="Times New Roman" w:cs="Times New Roman" w:eastAsia="Times New Roman" w:hAnsi="Times New Roman"/>
          <w:sz w:val="16"/>
          <w:szCs w:val="16"/>
          <w:color w:val="auto"/>
        </w:rPr>
      </w:pPr>
    </w:p>
    <w:p>
      <w:pPr>
        <w:ind w:firstLine="385"/>
        <w:spacing w:after="0" w:line="261" w:lineRule="auto"/>
        <w:tabs>
          <w:tab w:leader="none" w:pos="583"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a bona-fide third party tender offer, merger, consolidation or other similar transaction made to all holders of Gem’s capital stock involving a change of control of Gem,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156"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order of a court or regulatory agency; or</w:t>
      </w:r>
    </w:p>
    <w:p>
      <w:pPr>
        <w:spacing w:after="0" w:line="194" w:lineRule="exact"/>
        <w:rPr>
          <w:rFonts w:ascii="Times New Roman" w:cs="Times New Roman" w:eastAsia="Times New Roman" w:hAnsi="Times New Roman"/>
          <w:sz w:val="16"/>
          <w:szCs w:val="16"/>
          <w:color w:val="auto"/>
        </w:rPr>
      </w:pPr>
    </w:p>
    <w:p>
      <w:pPr>
        <w:ind w:right="80" w:firstLine="385"/>
        <w:spacing w:after="0" w:line="276" w:lineRule="auto"/>
        <w:tabs>
          <w:tab w:leader="none" w:pos="60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issued pursuant to the Merger Agreement in respect of shares of the Company, if any, purchased from the Company on or about the Closing Date but prior to the Closing.</w:t>
      </w:r>
    </w:p>
    <w:p>
      <w:pPr>
        <w:spacing w:after="0" w:line="14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Gem Common Stock or any securities convertible into or exercisable or exchangeable for Gem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Gem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For purposes of this Lock-Up Agreement, “change of control” shall mean the transfer (whether by tender offer, merger, consolidation or other similar transaction), in one transaction or a series of related transactions, to a person or group of affiliated persons,, of the Company’s voting securities if, after such transfer, the Company’s stockholders as of immediately prior to such transfer do not hold a majority of the outstanding voting securities of the Company (or the surviving entity).</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Gem. In furtherance of the foregoing, the undersigned agrees that Gem and any duly appointed transfer agent for the registration or transfer of the securities described herein are</w:t>
      </w:r>
    </w:p>
    <w:p>
      <w:pPr>
        <w:sectPr>
          <w:pgSz w:w="11900" w:h="16838" w:orient="portrait"/>
          <w:cols w:equalWidth="0" w:num="1">
            <w:col w:w="9600"/>
          </w:cols>
          <w:pgMar w:left="1120" w:top="253" w:right="1179" w:bottom="1440" w:gutter="0" w:footer="0" w:header="0"/>
        </w:sectPr>
      </w:pPr>
    </w:p>
    <w:bookmarkStart w:id="135" w:name="page136"/>
    <w:bookmarkEnd w:id="135"/>
    <w:p>
      <w:pPr>
        <w:ind w:right="1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hereby authorized to decline to make any transfer of securities if such transfer would constitute a violation or breach of this Lock-Up Agreement. Gem may cause the legend set forth below, or a legend substantially equivalent thereto, to be placed upon any certificate(s) or other documents, ledgers or instruments evidencing the undersigned’s ownership of Gem Common Stock:</w:t>
      </w:r>
    </w:p>
    <w:p>
      <w:pPr>
        <w:spacing w:after="0" w:line="62" w:lineRule="exact"/>
        <w:rPr>
          <w:sz w:val="20"/>
          <w:szCs w:val="20"/>
          <w:color w:val="auto"/>
        </w:rPr>
      </w:pPr>
    </w:p>
    <w:p>
      <w:pPr>
        <w:ind w:left="860" w:right="540"/>
        <w:spacing w:after="0" w:line="261" w:lineRule="auto"/>
        <w:rPr>
          <w:sz w:val="20"/>
          <w:szCs w:val="20"/>
          <w:color w:val="auto"/>
        </w:rPr>
      </w:pPr>
      <w:r>
        <w:rPr>
          <w:rFonts w:ascii="Times New Roman" w:cs="Times New Roman" w:eastAsia="Times New Roman" w:hAnsi="Times New Roman"/>
          <w:sz w:val="16"/>
          <w:szCs w:val="16"/>
          <w:color w:val="auto"/>
        </w:rPr>
        <w:t>THE SHARES REPRESENTED BY THIS CERTIFICATE ARE SUBJECT TO AND MAY ONLY BE TRANSFERRED IN COMPLIANCE WITH A LOCK-UP AGREEMENT, A COPY OF WHICH IS ON FILE AT THE PRINCIPAL OFFICE OF THE COMPANY.</w:t>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undersigned understands that if the Merger Agreement is terminated for any reason, the undersigned shall be released from all obligations under this Lock-Up Agreement. The undersigned understands that Gem is proceeding with the transactions contemplated by the Merger Agreement in reliance upon this Lock-Up Agreement.</w:t>
      </w:r>
    </w:p>
    <w:p>
      <w:pPr>
        <w:spacing w:after="0" w:line="15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Any and all remedies herein expressly conferred upon Gem will be deemed cumulative with and not exclusive of any other remedy conferred hereby, or by Law or equity, and the exercise by Gem of any one remedy will not preclude the exercise of any other remedy. The undersigned agrees that irreparable damage would occur to Gem in the event that any provision of this Lock-Up Agreement was not performed in accordance with its specific terms or were otherwise breached. It is accordingly agreed that Gem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Gem is entitled at Law or in equity, and the undersigned waives any bond, surety or other security that might be required of Gem with respect thereto.</w:t>
      </w:r>
    </w:p>
    <w:p>
      <w:pPr>
        <w:spacing w:after="0" w:line="16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In the event that any holder of Gem’s securities that are subject to a substantially similar agreement entered into by such holder, other than the undersigned, is permitted by Gem to sell or otherwise transfer or dispose of shares of Gem Common Stock for value other than as permitted by this or a substantially similar agreement entered into by such holder (whether in one or multiple releases or waivers), the same percentage of shares of Gem Common Stock held by the undersigned on the date of such release or waiver as the percentage of the total number of outstanding shares of Gem Common Stock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6"/>
          <w:szCs w:val="16"/>
          <w:u w:val="single" w:color="auto"/>
          <w:color w:val="auto"/>
        </w:rPr>
        <w:t>Pro-Rata Release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Pro-Rata Release shall not be applied unless and until permission has been granted by Gem to an equity holder or equity holders to sell or otherwise transfer or dispose of all or a portion of such equity holders shares of Gem Common Stock in an aggregate amount in excess of 1% of the number of shares of Gem Common Stock subject to a substantially similar agreement.</w:t>
      </w:r>
    </w:p>
    <w:p>
      <w:pPr>
        <w:sectPr>
          <w:pgSz w:w="11900" w:h="16838" w:orient="portrait"/>
          <w:cols w:equalWidth="0" w:num="1">
            <w:col w:w="9640"/>
          </w:cols>
          <w:pgMar w:left="1120" w:top="253" w:right="1139" w:bottom="1440" w:gutter="0" w:footer="0" w:header="0"/>
        </w:sectPr>
      </w:pPr>
    </w:p>
    <w:bookmarkStart w:id="136" w:name="page137"/>
    <w:bookmarkEnd w:id="136"/>
    <w:p>
      <w:pPr>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Upon the release of any of the Undersigned’s Shares from this Lock-Up Agreement, Gem will promptly cooperate with the undersigned to facilitate the timely preparation and delivery of certificates representing the Undersigned Shares without the restrictive legend above or the withdrawal of any stop transfer instructions by virtue of this Lock-Up Agreement.</w:t>
      </w:r>
    </w:p>
    <w:p>
      <w:pPr>
        <w:spacing w:after="0" w:line="1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Gem and the undersigned by facsimile or electronic transmission in .pdf format shall be sufficient to bind such parties to the terms and conditions of this Lock-Up Agreement.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580"/>
          </w:cols>
          <w:pgMar w:left="1120" w:top="253" w:right="1199" w:bottom="1440" w:gutter="0" w:footer="0" w:header="0"/>
        </w:sectPr>
      </w:pPr>
    </w:p>
    <w:bookmarkStart w:id="137" w:name="page138"/>
    <w:bookmarkEnd w:id="137"/>
    <w:p>
      <w:pPr>
        <w:ind w:left="6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Very truly yours,</w:t>
      </w:r>
    </w:p>
    <w:p>
      <w:pPr>
        <w:spacing w:after="0" w:line="1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6"/>
          <w:szCs w:val="16"/>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Signature (for entities):</w:t>
      </w:r>
    </w:p>
    <w:p>
      <w:pPr>
        <w:spacing w:after="0" w:line="19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13970</wp:posOffset>
            </wp:positionV>
            <wp:extent cx="154686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6860" cy="7620"/>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Lock-Up Agreement]</w:t>
      </w:r>
    </w:p>
    <w:p>
      <w:pPr>
        <w:sectPr>
          <w:pgSz w:w="11900" w:h="16838" w:orient="portrait"/>
          <w:cols w:equalWidth="0" w:num="1">
            <w:col w:w="9019"/>
          </w:cols>
          <w:pgMar w:left="1440" w:top="253"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Accepted and Agreed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[Gem]: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13970</wp:posOffset>
            </wp:positionV>
            <wp:extent cx="224536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i w:val="1"/>
          <w:iCs w:val="1"/>
          <w:color w:val="auto"/>
        </w:rPr>
        <w:t>[Signature Page to Lock-Up Agreement]</w:t>
      </w:r>
    </w:p>
    <w:p>
      <w:pPr>
        <w:sectPr>
          <w:pgSz w:w="11900" w:h="16838" w:orient="portrait"/>
          <w:cols w:equalWidth="0" w:num="1">
            <w:col w:w="9339"/>
          </w:cols>
          <w:pgMar w:left="1120" w:top="253"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SUBSCRIPTION AGREEMENT</w:t>
      </w:r>
    </w:p>
    <w:p>
      <w:pPr>
        <w:spacing w:after="0" w:line="98" w:lineRule="exact"/>
        <w:rPr>
          <w:sz w:val="20"/>
          <w:szCs w:val="20"/>
          <w:color w:val="auto"/>
        </w:rPr>
      </w:pPr>
    </w:p>
    <w:p>
      <w:pPr>
        <w:ind w:right="40" w:firstLine="386"/>
        <w:spacing w:after="0" w:line="258"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made and entered into as of August [•], 2022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by and among Disc Medicine,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each of the purchasers listed on the signature pages hereto, severally and not jointly (each a “</w:t>
      </w:r>
      <w:r>
        <w:rPr>
          <w:rFonts w:ascii="Times New Roman" w:cs="Times New Roman" w:eastAsia="Times New Roman" w:hAnsi="Times New Roman"/>
          <w:sz w:val="16"/>
          <w:szCs w:val="16"/>
          <w:b w:val="1"/>
          <w:bCs w:val="1"/>
          <w:i w:val="1"/>
          <w:iCs w:val="1"/>
          <w:color w:val="auto"/>
        </w:rPr>
        <w:t>Purchaser</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b w:val="1"/>
          <w:bCs w:val="1"/>
          <w:i w:val="1"/>
          <w:iCs w:val="1"/>
          <w:color w:val="auto"/>
        </w:rPr>
        <w:t>Purchasers</w:t>
      </w:r>
      <w:r>
        <w:rPr>
          <w:rFonts w:ascii="Times New Roman" w:cs="Times New Roman" w:eastAsia="Times New Roman" w:hAnsi="Times New Roman"/>
          <w:sz w:val="16"/>
          <w:szCs w:val="16"/>
          <w:color w:val="auto"/>
        </w:rPr>
        <w:t xml:space="preserve">”). Certain terms used and not otherwise defined in the text of this Agreement are defined in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WHEREAS, the Company is party to that certain Agreement and Plan of Merger by and among the Company, Gemstone Merger Sub, Inc.</w:t>
      </w:r>
    </w:p>
    <w:p>
      <w:pPr>
        <w:spacing w:after="0" w:line="2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and [GEMSTONE], Inc. (“</w:t>
      </w:r>
      <w:r>
        <w:rPr>
          <w:rFonts w:ascii="Times New Roman" w:cs="Times New Roman" w:eastAsia="Times New Roman" w:hAnsi="Times New Roman"/>
          <w:sz w:val="16"/>
          <w:szCs w:val="16"/>
          <w:b w:val="1"/>
          <w:bCs w:val="1"/>
          <w:i w:val="1"/>
          <w:iCs w:val="1"/>
          <w:color w:val="auto"/>
        </w:rPr>
        <w:t>Gem</w:t>
      </w:r>
      <w:r>
        <w:rPr>
          <w:rFonts w:ascii="Times New Roman" w:cs="Times New Roman" w:eastAsia="Times New Roman" w:hAnsi="Times New Roman"/>
          <w:sz w:val="16"/>
          <w:szCs w:val="16"/>
          <w:color w:val="auto"/>
        </w:rPr>
        <w:t>”), dated on or about the date hereof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pursuant to which the Company will merge with and into Merger Sub and become a wholly-owned subsidiary of Gem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right="260" w:firstLine="386"/>
        <w:spacing w:after="0" w:line="286" w:lineRule="auto"/>
        <w:rPr>
          <w:sz w:val="20"/>
          <w:szCs w:val="20"/>
          <w:color w:val="auto"/>
        </w:rPr>
      </w:pPr>
      <w:r>
        <w:rPr>
          <w:rFonts w:ascii="Times New Roman" w:cs="Times New Roman" w:eastAsia="Times New Roman" w:hAnsi="Times New Roman"/>
          <w:sz w:val="15"/>
          <w:szCs w:val="15"/>
          <w:color w:val="auto"/>
        </w:rPr>
        <w:t>WHEREAS, the Company desires to sell to the Purchasers, and the Purchasers desire to purchase from the Company, $53,500,000 in the aggregate of shares of the Company’s Common Stock, par value $0.0001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at a per share purchase price equal to the Purchase Price, in accordance with the terms and provisions of this Agreement, immediately prior to, but subject to, the closing of the Merger; and</w:t>
      </w:r>
    </w:p>
    <w:p>
      <w:pPr>
        <w:spacing w:after="0" w:line="140" w:lineRule="exact"/>
        <w:rPr>
          <w:sz w:val="20"/>
          <w:szCs w:val="20"/>
          <w:color w:val="auto"/>
        </w:rPr>
      </w:pPr>
    </w:p>
    <w:p>
      <w:pPr>
        <w:ind w:right="420" w:firstLine="386"/>
        <w:spacing w:after="0" w:line="261" w:lineRule="auto"/>
        <w:rPr>
          <w:sz w:val="20"/>
          <w:szCs w:val="20"/>
          <w:color w:val="auto"/>
        </w:rPr>
      </w:pPr>
      <w:r>
        <w:rPr>
          <w:rFonts w:ascii="Times New Roman" w:cs="Times New Roman" w:eastAsia="Times New Roman" w:hAnsi="Times New Roman"/>
          <w:sz w:val="16"/>
          <w:szCs w:val="16"/>
          <w:color w:val="auto"/>
        </w:rPr>
        <w:t>WHEREAS, the Company and the Purchasers are executing and delivering this Agreement in reliance upon the exemption from securities registration afforded by Section 4(a)(2) of the 1933 Act, and Rule 506 of Regulation D promulgated by the United States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under the 1933 Act;</w:t>
      </w:r>
    </w:p>
    <w:p>
      <w:pPr>
        <w:spacing w:after="0" w:line="157" w:lineRule="exact"/>
        <w:rPr>
          <w:sz w:val="20"/>
          <w:szCs w:val="20"/>
          <w:color w:val="auto"/>
        </w:rPr>
      </w:pPr>
    </w:p>
    <w:p>
      <w:pPr>
        <w:ind w:right="300" w:firstLine="386"/>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herein contained, the parties hereto hereby agree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Authorization of Securities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60" w:firstLine="869"/>
        <w:spacing w:after="0" w:line="276" w:lineRule="auto"/>
        <w:rPr>
          <w:sz w:val="20"/>
          <w:szCs w:val="20"/>
          <w:color w:val="auto"/>
        </w:rPr>
      </w:pPr>
      <w:r>
        <w:rPr>
          <w:rFonts w:ascii="Times New Roman" w:cs="Times New Roman" w:eastAsia="Times New Roman" w:hAnsi="Times New Roman"/>
          <w:sz w:val="16"/>
          <w:szCs w:val="16"/>
          <w:color w:val="auto"/>
        </w:rPr>
        <w:t>1.01 The Company has authorized the sale and issuance of shares of Common Stock on the terms and subject to the conditions set forth in this Agreement. The shares of Common Stock sold hereunder at the Closing (as defined below) shall be referred to as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Sale and Purchase of the Securities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60" w:firstLine="869"/>
        <w:spacing w:after="0" w:line="254" w:lineRule="auto"/>
        <w:rPr>
          <w:sz w:val="20"/>
          <w:szCs w:val="20"/>
          <w:color w:val="auto"/>
        </w:rPr>
      </w:pPr>
      <w:r>
        <w:rPr>
          <w:rFonts w:ascii="Times New Roman" w:cs="Times New Roman" w:eastAsia="Times New Roman" w:hAnsi="Times New Roman"/>
          <w:sz w:val="16"/>
          <w:szCs w:val="16"/>
          <w:color w:val="auto"/>
        </w:rPr>
        <w:t>2.01 Upon the terms and subject to the conditions herein contained, the Company agrees to sell to each Purchaser, and each Purchaser agrees, severally and not jointly, to purchase from the Company, at a closing to take place remotely via exchange of executed documents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and the date of the Closing,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 to occur immediately prior to the Effective Time (as such term is defined in the Merger Agreement), that number of Securities (the “</w:t>
      </w:r>
      <w:r>
        <w:rPr>
          <w:rFonts w:ascii="Times New Roman" w:cs="Times New Roman" w:eastAsia="Times New Roman" w:hAnsi="Times New Roman"/>
          <w:sz w:val="16"/>
          <w:szCs w:val="16"/>
          <w:b w:val="1"/>
          <w:bCs w:val="1"/>
          <w:i w:val="1"/>
          <w:iCs w:val="1"/>
          <w:color w:val="auto"/>
        </w:rPr>
        <w:t>Closing Shares</w:t>
      </w:r>
      <w:r>
        <w:rPr>
          <w:rFonts w:ascii="Times New Roman" w:cs="Times New Roman" w:eastAsia="Times New Roman" w:hAnsi="Times New Roman"/>
          <w:sz w:val="16"/>
          <w:szCs w:val="16"/>
          <w:color w:val="auto"/>
        </w:rPr>
        <w:t>”) set forth opposite such Purchaser’s name on the Schedule of Purchasers for the aggregate Purchase Price set forth under the heading “Subscription Amount.”</w:t>
      </w:r>
    </w:p>
    <w:p>
      <w:pPr>
        <w:spacing w:after="0" w:line="162" w:lineRule="exact"/>
        <w:rPr>
          <w:sz w:val="20"/>
          <w:szCs w:val="20"/>
          <w:color w:val="auto"/>
        </w:rPr>
      </w:pPr>
    </w:p>
    <w:p>
      <w:pPr>
        <w:ind w:firstLine="869"/>
        <w:spacing w:after="0" w:line="269" w:lineRule="auto"/>
        <w:rPr>
          <w:sz w:val="20"/>
          <w:szCs w:val="20"/>
          <w:color w:val="auto"/>
        </w:rPr>
      </w:pPr>
      <w:r>
        <w:rPr>
          <w:rFonts w:ascii="Times New Roman" w:cs="Times New Roman" w:eastAsia="Times New Roman" w:hAnsi="Times New Roman"/>
          <w:sz w:val="15"/>
          <w:szCs w:val="15"/>
          <w:color w:val="auto"/>
        </w:rPr>
        <w:t>2.02 At or prior to the Closing, each Purchaser will pay the Subscription Amount set forth opposite such Purchaser’s name on the Schedule of Purchasers by wire transfer of immediately available funds in accordance with wire instructions provided by the Company to the Purchasers at least two Business Days prior to the Closing (the “Wire Instructions Notice”). If so requested by the Company in the Wire Instructions Notice, the Subscription Amount of each Purchaser shall be paid into an escrow fund or trust account designated by the Company in writing (the “Escrow Account”) to be released to the Company only upon satisfaction of each of the closing conditions set forth in Section 6 below. In the event the Closing does not occur within three business days of the Closing Date specified in the Wire Instructions Notice, unless otherwise agreed by the Company and such Purchaser, the Company shall, or shall cause the escrow agent for the Escrow Account to, promptly (but not later than two business days thereafter) return the aggregate Purchase Price to each Purchaser by wire transfer of U.S. dollars in immediately available funds to the account specified by such Purchaser. On the Closing Date, the Company will issue, against payment of the aggregate Purchase Price, the Closing Shares.</w:t>
      </w:r>
    </w:p>
    <w:p>
      <w:pPr>
        <w:sectPr>
          <w:pgSz w:w="11900" w:h="16838" w:orient="portrait"/>
          <w:cols w:equalWidth="0" w:num="1">
            <w:col w:w="9640"/>
          </w:cols>
          <w:pgMar w:left="1120" w:top="251" w:right="1139" w:bottom="1440" w:gutter="0" w:footer="0" w:header="0"/>
        </w:sectPr>
      </w:pPr>
    </w:p>
    <w:bookmarkStart w:id="140" w:name="page141"/>
    <w:bookmarkEnd w:id="140"/>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3. </w:t>
      </w:r>
      <w:r>
        <w:rPr>
          <w:rFonts w:ascii="Times New Roman" w:cs="Times New Roman" w:eastAsia="Times New Roman" w:hAnsi="Times New Roman"/>
          <w:sz w:val="15"/>
          <w:szCs w:val="15"/>
          <w:u w:val="single" w:color="auto"/>
          <w:color w:val="auto"/>
        </w:rPr>
        <w:t>Representations and Warranties of the Purchasers</w:t>
      </w:r>
      <w:r>
        <w:rPr>
          <w:rFonts w:ascii="Times New Roman" w:cs="Times New Roman" w:eastAsia="Times New Roman" w:hAnsi="Times New Roman"/>
          <w:sz w:val="15"/>
          <w:szCs w:val="15"/>
          <w:color w:val="auto"/>
        </w:rPr>
        <w:t>. Each Purchaser, severally and not jointly, represents and warrants to the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w:t>
      </w:r>
    </w:p>
    <w:p>
      <w:pPr>
        <w:spacing w:after="0" w:line="177" w:lineRule="exact"/>
        <w:rPr>
          <w:sz w:val="20"/>
          <w:szCs w:val="20"/>
          <w:color w:val="auto"/>
        </w:rPr>
      </w:pPr>
    </w:p>
    <w:p>
      <w:pPr>
        <w:ind w:right="80" w:firstLine="869"/>
        <w:spacing w:after="0" w:line="251" w:lineRule="auto"/>
        <w:rPr>
          <w:sz w:val="20"/>
          <w:szCs w:val="20"/>
          <w:color w:val="auto"/>
        </w:rPr>
      </w:pPr>
      <w:r>
        <w:rPr>
          <w:rFonts w:ascii="Times New Roman" w:cs="Times New Roman" w:eastAsia="Times New Roman" w:hAnsi="Times New Roman"/>
          <w:sz w:val="16"/>
          <w:szCs w:val="16"/>
          <w:color w:val="auto"/>
        </w:rPr>
        <w:t xml:space="preserve">3.01 </w:t>
      </w:r>
      <w:r>
        <w:rPr>
          <w:rFonts w:ascii="Times New Roman" w:cs="Times New Roman" w:eastAsia="Times New Roman" w:hAnsi="Times New Roman"/>
          <w:sz w:val="16"/>
          <w:szCs w:val="16"/>
          <w:u w:val="single" w:color="auto"/>
          <w:color w:val="auto"/>
        </w:rPr>
        <w:t>Validity</w:t>
      </w:r>
      <w:r>
        <w:rPr>
          <w:rFonts w:ascii="Times New Roman" w:cs="Times New Roman" w:eastAsia="Times New Roman" w:hAnsi="Times New Roman"/>
          <w:sz w:val="16"/>
          <w:szCs w:val="16"/>
          <w:color w:val="auto"/>
        </w:rPr>
        <w:t>. The execution, delivery and performance of this Agreement and the consummation by the Purchaser of the transactions contemplated hereby have been duly authorized by all necessary corporate, partnership, limited liability or similar actions, as applicable, on the part of such Purchaser. This Agreement has been duly executed and delivered by the Purchaser and, assuming that this Agreement constitutes the valid and binding obligation of the Company, constitutes a valid and binding obligation of the Purchaser,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67" w:lineRule="exact"/>
        <w:rPr>
          <w:sz w:val="20"/>
          <w:szCs w:val="20"/>
          <w:color w:val="auto"/>
        </w:rPr>
      </w:pPr>
    </w:p>
    <w:p>
      <w:pPr>
        <w:jc w:val="both"/>
        <w:ind w:right="80" w:firstLine="869"/>
        <w:spacing w:after="0" w:line="261" w:lineRule="auto"/>
        <w:rPr>
          <w:sz w:val="20"/>
          <w:szCs w:val="20"/>
          <w:color w:val="auto"/>
        </w:rPr>
      </w:pPr>
      <w:r>
        <w:rPr>
          <w:rFonts w:ascii="Times New Roman" w:cs="Times New Roman" w:eastAsia="Times New Roman" w:hAnsi="Times New Roman"/>
          <w:sz w:val="16"/>
          <w:szCs w:val="16"/>
          <w:color w:val="auto"/>
        </w:rPr>
        <w:t xml:space="preserve">3.02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There is no broker, investment banker, financial advisor, finder or other person which has been retained by or is authorized to act on behalf of the Purchaser who is entitled to any fee or commission for which the Company will be liable in connection with the execution of this Agreement and the consummation of the transactions contemplated hereby.</w:t>
      </w:r>
    </w:p>
    <w:p>
      <w:pPr>
        <w:spacing w:after="0" w:line="157"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3.03 </w:t>
      </w:r>
      <w:r>
        <w:rPr>
          <w:rFonts w:ascii="Times New Roman" w:cs="Times New Roman" w:eastAsia="Times New Roman" w:hAnsi="Times New Roman"/>
          <w:sz w:val="16"/>
          <w:szCs w:val="16"/>
          <w:u w:val="single" w:color="auto"/>
          <w:color w:val="auto"/>
        </w:rPr>
        <w:t>Investment Representations and Warranties</w:t>
      </w:r>
      <w:r>
        <w:rPr>
          <w:rFonts w:ascii="Times New Roman" w:cs="Times New Roman" w:eastAsia="Times New Roman" w:hAnsi="Times New Roman"/>
          <w:sz w:val="16"/>
          <w:szCs w:val="16"/>
          <w:color w:val="auto"/>
        </w:rPr>
        <w:t>. The Purchaser understands and agrees that the offering and sale of the Securities has not been registered under the 1933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w:t>
      </w:r>
    </w:p>
    <w:p>
      <w:pPr>
        <w:spacing w:after="0" w:line="161" w:lineRule="exact"/>
        <w:rPr>
          <w:sz w:val="20"/>
          <w:szCs w:val="20"/>
          <w:color w:val="auto"/>
        </w:rPr>
      </w:pPr>
    </w:p>
    <w:p>
      <w:pPr>
        <w:ind w:right="4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3.04 </w:t>
      </w:r>
      <w:r>
        <w:rPr>
          <w:rFonts w:ascii="Times New Roman" w:cs="Times New Roman" w:eastAsia="Times New Roman" w:hAnsi="Times New Roman"/>
          <w:sz w:val="16"/>
          <w:szCs w:val="16"/>
          <w:u w:val="single" w:color="auto"/>
          <w:color w:val="auto"/>
        </w:rPr>
        <w:t>Acquisition for Own Account</w:t>
      </w:r>
      <w:r>
        <w:rPr>
          <w:rFonts w:ascii="Times New Roman" w:cs="Times New Roman" w:eastAsia="Times New Roman" w:hAnsi="Times New Roman"/>
          <w:sz w:val="16"/>
          <w:szCs w:val="16"/>
          <w:color w:val="auto"/>
        </w:rPr>
        <w:t>. The Purchaser is acquiring the Securities for its own account for investment and not with a view towards distribution in a manner which would violate the 1933 Act or any applicable state or other securities laws.</w:t>
      </w:r>
    </w:p>
    <w:p>
      <w:pPr>
        <w:spacing w:after="0" w:line="145" w:lineRule="exact"/>
        <w:rPr>
          <w:sz w:val="20"/>
          <w:szCs w:val="20"/>
          <w:color w:val="auto"/>
        </w:rPr>
      </w:pPr>
    </w:p>
    <w:p>
      <w:pPr>
        <w:ind w:right="3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3.05 </w:t>
      </w: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The Purchaser is not purchasing the Securities as a result of any advertisement, article, notice or other communication regarding the Securities published in any newspaper, magazine or similar media or broadcast over television, radio or the internet or presented at any seminar or any other general solicitation or general advertisement. The purchase of the Securities by the Purchaser has not been solicited by or through anyone other than the Company.</w:t>
      </w:r>
    </w:p>
    <w:p>
      <w:pPr>
        <w:spacing w:after="0" w:line="161" w:lineRule="exact"/>
        <w:rPr>
          <w:sz w:val="20"/>
          <w:szCs w:val="20"/>
          <w:color w:val="auto"/>
        </w:rPr>
      </w:pPr>
    </w:p>
    <w:p>
      <w:pPr>
        <w:ind w:right="2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3.06 </w:t>
      </w:r>
      <w:r>
        <w:rPr>
          <w:rFonts w:ascii="Times New Roman" w:cs="Times New Roman" w:eastAsia="Times New Roman" w:hAnsi="Times New Roman"/>
          <w:sz w:val="16"/>
          <w:szCs w:val="16"/>
          <w:u w:val="single" w:color="auto"/>
          <w:color w:val="auto"/>
        </w:rPr>
        <w:t>Ability to Protect Its Own Interests and Bear Economic Risks</w:t>
      </w:r>
      <w:r>
        <w:rPr>
          <w:rFonts w:ascii="Times New Roman" w:cs="Times New Roman" w:eastAsia="Times New Roman" w:hAnsi="Times New Roman"/>
          <w:sz w:val="16"/>
          <w:szCs w:val="16"/>
          <w:color w:val="auto"/>
        </w:rPr>
        <w:t>. The Purchaser has the capacity to protect its own interests in connection with the transactions contemplated by this Agreement and is capable of evaluating the merits and risks of the investment in the Securities. The Purchaser is able to bear the economic risk of an investment in the Securities and is able to sustain a loss of all of its investment in the Securities without economic hardship, if such a loss should occur.</w:t>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3.07 </w:t>
      </w:r>
      <w:r>
        <w:rPr>
          <w:rFonts w:ascii="Times New Roman" w:cs="Times New Roman" w:eastAsia="Times New Roman" w:hAnsi="Times New Roman"/>
          <w:sz w:val="16"/>
          <w:szCs w:val="16"/>
          <w:u w:val="single" w:color="auto"/>
          <w:color w:val="auto"/>
        </w:rPr>
        <w:t>Accredited Investor</w:t>
      </w:r>
      <w:r>
        <w:rPr>
          <w:rFonts w:ascii="Times New Roman" w:cs="Times New Roman" w:eastAsia="Times New Roman" w:hAnsi="Times New Roman"/>
          <w:sz w:val="16"/>
          <w:szCs w:val="16"/>
          <w:color w:val="auto"/>
        </w:rPr>
        <w:t>. The Purchaser is an “accredited investor” as that term is defined in Rule 501(a) under the 1933 Act.</w:t>
      </w:r>
    </w:p>
    <w:p>
      <w:pPr>
        <w:spacing w:after="0" w:line="194"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 xml:space="preserve">3.08 </w:t>
      </w:r>
      <w:r>
        <w:rPr>
          <w:rFonts w:ascii="Times New Roman" w:cs="Times New Roman" w:eastAsia="Times New Roman" w:hAnsi="Times New Roman"/>
          <w:sz w:val="16"/>
          <w:szCs w:val="16"/>
          <w:u w:val="single" w:color="auto"/>
          <w:color w:val="auto"/>
        </w:rPr>
        <w:t>Restricted Securities</w:t>
      </w:r>
      <w:r>
        <w:rPr>
          <w:rFonts w:ascii="Times New Roman" w:cs="Times New Roman" w:eastAsia="Times New Roman" w:hAnsi="Times New Roman"/>
          <w:sz w:val="16"/>
          <w:szCs w:val="16"/>
          <w:color w:val="auto"/>
        </w:rPr>
        <w:t>. The Purchaser understands that the Securities will be characterized as “restricted securities” under the federal securities laws inasmuch as they are being acquired from the Company in a private placement under Section 4(a)(2) of the 1933 Act and that, under such laws and applicable regulations, such Securities may be resold without registration under the 1933 Act only in certain limited circumstances.</w:t>
      </w:r>
    </w:p>
    <w:p>
      <w:pPr>
        <w:spacing w:after="0" w:line="157" w:lineRule="exact"/>
        <w:rPr>
          <w:sz w:val="20"/>
          <w:szCs w:val="20"/>
          <w:color w:val="auto"/>
        </w:rPr>
      </w:pPr>
    </w:p>
    <w:p>
      <w:pPr>
        <w:ind w:right="20" w:firstLine="869"/>
        <w:spacing w:after="0" w:line="275" w:lineRule="auto"/>
        <w:rPr>
          <w:sz w:val="20"/>
          <w:szCs w:val="20"/>
          <w:color w:val="auto"/>
        </w:rPr>
      </w:pPr>
      <w:r>
        <w:rPr>
          <w:rFonts w:ascii="Times New Roman" w:cs="Times New Roman" w:eastAsia="Times New Roman" w:hAnsi="Times New Roman"/>
          <w:sz w:val="15"/>
          <w:szCs w:val="15"/>
          <w:color w:val="auto"/>
        </w:rPr>
        <w:t xml:space="preserve">3.09 </w:t>
      </w:r>
      <w:r>
        <w:rPr>
          <w:rFonts w:ascii="Times New Roman" w:cs="Times New Roman" w:eastAsia="Times New Roman" w:hAnsi="Times New Roman"/>
          <w:sz w:val="15"/>
          <w:szCs w:val="15"/>
          <w:u w:val="single" w:color="auto"/>
          <w:color w:val="auto"/>
        </w:rPr>
        <w:t>Tax Advisors</w:t>
      </w:r>
      <w:r>
        <w:rPr>
          <w:rFonts w:ascii="Times New Roman" w:cs="Times New Roman" w:eastAsia="Times New Roman" w:hAnsi="Times New Roman"/>
          <w:sz w:val="15"/>
          <w:szCs w:val="15"/>
          <w:color w:val="auto"/>
        </w:rPr>
        <w:t>. The Purchaser has had the opportunity to review with the Purchaser’s own tax advisors the federal, state and local tax consequences of its purchase of the Securities set forth opposite such Purchaser’s name on the Schedule of Purchasers, where applicable, and the transactions contemplated by this Agreement. The Purchaser is relying solely on the Purchaser’s own determination as to tax consequences or the advice of such tax advisors and not on any statements or representations of the Company or any of its agents and understands that the Purchaser (and not the Company) shall be responsible for the Purchaser’s own tax liability that may arise as a result of the transactions contemplated by this Agreement.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40"/>
          </w:cols>
          <w:pgMar w:left="1120" w:top="253" w:right="1139" w:bottom="1440" w:gutter="0" w:footer="0" w:header="0"/>
        </w:sectPr>
      </w:pPr>
    </w:p>
    <w:bookmarkStart w:id="141" w:name="page142"/>
    <w:bookmarkEnd w:id="141"/>
    <w:p>
      <w:pPr>
        <w:ind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3.10 </w:t>
      </w:r>
      <w:r>
        <w:rPr>
          <w:rFonts w:ascii="Times New Roman" w:cs="Times New Roman" w:eastAsia="Times New Roman" w:hAnsi="Times New Roman"/>
          <w:sz w:val="16"/>
          <w:szCs w:val="16"/>
          <w:u w:val="single" w:color="auto"/>
          <w:color w:val="auto"/>
        </w:rPr>
        <w:t>Residency</w:t>
      </w:r>
      <w:r>
        <w:rPr>
          <w:rFonts w:ascii="Times New Roman" w:cs="Times New Roman" w:eastAsia="Times New Roman" w:hAnsi="Times New Roman"/>
          <w:sz w:val="16"/>
          <w:szCs w:val="16"/>
          <w:color w:val="auto"/>
        </w:rPr>
        <w:t>. Such Purchaser’s residence (if an individual) or offices in which its investment decision with respect to the Securities was made (if an entity) are located at the address immediately below such Purchaser’s name on the Schedule of Purchasers.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Representations and Warranties by the Company</w:t>
      </w:r>
      <w:r>
        <w:rPr>
          <w:rFonts w:ascii="Times New Roman" w:cs="Times New Roman" w:eastAsia="Times New Roman" w:hAnsi="Times New Roman"/>
          <w:sz w:val="16"/>
          <w:szCs w:val="16"/>
          <w:color w:val="auto"/>
        </w:rPr>
        <w:t>. The Company represents and warrants to the Purchasers that:</w:t>
      </w:r>
    </w:p>
    <w:p>
      <w:pPr>
        <w:spacing w:after="0" w:line="194" w:lineRule="exact"/>
        <w:rPr>
          <w:sz w:val="20"/>
          <w:szCs w:val="20"/>
          <w:color w:val="auto"/>
        </w:rPr>
      </w:pPr>
    </w:p>
    <w:p>
      <w:pPr>
        <w:ind w:right="2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4.01 </w:t>
      </w:r>
      <w:r>
        <w:rPr>
          <w:rFonts w:ascii="Times New Roman" w:cs="Times New Roman" w:eastAsia="Times New Roman" w:hAnsi="Times New Roman"/>
          <w:sz w:val="16"/>
          <w:szCs w:val="16"/>
          <w:u w:val="single" w:color="auto"/>
          <w:color w:val="auto"/>
        </w:rPr>
        <w:t>No Material Adverse Change in Business</w:t>
      </w:r>
      <w:r>
        <w:rPr>
          <w:rFonts w:ascii="Times New Roman" w:cs="Times New Roman" w:eastAsia="Times New Roman" w:hAnsi="Times New Roman"/>
          <w:sz w:val="16"/>
          <w:szCs w:val="16"/>
          <w:color w:val="auto"/>
        </w:rPr>
        <w:t>. Since December 31, 2021, (i) there has been no effect, change, condition, event, circumstance, occurrence, result, state of facts or development that has or would reasonably be expected to have a materially adverse effect on the business, financial condition, assets, operations, results of operations or financial performance of the Company and its subsidiaries, taken as a whole (a “</w:t>
      </w:r>
      <w:r>
        <w:rPr>
          <w:rFonts w:ascii="Times New Roman" w:cs="Times New Roman" w:eastAsia="Times New Roman" w:hAnsi="Times New Roman"/>
          <w:sz w:val="16"/>
          <w:szCs w:val="16"/>
          <w:b w:val="1"/>
          <w:bCs w:val="1"/>
          <w:i w:val="1"/>
          <w:iCs w:val="1"/>
          <w:color w:val="auto"/>
        </w:rPr>
        <w:t>Material Adverse Effect</w:t>
      </w:r>
      <w:r>
        <w:rPr>
          <w:rFonts w:ascii="Times New Roman" w:cs="Times New Roman" w:eastAsia="Times New Roman" w:hAnsi="Times New Roman"/>
          <w:sz w:val="16"/>
          <w:szCs w:val="16"/>
          <w:color w:val="auto"/>
        </w:rPr>
        <w:t>”), (ii) there have been no transactions entered into by the Company or any of its subsidiaries, other than those in the ordinary course of business and except as contemplated in this Agreement and the Merger Agreement, which are material with respect to the Company and its subsidiaries considered as one enterprise, and (iii) there has been no dividend or distribution of any kind declared, paid or made by the Company on any class of its capital stock.</w:t>
      </w:r>
    </w:p>
    <w:p>
      <w:pPr>
        <w:spacing w:after="0" w:line="167" w:lineRule="exact"/>
        <w:rPr>
          <w:sz w:val="20"/>
          <w:szCs w:val="20"/>
          <w:color w:val="auto"/>
        </w:rPr>
      </w:pPr>
    </w:p>
    <w:p>
      <w:pPr>
        <w:ind w:right="2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4.02 </w:t>
      </w:r>
      <w:r>
        <w:rPr>
          <w:rFonts w:ascii="Times New Roman" w:cs="Times New Roman" w:eastAsia="Times New Roman" w:hAnsi="Times New Roman"/>
          <w:sz w:val="16"/>
          <w:szCs w:val="16"/>
          <w:u w:val="single" w:color="auto"/>
          <w:color w:val="auto"/>
        </w:rPr>
        <w:t>Organization and Good Standing of the Company</w:t>
      </w:r>
      <w:r>
        <w:rPr>
          <w:rFonts w:ascii="Times New Roman" w:cs="Times New Roman" w:eastAsia="Times New Roman" w:hAnsi="Times New Roman"/>
          <w:sz w:val="16"/>
          <w:szCs w:val="16"/>
          <w:color w:val="auto"/>
        </w:rPr>
        <w:t>. The Company has been duly incorporated and is validly existing as a corporation in good standing under the laws of the State of Delaware and has corporate power and authority to own, lease and operate its properties and to conduct its business as currently conducted and to enter into and perform its obligations under this Agreement and the Merger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65"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4.03 </w:t>
      </w:r>
      <w:r>
        <w:rPr>
          <w:rFonts w:ascii="Times New Roman" w:cs="Times New Roman" w:eastAsia="Times New Roman" w:hAnsi="Times New Roman"/>
          <w:sz w:val="16"/>
          <w:szCs w:val="16"/>
          <w:u w:val="single" w:color="auto"/>
          <w:color w:val="auto"/>
        </w:rPr>
        <w:t>Organization and Good Standing of Subsidiaries</w:t>
      </w:r>
      <w:r>
        <w:rPr>
          <w:rFonts w:ascii="Times New Roman" w:cs="Times New Roman" w:eastAsia="Times New Roman" w:hAnsi="Times New Roman"/>
          <w:sz w:val="16"/>
          <w:szCs w:val="16"/>
          <w:color w:val="auto"/>
        </w:rPr>
        <w:t>. Each subsidiary of the Company has been duly incorporated or organized and is validly existing in good standing under the laws of the jurisdiction of its incorporation or organization, has corporate or similar power and authority to own, lease and operate its properties and to conduct its business as currently conducted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162" w:lineRule="exact"/>
        <w:rPr>
          <w:sz w:val="20"/>
          <w:szCs w:val="20"/>
          <w:color w:val="auto"/>
        </w:rPr>
      </w:pPr>
    </w:p>
    <w:p>
      <w:pPr>
        <w:ind w:right="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4.04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Company hereby represents and warrants to the Purchasers the information included in Section 3.6 of the Merger Agreement, which is hereby incorporated by reference in all respects, is true and correct in all respects.</w:t>
      </w:r>
    </w:p>
    <w:p>
      <w:pPr>
        <w:spacing w:after="0" w:line="145" w:lineRule="exact"/>
        <w:rPr>
          <w:sz w:val="20"/>
          <w:szCs w:val="20"/>
          <w:color w:val="auto"/>
        </w:rPr>
      </w:pPr>
    </w:p>
    <w:p>
      <w:pPr>
        <w:ind w:right="100" w:firstLine="869"/>
        <w:spacing w:after="0" w:line="250" w:lineRule="auto"/>
        <w:rPr>
          <w:sz w:val="20"/>
          <w:szCs w:val="20"/>
          <w:color w:val="auto"/>
        </w:rPr>
      </w:pPr>
      <w:r>
        <w:rPr>
          <w:rFonts w:ascii="Times New Roman" w:cs="Times New Roman" w:eastAsia="Times New Roman" w:hAnsi="Times New Roman"/>
          <w:sz w:val="16"/>
          <w:szCs w:val="16"/>
          <w:color w:val="auto"/>
        </w:rPr>
        <w:t xml:space="preserve">4.05 </w:t>
      </w:r>
      <w:r>
        <w:rPr>
          <w:rFonts w:ascii="Times New Roman" w:cs="Times New Roman" w:eastAsia="Times New Roman" w:hAnsi="Times New Roman"/>
          <w:sz w:val="16"/>
          <w:szCs w:val="16"/>
          <w:u w:val="single" w:color="auto"/>
          <w:color w:val="auto"/>
        </w:rPr>
        <w:t>Validity; Valid Issuance of Securities</w:t>
      </w:r>
      <w:r>
        <w:rPr>
          <w:rFonts w:ascii="Times New Roman" w:cs="Times New Roman" w:eastAsia="Times New Roman" w:hAnsi="Times New Roman"/>
          <w:sz w:val="16"/>
          <w:szCs w:val="16"/>
          <w:color w:val="auto"/>
        </w:rPr>
        <w:t>. This Agreement has been duly authorized, executed and delivered by the Company and constitutes a valid and binding obligation of the Company,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The Securities are duly authorized and, when issued, sold and delivered in accordance with the terms and for the consideration set forth in this Agreement, will be validly issued, fully paid and nonassessable and free and clear of any liens or other restrictions, other than restrictions on transfer under applicable state and federal securities or such restrictions as the Purchaser has agreed to in writing with the Company, and will not have been issued in violation of or subject to any preemptive or similar rights created under the Company’s certificate of incorporation or bylaws or the Delaware General Corporation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00"/>
          </w:cols>
          <w:pgMar w:left="1120" w:top="253" w:right="1179" w:bottom="1440" w:gutter="0" w:footer="0" w:header="0"/>
        </w:sectPr>
      </w:pPr>
    </w:p>
    <w:bookmarkStart w:id="142" w:name="page143"/>
    <w:bookmarkEnd w:id="142"/>
    <w:p>
      <w:pPr>
        <w:ind w:left="1" w:right="20"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4.06 </w:t>
      </w:r>
      <w:r>
        <w:rPr>
          <w:rFonts w:ascii="Times New Roman" w:cs="Times New Roman" w:eastAsia="Times New Roman" w:hAnsi="Times New Roman"/>
          <w:sz w:val="15"/>
          <w:szCs w:val="15"/>
          <w:u w:val="single" w:color="auto"/>
          <w:color w:val="auto"/>
        </w:rPr>
        <w:t>Absence of Violations, Defaults and Conflicts</w:t>
      </w:r>
      <w:r>
        <w:rPr>
          <w:rFonts w:ascii="Times New Roman" w:cs="Times New Roman" w:eastAsia="Times New Roman" w:hAnsi="Times New Roman"/>
          <w:sz w:val="15"/>
          <w:szCs w:val="15"/>
          <w:color w:val="auto"/>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5"/>
          <w:szCs w:val="15"/>
          <w:b w:val="1"/>
          <w:bCs w:val="1"/>
          <w:i w:val="1"/>
          <w:iCs w:val="1"/>
          <w:color w:val="auto"/>
        </w:rPr>
        <w:t>Agreements and Instruments</w:t>
      </w:r>
      <w:r>
        <w:rPr>
          <w:rFonts w:ascii="Times New Roman" w:cs="Times New Roman" w:eastAsia="Times New Roman" w:hAnsi="Times New Roman"/>
          <w:sz w:val="15"/>
          <w:szCs w:val="15"/>
          <w:color w:val="auto"/>
        </w:rPr>
        <w:t>”), except for such defaults that would not, singly or in the aggregate, result in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5"/>
          <w:szCs w:val="15"/>
          <w:b w:val="1"/>
          <w:bCs w:val="1"/>
          <w:i w:val="1"/>
          <w:iCs w:val="1"/>
          <w:color w:val="auto"/>
        </w:rPr>
        <w:t>Governmental Entity</w:t>
      </w:r>
      <w:r>
        <w:rPr>
          <w:rFonts w:ascii="Times New Roman" w:cs="Times New Roman" w:eastAsia="Times New Roman" w:hAnsi="Times New Roman"/>
          <w:sz w:val="15"/>
          <w:szCs w:val="15"/>
          <w:color w:val="auto"/>
        </w:rPr>
        <w:t>”), except for such violations that would not, singly or in the aggregate, result in a Material Adverse Effect. The execution, delivery and the performance of this Agreement and the consummation of the transactions contemplated herein (including the issuance and sale of the Securities) and compliance by the Company with its obligations hereunder do not and will not, whether with or without the giving of notice or passage of time or both, (1) conflict with or constitute a breach of, or default under, or result in the creation or imposition of any lien, charge or encumbrance upon any properties or assets of the Company or any subsidiary pursuant to, the Agreements and Instruments,</w:t>
      </w:r>
    </w:p>
    <w:p>
      <w:pPr>
        <w:spacing w:after="0" w:line="2" w:lineRule="exact"/>
        <w:rPr>
          <w:sz w:val="20"/>
          <w:szCs w:val="20"/>
          <w:color w:val="auto"/>
        </w:rPr>
      </w:pPr>
    </w:p>
    <w:p>
      <w:pPr>
        <w:ind w:left="1" w:right="140" w:hanging="1"/>
        <w:spacing w:after="0" w:line="248" w:lineRule="auto"/>
        <w:tabs>
          <w:tab w:leader="none" w:pos="22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any violation of the provisions of the certificate of incorporation, by-laws or similar organizational document of the Company or any of its subsidiaries or (3) result in any violation of any applicable law, statute, rule, regulation, judgment, order, writ or decree of any Governmental Entity, except in the case of clauses (1) and (3) for such violations as would not, singly or in the aggregate, have or reasonably be expected to have a Material Adverse Effect, or materially affect the validity of the Securities or the legal authority of the Company to perform its obligations hereunder and timely comply in all material respects with the terms of this Agreement or the Merger Agreement.</w:t>
      </w:r>
    </w:p>
    <w:p>
      <w:pPr>
        <w:spacing w:after="0" w:line="168" w:lineRule="exact"/>
        <w:rPr>
          <w:sz w:val="20"/>
          <w:szCs w:val="20"/>
          <w:color w:val="auto"/>
        </w:rPr>
      </w:pPr>
    </w:p>
    <w:p>
      <w:pPr>
        <w:ind w:left="1" w:right="1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4.07 </w:t>
      </w:r>
      <w:r>
        <w:rPr>
          <w:rFonts w:ascii="Times New Roman" w:cs="Times New Roman" w:eastAsia="Times New Roman" w:hAnsi="Times New Roman"/>
          <w:sz w:val="16"/>
          <w:szCs w:val="16"/>
          <w:u w:val="single" w:color="auto"/>
          <w:color w:val="auto"/>
        </w:rPr>
        <w:t>Absence of Proceedings</w:t>
      </w:r>
      <w:r>
        <w:rPr>
          <w:rFonts w:ascii="Times New Roman" w:cs="Times New Roman" w:eastAsia="Times New Roman" w:hAnsi="Times New Roman"/>
          <w:sz w:val="16"/>
          <w:szCs w:val="16"/>
          <w:color w:val="auto"/>
        </w:rPr>
        <w:t>. There is no action, suit, proceeding, inquiry or investigation before or brought by any Governmental Entity now pending or, to the knowledge of the Company, threatened, against or affecting the Company or any of its subsidiaries, which would have or reasonably be expected to have a Material Adverse Effect or materially affect the validity of the Securities or the legal authority of the Company to perform its obligations hereunder and timely comply in all material respects with the terms of this Agreement or the Merger Agreement.</w:t>
      </w:r>
    </w:p>
    <w:p>
      <w:pPr>
        <w:spacing w:after="0" w:line="161" w:lineRule="exact"/>
        <w:rPr>
          <w:sz w:val="20"/>
          <w:szCs w:val="20"/>
          <w:color w:val="auto"/>
        </w:rPr>
      </w:pPr>
    </w:p>
    <w:p>
      <w:pPr>
        <w:ind w:left="1" w:firstLine="869"/>
        <w:spacing w:after="0" w:line="269" w:lineRule="auto"/>
        <w:rPr>
          <w:sz w:val="20"/>
          <w:szCs w:val="20"/>
          <w:color w:val="auto"/>
        </w:rPr>
      </w:pPr>
      <w:r>
        <w:rPr>
          <w:rFonts w:ascii="Times New Roman" w:cs="Times New Roman" w:eastAsia="Times New Roman" w:hAnsi="Times New Roman"/>
          <w:sz w:val="15"/>
          <w:szCs w:val="15"/>
          <w:color w:val="auto"/>
        </w:rPr>
        <w:t xml:space="preserve">4.08 </w:t>
      </w:r>
      <w:r>
        <w:rPr>
          <w:rFonts w:ascii="Times New Roman" w:cs="Times New Roman" w:eastAsia="Times New Roman" w:hAnsi="Times New Roman"/>
          <w:sz w:val="15"/>
          <w:szCs w:val="15"/>
          <w:u w:val="single" w:color="auto"/>
          <w:color w:val="auto"/>
        </w:rPr>
        <w:t>Possession of Licenses and Permits</w:t>
      </w:r>
      <w:r>
        <w:rPr>
          <w:rFonts w:ascii="Times New Roman" w:cs="Times New Roman" w:eastAsia="Times New Roman" w:hAnsi="Times New Roman"/>
          <w:sz w:val="15"/>
          <w:szCs w:val="15"/>
          <w:color w:val="auto"/>
        </w:rPr>
        <w:t>. The Company and its subsidiaries possess such permits, licenses, approvals, consents and other authorizations (collectively, “</w:t>
      </w:r>
      <w:r>
        <w:rPr>
          <w:rFonts w:ascii="Times New Roman" w:cs="Times New Roman" w:eastAsia="Times New Roman" w:hAnsi="Times New Roman"/>
          <w:sz w:val="15"/>
          <w:szCs w:val="15"/>
          <w:b w:val="1"/>
          <w:bCs w:val="1"/>
          <w:i w:val="1"/>
          <w:iCs w:val="1"/>
          <w:color w:val="auto"/>
        </w:rPr>
        <w:t>Governmental Licenses</w:t>
      </w:r>
      <w:r>
        <w:rPr>
          <w:rFonts w:ascii="Times New Roman" w:cs="Times New Roman" w:eastAsia="Times New Roman" w:hAnsi="Times New Roman"/>
          <w:sz w:val="15"/>
          <w:szCs w:val="15"/>
          <w:color w:val="auto"/>
        </w:rPr>
        <w:t>”) issued by the appropriate Governmental Entities necessary to conduct the business now operated by them, except where the failure so to possess would not, singly or in the aggregate, have or reasonably be expected to have a Material Adverse Effect. The Company and its subsidiaries are in compliance with the terms and conditions of all Governmental Licenses, except where the failure so to comply would not, singly or in the aggregate, have or reasonably be expected to have a Material Adverse Effect. All of the Governmental Licenses are valid and in full force and effect, except when the invalidity of such Governmental Licenses or the failure of such Governmental Licenses to be in full force and effect would not, singly or in the aggregate, have or reasonably be expected to have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have or reasonably be expected to have a Material Adverse Effect.</w:t>
      </w:r>
    </w:p>
    <w:p>
      <w:pPr>
        <w:spacing w:after="0" w:line="152" w:lineRule="exact"/>
        <w:rPr>
          <w:sz w:val="20"/>
          <w:szCs w:val="20"/>
          <w:color w:val="auto"/>
        </w:rPr>
      </w:pPr>
    </w:p>
    <w:p>
      <w:pPr>
        <w:ind w:left="1" w:right="1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4.09 </w:t>
      </w:r>
      <w:r>
        <w:rPr>
          <w:rFonts w:ascii="Times New Roman" w:cs="Times New Roman" w:eastAsia="Times New Roman" w:hAnsi="Times New Roman"/>
          <w:sz w:val="16"/>
          <w:szCs w:val="16"/>
          <w:u w:val="single" w:color="auto"/>
          <w:color w:val="auto"/>
        </w:rPr>
        <w:t>Title to Property</w:t>
      </w:r>
      <w:r>
        <w:rPr>
          <w:rFonts w:ascii="Times New Roman" w:cs="Times New Roman" w:eastAsia="Times New Roman" w:hAnsi="Times New Roman"/>
          <w:sz w:val="16"/>
          <w:szCs w:val="16"/>
          <w:color w:val="auto"/>
        </w:rPr>
        <w:t>. The Company and its subsidiaries do not own any real property. The Company and its subsidiaries have title to all tangible personal property owned by them, in each case, free and clear of all mortgages, pledges, liens, security interests, claims, restrictions or encumbrances of any kind except such as do not, singly or in the aggregate, materially affect the value of such property and do not materially interfere with the use made and proposed to be made of such property by the Company or any of its subsidiaries.</w:t>
      </w:r>
    </w:p>
    <w:p>
      <w:pPr>
        <w:spacing w:after="0" w:line="161" w:lineRule="exact"/>
        <w:rPr>
          <w:sz w:val="20"/>
          <w:szCs w:val="20"/>
          <w:color w:val="auto"/>
        </w:rPr>
      </w:pPr>
    </w:p>
    <w:p>
      <w:pPr>
        <w:ind w:left="1" w:right="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hereby represents and warrants to the Purchasers the information included in Section 3.12 of the Merger Agreement, which is hereby incorporated by reference in all respects, is true and correct in all respects.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1"/>
          </w:cols>
          <w:pgMar w:left="1119" w:top="253" w:right="1139" w:bottom="1440" w:gutter="0" w:footer="0" w:header="0"/>
        </w:sectPr>
      </w:pPr>
    </w:p>
    <w:bookmarkStart w:id="143" w:name="page144"/>
    <w:bookmarkEnd w:id="143"/>
    <w:p>
      <w:pPr>
        <w:ind w:firstLine="869"/>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4.11 </w:t>
      </w: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No assessment in connection with United States federal tax returns has been made against the Company. The Company and its subsidiaries have filed all other tax returns that are required to have been filed by them through the date hereof or have timely requested extensions thereof pursuant to applicable foreign state, local or other law except insofar as the failure to file such returns would not have or reasonably be expected to have a Material Adverse Effect, and has paid all taxes due pursuant to such returns or all taxes due and payable pursuant to any assessment received by the Company and its subsidiaries, except for such taxes, if any, as are being contested in good faith and as to which adequate reserves have been established by the Company or its subsidiaries and except where the failure to pay such taxes would not have or reasonably be expected to have a Material Adverse Effect.</w:t>
      </w:r>
    </w:p>
    <w:p>
      <w:pPr>
        <w:spacing w:after="0" w:line="167" w:lineRule="exact"/>
        <w:rPr>
          <w:sz w:val="20"/>
          <w:szCs w:val="20"/>
          <w:color w:val="auto"/>
        </w:rPr>
      </w:pPr>
    </w:p>
    <w:p>
      <w:pPr>
        <w:ind w:right="8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and the subsidiaries carry or are entitled to the benefits of insurance, with what the Company reasonably believes to be financially sound and reputable insurers, in such amounts and covering such risks as is adequate for the conduct of their respective businesses and the value of their respective properties and assets, and all such insurance is in full force and effect. The Company has no reason to believe that it or any of the subsidiaries will not be able (i) to renew its existing insurance coverage as and when such policies expire or (ii) to obtain comparable coverage from similar institutions as may be necessary or appropriate to conduct its business as now conducted and at a cost that would not have a Material Adverse Effect.</w:t>
      </w:r>
    </w:p>
    <w:p>
      <w:pPr>
        <w:spacing w:after="0" w:line="165" w:lineRule="exact"/>
        <w:rPr>
          <w:sz w:val="20"/>
          <w:szCs w:val="20"/>
          <w:color w:val="auto"/>
        </w:rPr>
      </w:pPr>
    </w:p>
    <w:p>
      <w:pPr>
        <w:ind w:right="3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The Company is not required, and upon the issuance and sale of the Securities will not be required, to register as an “investment company” under the Investment Company Act of 1940, as amended.</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 xml:space="preserve"> Except as would not, singly or in the aggregate, have or reasonably be expected to have a Material Adverse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 (i) neither the Company nor any of its subsidiaries has received any FDA Form 483, notice of adverse finding, warning letter or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correspondence or written notice from the U.S. Food and Drug Administration (“</w:t>
      </w:r>
      <w:r>
        <w:rPr>
          <w:rFonts w:ascii="Times New Roman" w:cs="Times New Roman" w:eastAsia="Times New Roman" w:hAnsi="Times New Roman"/>
          <w:sz w:val="16"/>
          <w:szCs w:val="16"/>
          <w:b w:val="1"/>
          <w:bCs w:val="1"/>
          <w:i w:val="1"/>
          <w:iCs w:val="1"/>
          <w:color w:val="auto"/>
        </w:rPr>
        <w:t>FDA</w:t>
      </w:r>
      <w:r>
        <w:rPr>
          <w:rFonts w:ascii="Times New Roman" w:cs="Times New Roman" w:eastAsia="Times New Roman" w:hAnsi="Times New Roman"/>
          <w:sz w:val="16"/>
          <w:szCs w:val="16"/>
          <w:color w:val="auto"/>
        </w:rPr>
        <w:t>”) or any other Governmental Entity alleging or asserting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noncompliance with any Applicable Laws (as defined in clause (ii) below) or Authorizations (as defined in clause (iii) below); (ii) the Company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its subsidiaries is and has been in compliance with statutes, laws, ordinances, rules and regulations applicable to the Company and 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for the ownership, testing, development, manufacture, packaging, processing, use, distribution, marketing, labeling, promotion, sale, offer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sale, storage, import, export or disposal of any product manufactured or distributed by the Company, including without limitation, the Federal Food,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Drug, and Cosmetic Act, 21 U.S.C. § 301, et seq., similar laws of other Governmental Entities and the regulations promulgated pursuant to such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(collectively, “</w:t>
      </w:r>
      <w:r>
        <w:rPr>
          <w:rFonts w:ascii="Times New Roman" w:cs="Times New Roman" w:eastAsia="Times New Roman" w:hAnsi="Times New Roman"/>
          <w:sz w:val="15"/>
          <w:szCs w:val="15"/>
          <w:b w:val="1"/>
          <w:bCs w:val="1"/>
          <w:i w:val="1"/>
          <w:iCs w:val="1"/>
          <w:color w:val="auto"/>
        </w:rPr>
        <w:t>Applicable Laws</w:t>
      </w:r>
      <w:r>
        <w:rPr>
          <w:rFonts w:ascii="Times New Roman" w:cs="Times New Roman" w:eastAsia="Times New Roman" w:hAnsi="Times New Roman"/>
          <w:sz w:val="15"/>
          <w:szCs w:val="15"/>
          <w:color w:val="auto"/>
        </w:rPr>
        <w:t>”); (iii) the Company and each of its subsidiaries possesses all licenses, certificates, approvals, clearances, authorizations,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permits and supplements or amendments thereto required by any such Applicable Laws and/or to carry on its businesses as now conducted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Authorizations</w:t>
      </w:r>
      <w:r>
        <w:rPr>
          <w:rFonts w:ascii="Times New Roman" w:cs="Times New Roman" w:eastAsia="Times New Roman" w:hAnsi="Times New Roman"/>
          <w:sz w:val="16"/>
          <w:szCs w:val="16"/>
          <w:color w:val="auto"/>
        </w:rPr>
        <w:t>”) and such Authorizations are valid and in full force and effect and the Company is not in violation of any term of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Authorizations; (iv) neither the Company nor any of its subsidiaries has received notice of any ongoing claim, action, suit, proceeding, hearing,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enforcement, investigation, arbitration or other action from any Governmental Entity or third party alleging that any product, operation or activity is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violation of any Applicable Laws or Authorizations or has any knowledge that any such Governmental Entity or third party is considering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claim, litigation, arbitration, action, suit, investigation or proceeding, nor, to the Company’s knowledge, has there been any noncompliance with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violation of any Applicable Laws by the Company or any of its subsidiaries that could reasonably be expected to require the issuance of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communication or result in an investigation, corrective action, or enforcement action by FDA or similar Governmental Entity; (v) neither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 any of its subsidiaries has received notice that any Governmental Entity has taken, is taking or intends to take action to limit, suspend, modify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revoke any Authorizations or has any knowledge that any such Governmental Entity is threatening or is considering such action; and (vi)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each of its subsidiaries has filed, obtained, maintained or submitted all reports, documents, forms, notices, applications, records, claims, submissions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supplements or amendments as required by any Applicable Laws or Authorizations and that all such reports, documents, forms, notices,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applications, records, claims, submissions and supplements or amendments were complete, correct and not misleading on the date filed (or were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corrected or supplemented by a subsequent submission).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0"/>
          </w:cols>
          <w:pgMar w:left="1120" w:top="253" w:right="1139" w:bottom="1440" w:gutter="0" w:footer="0" w:header="0"/>
        </w:sectPr>
      </w:pPr>
    </w:p>
    <w:bookmarkStart w:id="144" w:name="page145"/>
    <w:bookmarkEnd w:id="144"/>
    <w:p>
      <w:pPr>
        <w:ind w:firstLine="869"/>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4.15 </w:t>
      </w:r>
      <w:r>
        <w:rPr>
          <w:rFonts w:ascii="Times New Roman" w:cs="Times New Roman" w:eastAsia="Times New Roman" w:hAnsi="Times New Roman"/>
          <w:sz w:val="16"/>
          <w:szCs w:val="16"/>
          <w:u w:val="single" w:color="auto"/>
          <w:color w:val="auto"/>
        </w:rPr>
        <w:t>Employment Matters</w:t>
      </w:r>
      <w:r>
        <w:rPr>
          <w:rFonts w:ascii="Times New Roman" w:cs="Times New Roman" w:eastAsia="Times New Roman" w:hAnsi="Times New Roman"/>
          <w:sz w:val="16"/>
          <w:szCs w:val="16"/>
          <w:color w:val="auto"/>
        </w:rPr>
        <w:t>. The Company and its subsidiaries are in compliance in all material 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w:t>
      </w:r>
    </w:p>
    <w:p>
      <w:pPr>
        <w:spacing w:after="0" w:line="161"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xml:space="preserve">. None of the Company, its subsidiaries or any person acting on its or their behalf, has, directly or indirectly, made any offers or sales of any security or solicited any offers to buy any security under any circumstances that would require registration under the 1933 Act of the Securities being sold pursuant to this Agreement. Assuming the accuracy of the representations and warranties of the Purchasers contained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the issuance of the Securities is exempt from registration under the 1933 Act.</w:t>
      </w:r>
    </w:p>
    <w:p>
      <w:pPr>
        <w:spacing w:after="0" w:line="1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No Disqualification Events</w:t>
      </w:r>
      <w:r>
        <w:rPr>
          <w:rFonts w:ascii="Times New Roman" w:cs="Times New Roman" w:eastAsia="Times New Roman" w:hAnsi="Times New Roman"/>
          <w:sz w:val="16"/>
          <w:szCs w:val="16"/>
          <w:color w:val="auto"/>
        </w:rPr>
        <w:t>. No “bad actor” disqualifying event described in Rule 506(d)(1)(i)-(viii) of the 1933 Act (a</w:t>
      </w:r>
    </w:p>
    <w:p>
      <w:pPr>
        <w:spacing w:after="0" w:line="2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Disqualification Event</w:t>
      </w:r>
      <w:r>
        <w:rPr>
          <w:rFonts w:ascii="Times New Roman" w:cs="Times New Roman" w:eastAsia="Times New Roman" w:hAnsi="Times New Roman"/>
          <w:sz w:val="16"/>
          <w:szCs w:val="16"/>
          <w:color w:val="auto"/>
        </w:rPr>
        <w:t>”) is applicable to the Company or, to the Company’s knowledge, any Company Covered Person (as defined below), except for a Disqualification Event as to which Rule 506(d)(2)(ii–iv) or (d)(3) is applicable. “</w:t>
      </w:r>
      <w:r>
        <w:rPr>
          <w:rFonts w:ascii="Times New Roman" w:cs="Times New Roman" w:eastAsia="Times New Roman" w:hAnsi="Times New Roman"/>
          <w:sz w:val="16"/>
          <w:szCs w:val="16"/>
          <w:b w:val="1"/>
          <w:bCs w:val="1"/>
          <w:i w:val="1"/>
          <w:iCs w:val="1"/>
          <w:color w:val="auto"/>
        </w:rPr>
        <w:t>Company Covered Person</w:t>
      </w:r>
      <w:r>
        <w:rPr>
          <w:rFonts w:ascii="Times New Roman" w:cs="Times New Roman" w:eastAsia="Times New Roman" w:hAnsi="Times New Roman"/>
          <w:sz w:val="16"/>
          <w:szCs w:val="16"/>
          <w:color w:val="auto"/>
        </w:rPr>
        <w:t>” means, with respect to the Company as an “issuer” for purposes of Rule 506 promulgated under the 1933 Act, any person listed in the first paragraph of Rule 506(d)(1). The Company is not aware of any Person (other than any Company Covered Person) that has been or will be paid (directly or indirectly) remuneration for solicitation of purchasers in connection with the sale of the Securities pursuant to this Agreement. The Company has complied, to the extent applicable, with its disclosure obligations under Rule 506(e).</w:t>
      </w:r>
    </w:p>
    <w:p>
      <w:pPr>
        <w:spacing w:after="0" w:line="167" w:lineRule="exact"/>
        <w:rPr>
          <w:sz w:val="20"/>
          <w:szCs w:val="20"/>
          <w:color w:val="auto"/>
        </w:rPr>
      </w:pPr>
    </w:p>
    <w:p>
      <w:pPr>
        <w:ind w:right="2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Neither the Company nor, to the Company’s knowledge, any person acting on behalf of the Company has offered or sold any of the Securities by any form of general solicitation or general advertising.</w:t>
      </w:r>
    </w:p>
    <w:p>
      <w:pPr>
        <w:spacing w:after="0" w:line="145" w:lineRule="exact"/>
        <w:rPr>
          <w:sz w:val="20"/>
          <w:szCs w:val="20"/>
          <w:color w:val="auto"/>
        </w:rPr>
      </w:pPr>
    </w:p>
    <w:p>
      <w:pPr>
        <w:ind w:right="20" w:firstLine="869"/>
        <w:spacing w:after="0" w:line="271" w:lineRule="auto"/>
        <w:rPr>
          <w:sz w:val="20"/>
          <w:szCs w:val="20"/>
          <w:color w:val="auto"/>
        </w:rPr>
      </w:pPr>
      <w:r>
        <w:rPr>
          <w:rFonts w:ascii="Times New Roman" w:cs="Times New Roman" w:eastAsia="Times New Roman" w:hAnsi="Times New Roman"/>
          <w:sz w:val="15"/>
          <w:szCs w:val="15"/>
          <w:color w:val="auto"/>
        </w:rPr>
        <w:t xml:space="preserve">4.19 </w:t>
      </w:r>
      <w:r>
        <w:rPr>
          <w:rFonts w:ascii="Times New Roman" w:cs="Times New Roman" w:eastAsia="Times New Roman" w:hAnsi="Times New Roman"/>
          <w:sz w:val="15"/>
          <w:szCs w:val="15"/>
          <w:u w:val="single" w:color="auto"/>
          <w:color w:val="auto"/>
        </w:rPr>
        <w:t>No Integrated Offering</w:t>
      </w:r>
      <w:r>
        <w:rPr>
          <w:rFonts w:ascii="Times New Roman" w:cs="Times New Roman" w:eastAsia="Times New Roman" w:hAnsi="Times New Roman"/>
          <w:sz w:val="15"/>
          <w:szCs w:val="15"/>
          <w:color w:val="auto"/>
        </w:rPr>
        <w:t>. Assuming the accuracy of the Purchasers’ representations and warranties set forth in Section 3 hereof, none of the Company, its subsidiaries nor, to the Company’s knowledge, any of its Affiliates or any Person acting on its behalf has, directly or indirectly, at any time within the past six (6) months, made any offers or sales of any Company security or solicited any offers to buy any security under circumstances that would (i) eliminate the availability of the exemption from registration under Regulation D under the 1933 Act in connection with the offer and sale by the Company of the Securities as contemplated hereby or (ii) cause the offering of the Securities pursuant to this Agreement to be integrated with prior offerings by the Company for purposes of any applicable law, regulation or stockholder approval provisions, including, without limitation, under the rules and regulations of any National Exchange on which any of the securities of the Company are listed or designated.</w:t>
      </w:r>
    </w:p>
    <w:p>
      <w:pPr>
        <w:spacing w:after="0" w:line="150" w:lineRule="exact"/>
        <w:rPr>
          <w:sz w:val="20"/>
          <w:szCs w:val="20"/>
          <w:color w:val="auto"/>
        </w:rPr>
      </w:pPr>
    </w:p>
    <w:p>
      <w:pPr>
        <w:jc w:val="both"/>
        <w:ind w:right="10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There is no broker, investment banker, financial advisor, finder or other person which has been retained by or is authorized to act on behalf of the Company that is entitled to any fee or commission in connection with the execution of this Agreement and the consummation of the transactions contemplated hereby.</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Covenants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5.01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 xml:space="preserve">. Each party shall use its reasonable best efforts to timely satisfy each of the conditions to be satisfied by it as provided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of this Agreement.</w:t>
      </w:r>
    </w:p>
    <w:p>
      <w:pPr>
        <w:spacing w:after="0" w:line="145" w:lineRule="exact"/>
        <w:rPr>
          <w:sz w:val="20"/>
          <w:szCs w:val="20"/>
          <w:color w:val="auto"/>
        </w:rPr>
      </w:pPr>
    </w:p>
    <w:p>
      <w:pPr>
        <w:ind w:firstLine="869"/>
        <w:spacing w:after="0" w:line="250" w:lineRule="auto"/>
        <w:rPr>
          <w:sz w:val="20"/>
          <w:szCs w:val="20"/>
          <w:color w:val="auto"/>
        </w:rPr>
      </w:pPr>
      <w:r>
        <w:rPr>
          <w:rFonts w:ascii="Times New Roman" w:cs="Times New Roman" w:eastAsia="Times New Roman" w:hAnsi="Times New Roman"/>
          <w:sz w:val="16"/>
          <w:szCs w:val="16"/>
          <w:color w:val="auto"/>
        </w:rPr>
        <w:t xml:space="preserve">5.02 </w:t>
      </w:r>
      <w:r>
        <w:rPr>
          <w:rFonts w:ascii="Times New Roman" w:cs="Times New Roman" w:eastAsia="Times New Roman" w:hAnsi="Times New Roman"/>
          <w:sz w:val="16"/>
          <w:szCs w:val="16"/>
          <w:u w:val="single" w:color="auto"/>
          <w:color w:val="auto"/>
        </w:rPr>
        <w:t>Disclosure of Transactions and Other Material Information</w:t>
      </w:r>
      <w:r>
        <w:rPr>
          <w:rFonts w:ascii="Times New Roman" w:cs="Times New Roman" w:eastAsia="Times New Roman" w:hAnsi="Times New Roman"/>
          <w:sz w:val="16"/>
          <w:szCs w:val="16"/>
          <w:color w:val="auto"/>
        </w:rPr>
        <w:t>. The Company shall or shall cause Gem to, on the first (1st) Business Day immediately following the date of this Agreement, issue one or more press releases and/or file with the Commission a Current Report on Form 8-K (collectively, the “</w:t>
      </w:r>
      <w:r>
        <w:rPr>
          <w:rFonts w:ascii="Times New Roman" w:cs="Times New Roman" w:eastAsia="Times New Roman" w:hAnsi="Times New Roman"/>
          <w:sz w:val="16"/>
          <w:szCs w:val="16"/>
          <w:b w:val="1"/>
          <w:bCs w:val="1"/>
          <w:i w:val="1"/>
          <w:iCs w:val="1"/>
          <w:color w:val="auto"/>
        </w:rPr>
        <w:t>Disclosure Document</w:t>
      </w:r>
      <w:r>
        <w:rPr>
          <w:rFonts w:ascii="Times New Roman" w:cs="Times New Roman" w:eastAsia="Times New Roman" w:hAnsi="Times New Roman"/>
          <w:sz w:val="16"/>
          <w:szCs w:val="16"/>
          <w:color w:val="auto"/>
        </w:rPr>
        <w:t>”) disclosing all material terms of the transactions contemplated hereby and any other material nonpublic information that the Company, Gem or their respective officers, directors, employees, agents or any other person acting at the direction of the Company or Gem has provided to the Purchasers in connection with the transactions contemplated by this Agreement prior to the filing of the Disclosure Document. The Company shall not, and shall cause its officers, directors, employees and agents and Gem not to, publicly disclose the name of any Purchaser or any affiliate or investment adviser of any Purchaser, or include the name of any Purchaser or any affiliate or investment adviser of any Purchaser without the prior written consent (including by e-mail) of such Purchaser (i) in any press release or marketing materials, or (ii) in any filing with the Commission or any regulatory agency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00"/>
          </w:cols>
          <w:pgMar w:left="1120" w:top="253" w:right="1179" w:bottom="1440" w:gutter="0" w:footer="0" w:header="0"/>
        </w:sectPr>
      </w:pPr>
    </w:p>
    <w:bookmarkStart w:id="145" w:name="page146"/>
    <w:bookmarkEnd w:id="145"/>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trading market, except (A) as required by the federal securities laws, rules or regulations, (B) to the extent such disclosure is required by other laws, rules or regulations, at the request of the staff of the Commission or regulatory agency or under regulations of any national securities exchange on which Gem’s securities are listed for trading or (C) to the extent such announcements or other communications contain only information previously disclosed in a public statement, press release, or other communications previously approved in accordance with this Section 5.02.</w:t>
      </w:r>
    </w:p>
    <w:p>
      <w:pPr>
        <w:spacing w:after="0" w:line="161" w:lineRule="exact"/>
        <w:rPr>
          <w:sz w:val="20"/>
          <w:szCs w:val="20"/>
          <w:color w:val="auto"/>
        </w:rPr>
      </w:pPr>
    </w:p>
    <w:p>
      <w:pPr>
        <w:ind w:right="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5.03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and each Purchaser is liable for, and will pay, its own expenses incurred in connection with the negotiation, preparation, execution and delivery of this Agreement, including, without limitation, attorneys’ and consultants’ fees and expenses.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Conditions of Closing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869"/>
        <w:spacing w:after="0" w:line="310" w:lineRule="auto"/>
        <w:rPr>
          <w:sz w:val="20"/>
          <w:szCs w:val="20"/>
          <w:color w:val="auto"/>
        </w:rPr>
      </w:pPr>
      <w:r>
        <w:rPr>
          <w:rFonts w:ascii="Times New Roman" w:cs="Times New Roman" w:eastAsia="Times New Roman" w:hAnsi="Times New Roman"/>
          <w:sz w:val="15"/>
          <w:szCs w:val="15"/>
          <w:color w:val="auto"/>
        </w:rPr>
        <w:t xml:space="preserve">6.01 </w:t>
      </w:r>
      <w:r>
        <w:rPr>
          <w:rFonts w:ascii="Times New Roman" w:cs="Times New Roman" w:eastAsia="Times New Roman" w:hAnsi="Times New Roman"/>
          <w:sz w:val="15"/>
          <w:szCs w:val="15"/>
          <w:u w:val="single" w:color="auto"/>
          <w:color w:val="auto"/>
        </w:rPr>
        <w:t>Conditions of the Purchasers’ Obligations at the Closing</w:t>
      </w:r>
      <w:r>
        <w:rPr>
          <w:rFonts w:ascii="Times New Roman" w:cs="Times New Roman" w:eastAsia="Times New Roman" w:hAnsi="Times New Roman"/>
          <w:sz w:val="15"/>
          <w:szCs w:val="15"/>
          <w:color w:val="auto"/>
        </w:rPr>
        <w:t xml:space="preserve">. The obligations of each Purchaser under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hereof are subject to the fulfillment, at or prior to the Closing, of all of the following conditions, any of which may be waived in whole or in part by the Purchaser Majority.</w:t>
      </w:r>
    </w:p>
    <w:p>
      <w:pPr>
        <w:spacing w:after="0" w:line="122" w:lineRule="exact"/>
        <w:rPr>
          <w:sz w:val="20"/>
          <w:szCs w:val="20"/>
          <w:color w:val="auto"/>
        </w:rPr>
      </w:pPr>
    </w:p>
    <w:p>
      <w:pPr>
        <w:ind w:right="60" w:firstLine="1253"/>
        <w:spacing w:after="0" w:line="256" w:lineRule="auto"/>
        <w:tabs>
          <w:tab w:leader="none" w:pos="146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The representations and warranties of the Company contained in this Agreement shall be true and correct in all respects on the Effective Date and shall be true and correct in all material respects on and as of the Closing Date with the same effect as though such representations and warranties had been made on and as of the Closing Date (except to the extent expressly made as of an earlier date in which case as of such earlier date).</w:t>
      </w:r>
    </w:p>
    <w:p>
      <w:pPr>
        <w:spacing w:after="0" w:line="161" w:lineRule="exact"/>
        <w:rPr>
          <w:rFonts w:ascii="Times New Roman" w:cs="Times New Roman" w:eastAsia="Times New Roman" w:hAnsi="Times New Roman"/>
          <w:sz w:val="16"/>
          <w:szCs w:val="16"/>
          <w:color w:val="auto"/>
        </w:rPr>
      </w:pPr>
    </w:p>
    <w:p>
      <w:pPr>
        <w:jc w:val="both"/>
        <w:ind w:right="560" w:firstLine="1253"/>
        <w:spacing w:after="0" w:line="310" w:lineRule="auto"/>
        <w:tabs>
          <w:tab w:leader="none" w:pos="1478"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w:t>
      </w:r>
      <w:r>
        <w:rPr>
          <w:rFonts w:ascii="Times New Roman" w:cs="Times New Roman" w:eastAsia="Times New Roman" w:hAnsi="Times New Roman"/>
          <w:sz w:val="15"/>
          <w:szCs w:val="15"/>
          <w:color w:val="auto"/>
        </w:rPr>
        <w:t>. The Company shall have performed and complied in all material respects with all covenants, agreements, obligations and conditions contained in this Agreement that are required to be performed or complied with by it on or prior to the Closing Date.</w:t>
      </w:r>
    </w:p>
    <w:p>
      <w:pPr>
        <w:spacing w:after="0" w:line="122" w:lineRule="exact"/>
        <w:rPr>
          <w:sz w:val="20"/>
          <w:szCs w:val="20"/>
          <w:color w:val="auto"/>
        </w:rPr>
      </w:pPr>
    </w:p>
    <w:p>
      <w:pPr>
        <w:ind w:right="80" w:firstLine="1253"/>
        <w:spacing w:after="0" w:line="276" w:lineRule="auto"/>
        <w:tabs>
          <w:tab w:leader="none" w:pos="147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 xml:space="preserve">. The Chief Executive Officer of the Company shall have delivered to the Purchasers at the Closing Date a certificate certifying that the conditions specified in </w:t>
      </w:r>
      <w:r>
        <w:rPr>
          <w:rFonts w:ascii="Times New Roman" w:cs="Times New Roman" w:eastAsia="Times New Roman" w:hAnsi="Times New Roman"/>
          <w:sz w:val="16"/>
          <w:szCs w:val="16"/>
          <w:u w:val="single" w:color="auto"/>
          <w:color w:val="auto"/>
        </w:rPr>
        <w:t>Sections 6.01(a),6.01(b)</w:t>
      </w:r>
      <w:r>
        <w:rPr>
          <w:rFonts w:ascii="Times New Roman" w:cs="Times New Roman" w:eastAsia="Times New Roman" w:hAnsi="Times New Roman"/>
          <w:sz w:val="16"/>
          <w:szCs w:val="16"/>
          <w:color w:val="auto"/>
        </w:rPr>
        <w:t xml:space="preserve"> and 6.01(f) of this Agreement have been fulfilled.</w:t>
      </w:r>
    </w:p>
    <w:p>
      <w:pPr>
        <w:spacing w:after="0" w:line="144" w:lineRule="exact"/>
        <w:rPr>
          <w:rFonts w:ascii="Times New Roman" w:cs="Times New Roman" w:eastAsia="Times New Roman" w:hAnsi="Times New Roman"/>
          <w:sz w:val="16"/>
          <w:szCs w:val="16"/>
          <w:color w:val="auto"/>
        </w:rPr>
      </w:pPr>
    </w:p>
    <w:p>
      <w:pPr>
        <w:ind w:right="580" w:firstLine="1253"/>
        <w:spacing w:after="0" w:line="276" w:lineRule="auto"/>
        <w:tabs>
          <w:tab w:leader="none" w:pos="146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Qualification under State Securities Laws</w:t>
      </w:r>
      <w:r>
        <w:rPr>
          <w:rFonts w:ascii="Times New Roman" w:cs="Times New Roman" w:eastAsia="Times New Roman" w:hAnsi="Times New Roman"/>
          <w:sz w:val="16"/>
          <w:szCs w:val="16"/>
          <w:color w:val="auto"/>
        </w:rPr>
        <w:t>. All registrations, qualifications, permits and approvals, if any, required under applicable state securities laws shall have been obtained for the lawful execution, delivery and performance of this Agreement.</w:t>
      </w:r>
    </w:p>
    <w:p>
      <w:pPr>
        <w:spacing w:after="0" w:line="144" w:lineRule="exact"/>
        <w:rPr>
          <w:rFonts w:ascii="Times New Roman" w:cs="Times New Roman" w:eastAsia="Times New Roman" w:hAnsi="Times New Roman"/>
          <w:sz w:val="16"/>
          <w:szCs w:val="16"/>
          <w:color w:val="auto"/>
        </w:rPr>
      </w:pPr>
    </w:p>
    <w:p>
      <w:pPr>
        <w:ind w:right="80" w:firstLine="1253"/>
        <w:spacing w:after="0" w:line="254" w:lineRule="auto"/>
        <w:tabs>
          <w:tab w:leader="none" w:pos="1451"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Company shall not have amended, modified, or waived any provision under the Merger Agreement in a manner that would reasonably be expected to materially and adversely affect the benefits that Purchaser would reasonably expect to receive under this Agreement without having received Purchaser’s prior written consent.</w:t>
      </w:r>
    </w:p>
    <w:p>
      <w:pPr>
        <w:spacing w:after="0" w:line="161" w:lineRule="exact"/>
        <w:rPr>
          <w:rFonts w:ascii="Times New Roman" w:cs="Times New Roman" w:eastAsia="Times New Roman" w:hAnsi="Times New Roman"/>
          <w:sz w:val="16"/>
          <w:szCs w:val="16"/>
          <w:color w:val="auto"/>
        </w:rPr>
      </w:pPr>
    </w:p>
    <w:p>
      <w:pPr>
        <w:ind w:firstLine="1253"/>
        <w:spacing w:after="0" w:line="261" w:lineRule="auto"/>
        <w:tabs>
          <w:tab w:leader="none" w:pos="147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w:t>
      </w:r>
      <w:r>
        <w:rPr>
          <w:rFonts w:ascii="Times New Roman" w:cs="Times New Roman" w:eastAsia="Times New Roman" w:hAnsi="Times New Roman"/>
          <w:sz w:val="16"/>
          <w:szCs w:val="16"/>
          <w:color w:val="auto"/>
        </w:rPr>
        <w:t>. No statute, rule, regulation, executive order, decree, ruling or injunction shall have been enacted, entered, promulgated or endorsed by any Governmental Entity of competent jurisdiction that prohibits the consummation of any of the transactions contemplated by this Agreement.</w:t>
      </w:r>
    </w:p>
    <w:p>
      <w:pPr>
        <w:spacing w:after="0" w:line="156"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Rights Agreement. The Company shall have delivered the fully executed Registration Rights Agreement.</w:t>
      </w:r>
    </w:p>
    <w:p>
      <w:pPr>
        <w:spacing w:after="0" w:line="194" w:lineRule="exact"/>
        <w:rPr>
          <w:sz w:val="20"/>
          <w:szCs w:val="20"/>
          <w:color w:val="auto"/>
        </w:rPr>
      </w:pPr>
    </w:p>
    <w:p>
      <w:pPr>
        <w:ind w:right="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6.02 </w:t>
      </w:r>
      <w:r>
        <w:rPr>
          <w:rFonts w:ascii="Times New Roman" w:cs="Times New Roman" w:eastAsia="Times New Roman" w:hAnsi="Times New Roman"/>
          <w:sz w:val="16"/>
          <w:szCs w:val="16"/>
          <w:u w:val="single" w:color="auto"/>
          <w:color w:val="auto"/>
        </w:rPr>
        <w:t>Conditions of the Company’s Obligations</w:t>
      </w:r>
      <w:r>
        <w:rPr>
          <w:rFonts w:ascii="Times New Roman" w:cs="Times New Roman" w:eastAsia="Times New Roman" w:hAnsi="Times New Roman"/>
          <w:sz w:val="16"/>
          <w:szCs w:val="16"/>
          <w:color w:val="auto"/>
        </w:rPr>
        <w:t xml:space="preserve">. The obligations of the Company under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are subject to the fulfillment, at or prior to the Closing, of all of the following conditions, any of which may be waived in whole or in part by the Company in its absolute discretion.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20"/>
          </w:cols>
          <w:pgMar w:left="1120" w:top="253" w:right="1159" w:bottom="1440" w:gutter="0" w:footer="0" w:header="0"/>
        </w:sectPr>
      </w:pPr>
    </w:p>
    <w:bookmarkStart w:id="146" w:name="page147"/>
    <w:bookmarkEnd w:id="146"/>
    <w:p>
      <w:pPr>
        <w:ind w:right="60" w:firstLine="1253"/>
        <w:spacing w:after="0" w:line="256" w:lineRule="auto"/>
        <w:tabs>
          <w:tab w:leader="none" w:pos="146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Representations and Warranties</w:t>
      </w:r>
      <w:r>
        <w:rPr>
          <w:rFonts w:ascii="Times New Roman" w:cs="Times New Roman" w:eastAsia="Times New Roman" w:hAnsi="Times New Roman"/>
          <w:sz w:val="16"/>
          <w:szCs w:val="16"/>
          <w:color w:val="auto"/>
        </w:rPr>
        <w:t>. The representations and warranties of the Purchasers contained in this Agreement shall be true and correct as of the Effective Date and true and correct in all material respects on and as of the Closing Date with the same effect as though such representations and warranties had been made on and as of the Closing Date (except to the extent expressly made as of an earlier date in which case shall be as of such earlier date).</w:t>
      </w:r>
    </w:p>
    <w:p>
      <w:pPr>
        <w:spacing w:after="0" w:line="161" w:lineRule="exact"/>
        <w:rPr>
          <w:rFonts w:ascii="Times New Roman" w:cs="Times New Roman" w:eastAsia="Times New Roman" w:hAnsi="Times New Roman"/>
          <w:sz w:val="16"/>
          <w:szCs w:val="16"/>
          <w:color w:val="auto"/>
        </w:rPr>
      </w:pPr>
    </w:p>
    <w:p>
      <w:pPr>
        <w:ind w:right="240" w:firstLine="1253"/>
        <w:spacing w:after="0" w:line="276" w:lineRule="auto"/>
        <w:tabs>
          <w:tab w:leader="none" w:pos="147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w:t>
      </w:r>
      <w:r>
        <w:rPr>
          <w:rFonts w:ascii="Times New Roman" w:cs="Times New Roman" w:eastAsia="Times New Roman" w:hAnsi="Times New Roman"/>
          <w:sz w:val="16"/>
          <w:szCs w:val="16"/>
          <w:color w:val="auto"/>
        </w:rPr>
        <w:t>. Each Purchaser shall have performed and complied with all covenants, agreements, obligations and conditions contained in this Agreement that are required to be performed or complied with by it on or prior to the Closing Date.</w:t>
      </w:r>
    </w:p>
    <w:p>
      <w:pPr>
        <w:spacing w:after="0" w:line="144" w:lineRule="exact"/>
        <w:rPr>
          <w:rFonts w:ascii="Times New Roman" w:cs="Times New Roman" w:eastAsia="Times New Roman" w:hAnsi="Times New Roman"/>
          <w:sz w:val="16"/>
          <w:szCs w:val="16"/>
          <w:color w:val="auto"/>
        </w:rPr>
      </w:pPr>
    </w:p>
    <w:p>
      <w:pPr>
        <w:ind w:right="520" w:firstLine="1253"/>
        <w:spacing w:after="0" w:line="276" w:lineRule="auto"/>
        <w:tabs>
          <w:tab w:leader="none" w:pos="146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Qualification under State Securities Laws</w:t>
      </w:r>
      <w:r>
        <w:rPr>
          <w:rFonts w:ascii="Times New Roman" w:cs="Times New Roman" w:eastAsia="Times New Roman" w:hAnsi="Times New Roman"/>
          <w:sz w:val="16"/>
          <w:szCs w:val="16"/>
          <w:color w:val="auto"/>
        </w:rPr>
        <w:t>. All registrations, qualifications, permits and approvals, if any, required under applicable state securities laws shall have been obtained for the lawful execution, delivery and performance of this Agreement.</w:t>
      </w:r>
    </w:p>
    <w:p>
      <w:pPr>
        <w:spacing w:after="0" w:line="144" w:lineRule="exact"/>
        <w:rPr>
          <w:rFonts w:ascii="Times New Roman" w:cs="Times New Roman" w:eastAsia="Times New Roman" w:hAnsi="Times New Roman"/>
          <w:sz w:val="16"/>
          <w:szCs w:val="16"/>
          <w:color w:val="auto"/>
        </w:rPr>
      </w:pPr>
    </w:p>
    <w:p>
      <w:pPr>
        <w:ind w:right="20" w:firstLine="1253"/>
        <w:spacing w:after="0" w:line="261" w:lineRule="auto"/>
        <w:tabs>
          <w:tab w:leader="none" w:pos="147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Transfer Restrictions; Restrictive Legend</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869"/>
        <w:spacing w:after="0" w:line="254" w:lineRule="auto"/>
        <w:rPr>
          <w:sz w:val="20"/>
          <w:szCs w:val="20"/>
          <w:color w:val="auto"/>
        </w:rPr>
      </w:pPr>
      <w:r>
        <w:rPr>
          <w:rFonts w:ascii="Times New Roman" w:cs="Times New Roman" w:eastAsia="Times New Roman" w:hAnsi="Times New Roman"/>
          <w:sz w:val="16"/>
          <w:szCs w:val="16"/>
          <w:color w:val="auto"/>
        </w:rPr>
        <w:t xml:space="preserve">7.01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Each Purchaser understands that the Company may, as a condition to the transfer of any of the Securities, require that the request for transfer be accompanied by a certificate and/or an opinion of counsel reasonably satisfactory to the Company, to the effect that the proposed transfer does not result in a violation of the 1933 Act, unless such transfer is covered by an effective registration statement or is exempt from the registration requirements of the 1933 Act, including under by Rule 144. It is understood that the certificates evidencing the Securities may bear substantially the following legend:</w:t>
      </w:r>
    </w:p>
    <w:p>
      <w:pPr>
        <w:spacing w:after="0" w:line="1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“THESE SECURITIES HAVE NOT BEEN REGISTERED UNDER THE SECURITIES ACT OF 1933, AS AMENDED, OR ANY APPLICABLE STATE SECURITIES LAWS. THEY MAY NOT BE SOLD, OFFERED FOR SALE, PLEDGED OR HYPOTHECATED IN THE ABSENCE OF A REGISTRATION STATEMENT IN EFFECT WITH RESPECT TO THE SECURITIES UNDER SUCH ACT OR APPLICABLE STATE SECURITIES LAWS OR A VALID EXEMPTION FROM REGISTRATION UNDER SUCH ACT OR APPLICABLE STATE SECURITIES LAWS.”</w:t>
      </w:r>
    </w:p>
    <w:p>
      <w:pPr>
        <w:spacing w:after="0" w:line="144" w:lineRule="exact"/>
        <w:rPr>
          <w:sz w:val="20"/>
          <w:szCs w:val="20"/>
          <w:color w:val="auto"/>
        </w:rPr>
      </w:pPr>
    </w:p>
    <w:p>
      <w:pPr>
        <w:ind w:right="360" w:firstLine="386"/>
        <w:spacing w:after="0" w:line="276"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Unless the context otherwise requires, the terms defined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have the meanings specified for all purposes of this Agreement.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1933 Act</w:t>
      </w:r>
      <w:r>
        <w:rPr>
          <w:rFonts w:ascii="Times New Roman" w:cs="Times New Roman" w:eastAsia="Times New Roman" w:hAnsi="Times New Roman"/>
          <w:sz w:val="16"/>
          <w:szCs w:val="16"/>
          <w:color w:val="auto"/>
        </w:rPr>
        <w:t>” means the Securities Act of 1933, as amended.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1934 Act</w:t>
      </w:r>
      <w:r>
        <w:rPr>
          <w:rFonts w:ascii="Times New Roman" w:cs="Times New Roman" w:eastAsia="Times New Roman" w:hAnsi="Times New Roman"/>
          <w:sz w:val="16"/>
          <w:szCs w:val="16"/>
          <w:color w:val="auto"/>
        </w:rPr>
        <w:t>” means the Securities Exchange Act of 1934, as amended.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shall have the meaning ascribed to such term in Rule 12b-2 of the General Rules and Regulations under the 1934 Act.</w:t>
      </w:r>
    </w:p>
    <w:p>
      <w:pPr>
        <w:spacing w:after="0" w:line="194" w:lineRule="exact"/>
        <w:rPr>
          <w:sz w:val="20"/>
          <w:szCs w:val="20"/>
          <w:color w:val="auto"/>
        </w:rPr>
      </w:pPr>
    </w:p>
    <w:p>
      <w:pPr>
        <w:ind w:right="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means any day other than Saturday, Sunday or other day on which commercial banks in the City of New York are authorized or required by law to remain closed.</w:t>
      </w:r>
    </w:p>
    <w:p>
      <w:pPr>
        <w:spacing w:after="0" w:line="137" w:lineRule="exact"/>
        <w:rPr>
          <w:sz w:val="20"/>
          <w:szCs w:val="20"/>
          <w:color w:val="auto"/>
        </w:rPr>
      </w:pPr>
    </w:p>
    <w:p>
      <w:pPr>
        <w:ind w:right="16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National Exchange</w:t>
      </w:r>
      <w:r>
        <w:rPr>
          <w:rFonts w:ascii="Times New Roman" w:cs="Times New Roman" w:eastAsia="Times New Roman" w:hAnsi="Times New Roman"/>
          <w:sz w:val="16"/>
          <w:szCs w:val="16"/>
          <w:color w:val="auto"/>
        </w:rPr>
        <w:t>” means the Nasdaq Global Select Market, the Nasdaq Global Market, the Nasdaq Capital Market, or the New York Stock Exchange.</w:t>
      </w:r>
    </w:p>
    <w:p>
      <w:pPr>
        <w:spacing w:after="0" w:line="137" w:lineRule="exact"/>
        <w:rPr>
          <w:sz w:val="20"/>
          <w:szCs w:val="20"/>
          <w:color w:val="auto"/>
        </w:rPr>
      </w:pPr>
    </w:p>
    <w:p>
      <w:pPr>
        <w:ind w:right="4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Purchase Price</w:t>
      </w:r>
      <w:r>
        <w:rPr>
          <w:rFonts w:ascii="Times New Roman" w:cs="Times New Roman" w:eastAsia="Times New Roman" w:hAnsi="Times New Roman"/>
          <w:sz w:val="16"/>
          <w:szCs w:val="16"/>
          <w:color w:val="auto"/>
        </w:rPr>
        <w:t>” means $2.51 per share.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560"/>
          </w:cols>
          <w:pgMar w:left="1120" w:top="253" w:right="1219" w:bottom="1440" w:gutter="0" w:footer="0" w:header="0"/>
        </w:sectPr>
      </w:pPr>
    </w:p>
    <w:bookmarkStart w:id="147" w:name="page148"/>
    <w:bookmarkEnd w:id="147"/>
    <w:p>
      <w:pPr>
        <w:ind w:left="1" w:right="100" w:firstLine="386"/>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Purchaser Majority</w:t>
      </w:r>
      <w:r>
        <w:rPr>
          <w:rFonts w:ascii="Times New Roman" w:cs="Times New Roman" w:eastAsia="Times New Roman" w:hAnsi="Times New Roman"/>
          <w:sz w:val="16"/>
          <w:szCs w:val="16"/>
          <w:color w:val="auto"/>
        </w:rPr>
        <w:t>” means the Purchasers committed to purchase at least a majority the Closing Shares, including at least one of AI DMI LLC and OrbiMed Private Investments VI, LP.</w:t>
      </w:r>
    </w:p>
    <w:p>
      <w:pPr>
        <w:spacing w:after="0" w:line="137" w:lineRule="exact"/>
        <w:rPr>
          <w:sz w:val="20"/>
          <w:szCs w:val="20"/>
          <w:color w:val="auto"/>
        </w:rPr>
      </w:pPr>
    </w:p>
    <w:p>
      <w:pPr>
        <w:ind w:left="1" w:right="2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Registration Rights Agreement</w:t>
      </w:r>
      <w:r>
        <w:rPr>
          <w:rFonts w:ascii="Times New Roman" w:cs="Times New Roman" w:eastAsia="Times New Roman" w:hAnsi="Times New Roman"/>
          <w:sz w:val="16"/>
          <w:szCs w:val="16"/>
          <w:color w:val="auto"/>
        </w:rPr>
        <w:t xml:space="preserve">” means the Registration Rights Agreement,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to be entered into at the Closing among the Company and each Purchaser.</w:t>
      </w:r>
    </w:p>
    <w:p>
      <w:pPr>
        <w:spacing w:after="0" w:line="137" w:lineRule="exact"/>
        <w:rPr>
          <w:sz w:val="20"/>
          <w:szCs w:val="20"/>
          <w:color w:val="auto"/>
        </w:rPr>
      </w:pPr>
    </w:p>
    <w:p>
      <w:pPr>
        <w:ind w:left="1" w:right="1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Rule 144</w:t>
      </w:r>
      <w:r>
        <w:rPr>
          <w:rFonts w:ascii="Times New Roman" w:cs="Times New Roman" w:eastAsia="Times New Roman" w:hAnsi="Times New Roman"/>
          <w:sz w:val="16"/>
          <w:szCs w:val="16"/>
          <w:color w:val="auto"/>
        </w:rPr>
        <w:t>” means Rule 144 promulgated by the Commission pursuant to the 1933 Act, as such Rule may be amended from time to time, or any similar rule or regulation hereafter adopted by the Commission having substantially the same effect as Rule 144.</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60" w:firstLine="869"/>
        <w:spacing w:after="0" w:line="279" w:lineRule="auto"/>
        <w:rPr>
          <w:sz w:val="20"/>
          <w:szCs w:val="20"/>
          <w:color w:val="auto"/>
        </w:rPr>
      </w:pPr>
      <w:r>
        <w:rPr>
          <w:rFonts w:ascii="Times New Roman" w:cs="Times New Roman" w:eastAsia="Times New Roman" w:hAnsi="Times New Roman"/>
          <w:sz w:val="15"/>
          <w:szCs w:val="15"/>
          <w:color w:val="auto"/>
        </w:rPr>
        <w:t xml:space="preserve">9.01 </w:t>
      </w:r>
      <w:r>
        <w:rPr>
          <w:rFonts w:ascii="Times New Roman" w:cs="Times New Roman" w:eastAsia="Times New Roman" w:hAnsi="Times New Roman"/>
          <w:sz w:val="15"/>
          <w:szCs w:val="15"/>
          <w:u w:val="single" w:color="auto"/>
          <w:color w:val="auto"/>
        </w:rPr>
        <w:t>Waivers and Amendments</w:t>
      </w:r>
      <w:r>
        <w:rPr>
          <w:rFonts w:ascii="Times New Roman" w:cs="Times New Roman" w:eastAsia="Times New Roman" w:hAnsi="Times New Roman"/>
          <w:sz w:val="15"/>
          <w:szCs w:val="15"/>
          <w:color w:val="auto"/>
        </w:rPr>
        <w:t>. Neither this Agreement, nor any provision hereof, may be changed, waived, amended or modified orally or by course of dealing, but only by an instrument in writing executed by the Company and the Purchaser Majority, provided that, (y) if any, change, waiver, amendment, modification disproportionately and adversely impacts a Purchaser (or group of Purchasers), the consent of such disproportionately impacted Purchaser (or group of Purchasers) shall be required and (z) any change to the Purchase Price shall require the consent of each Purchaser.</w:t>
      </w:r>
    </w:p>
    <w:p>
      <w:pPr>
        <w:spacing w:after="0" w:line="14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9.02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consents, and other communications under this Agreement shall be in writing and shall be deemed</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delivered: (a) when delivered, if delivered personally, (b) four Business Days after being sent by registered or certified mail, return receipt requested,</w:t>
      </w:r>
    </w:p>
    <w:p>
      <w:pPr>
        <w:spacing w:after="0" w:line="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postage prepaid, (c) one Business Day after being sent via a reputable nationwide overnight courier service guaranteeing next Business Day delivery, or</w:t>
      </w:r>
    </w:p>
    <w:p>
      <w:pPr>
        <w:spacing w:after="0" w:line="17" w:lineRule="exact"/>
        <w:rPr>
          <w:sz w:val="20"/>
          <w:szCs w:val="20"/>
          <w:color w:val="auto"/>
        </w:rPr>
      </w:pPr>
    </w:p>
    <w:p>
      <w:pPr>
        <w:ind w:left="1" w:right="80" w:hanging="1"/>
        <w:spacing w:after="0" w:line="253" w:lineRule="auto"/>
        <w:tabs>
          <w:tab w:leader="none" w:pos="22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receipt is acknowledged, in the case of email, in each case to the intended recipient as set forth below, with respect to the Company, and to the addresses set forth on the Schedule of Purchasers with respect to the Purchasers.</w:t>
      </w:r>
    </w:p>
    <w:p>
      <w:pPr>
        <w:spacing w:after="0" w:line="68"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321 Arsenal Street, Suite 101</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Watertown, MA 02472</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Attention: Rahul Khara, General Counsel</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Email: *****@*****.com</w:t>
      </w:r>
    </w:p>
    <w:p>
      <w:pPr>
        <w:spacing w:after="0" w:line="83"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22"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100 Northern Ave.</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Boston, MA 02110</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Attention: William D. Collins</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 xml:space="preserve">or at such other address as the Company or each Purchaser may specify by written notice to the other parties hereto in accordance with this </w:t>
      </w:r>
      <w:r>
        <w:rPr>
          <w:rFonts w:ascii="Times New Roman" w:cs="Times New Roman" w:eastAsia="Times New Roman" w:hAnsi="Times New Roman"/>
          <w:sz w:val="15"/>
          <w:szCs w:val="15"/>
          <w:u w:val="single" w:color="auto"/>
          <w:color w:val="auto"/>
        </w:rPr>
        <w:t>Section 9.02</w:t>
      </w:r>
      <w:r>
        <w:rPr>
          <w:rFonts w:ascii="Times New Roman" w:cs="Times New Roman" w:eastAsia="Times New Roman" w:hAnsi="Times New Roman"/>
          <w:sz w:val="15"/>
          <w:szCs w:val="15"/>
          <w:color w:val="auto"/>
        </w:rPr>
        <w:t>.</w:t>
      </w:r>
    </w:p>
    <w:p>
      <w:pPr>
        <w:spacing w:after="0" w:line="206" w:lineRule="exact"/>
        <w:rPr>
          <w:sz w:val="20"/>
          <w:szCs w:val="20"/>
          <w:color w:val="auto"/>
        </w:rPr>
      </w:pPr>
    </w:p>
    <w:p>
      <w:pPr>
        <w:jc w:val="both"/>
        <w:ind w:left="1" w:right="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9.03 </w:t>
      </w: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None of the rights, powers or remedies conferred upon the Purchasers on the one hand or the Company on the other hand shall be mutually exclusive, and each such right, power or remedy shall be cumulative and in addition to every other right, power or remedy, whether conferred by this Agreement or now or hereafter available at law, in equity, by statute or otherwise.</w:t>
      </w:r>
    </w:p>
    <w:p>
      <w:pPr>
        <w:spacing w:after="0" w:line="157" w:lineRule="exact"/>
        <w:rPr>
          <w:sz w:val="20"/>
          <w:szCs w:val="20"/>
          <w:color w:val="auto"/>
        </w:rPr>
      </w:pPr>
    </w:p>
    <w:p>
      <w:pPr>
        <w:ind w:left="1" w:firstLine="869"/>
        <w:spacing w:after="0" w:line="251" w:lineRule="auto"/>
        <w:rPr>
          <w:sz w:val="20"/>
          <w:szCs w:val="20"/>
          <w:color w:val="auto"/>
        </w:rPr>
      </w:pPr>
      <w:r>
        <w:rPr>
          <w:rFonts w:ascii="Times New Roman" w:cs="Times New Roman" w:eastAsia="Times New Roman" w:hAnsi="Times New Roman"/>
          <w:sz w:val="16"/>
          <w:szCs w:val="16"/>
          <w:color w:val="auto"/>
        </w:rPr>
        <w:t xml:space="preserve">9.04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All the terms and provisions of this Agreement shall be binding upon and inure to the benefit of and be enforceable by the respective parties hereto, the successors and permitted assigns of each Purchaser and the successors of the Company, whether so expressed or not. None of the Purchasers may assign its rights or obligations hereof without the prior written consent of the Company, except that a Purchaser may, without the prior consent of the Company, assign its rights to purchase the Securities hereunder to any of its affiliates or to any other investment funds or accounts managed or advised by the investment manager who acts on behalf of Purchaser (provided each such assignee agrees to be bound by the terms of this Agreement and makes the same representations and warranties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The Company may not assign its rights or obligations hereof without the consent of the Purchasers. This Agreement shall not inure to the benefit of or be enforceable by any other person.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1"/>
          </w:cols>
          <w:pgMar w:left="1119" w:top="249" w:right="1139" w:bottom="1440" w:gutter="0" w:footer="0" w:header="0"/>
        </w:sectPr>
      </w:pPr>
    </w:p>
    <w:bookmarkStart w:id="148" w:name="page149"/>
    <w:bookmarkEnd w:id="148"/>
    <w:p>
      <w:pPr>
        <w:ind w:right="14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9.05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the Sections and paragraphs of this Agreement have been inserted for convenience of reference only and do not constitute a part of this Agreement.</w:t>
      </w:r>
    </w:p>
    <w:p>
      <w:pPr>
        <w:spacing w:after="0" w:line="145" w:lineRule="exact"/>
        <w:rPr>
          <w:sz w:val="20"/>
          <w:szCs w:val="20"/>
          <w:color w:val="auto"/>
        </w:rPr>
      </w:pPr>
    </w:p>
    <w:p>
      <w:pPr>
        <w:ind w:firstLine="869"/>
        <w:spacing w:after="0" w:line="267" w:lineRule="auto"/>
        <w:rPr>
          <w:sz w:val="20"/>
          <w:szCs w:val="20"/>
          <w:color w:val="auto"/>
        </w:rPr>
      </w:pPr>
      <w:r>
        <w:rPr>
          <w:rFonts w:ascii="Times New Roman" w:cs="Times New Roman" w:eastAsia="Times New Roman" w:hAnsi="Times New Roman"/>
          <w:sz w:val="15"/>
          <w:szCs w:val="15"/>
          <w:color w:val="auto"/>
        </w:rPr>
        <w:t xml:space="preserve">9.06 </w:t>
      </w:r>
      <w:r>
        <w:rPr>
          <w:rFonts w:ascii="Times New Roman" w:cs="Times New Roman" w:eastAsia="Times New Roman" w:hAnsi="Times New Roman"/>
          <w:sz w:val="15"/>
          <w:szCs w:val="15"/>
          <w:u w:val="single" w:color="auto"/>
          <w:color w:val="auto"/>
        </w:rPr>
        <w:t>Governing Law; Jurisdiction</w:t>
      </w:r>
      <w:r>
        <w:rPr>
          <w:rFonts w:ascii="Times New Roman" w:cs="Times New Roman" w:eastAsia="Times New Roman" w:hAnsi="Times New Roman"/>
          <w:sz w:val="15"/>
          <w:szCs w:val="15"/>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9.06,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9.02 OF THIS AGREEMENT AND (F) IRREVOCABLY WAIVES THE RIGHT TO TRIAL BY JURY.</w:t>
      </w:r>
    </w:p>
    <w:p>
      <w:pPr>
        <w:spacing w:after="0" w:line="157" w:lineRule="exact"/>
        <w:rPr>
          <w:sz w:val="20"/>
          <w:szCs w:val="20"/>
          <w:color w:val="auto"/>
        </w:rPr>
      </w:pPr>
    </w:p>
    <w:p>
      <w:pPr>
        <w:ind w:right="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9.07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The representations and warranties of the Company and the Purchasers contained in </w:t>
      </w:r>
      <w:r>
        <w:rPr>
          <w:rFonts w:ascii="Times New Roman" w:cs="Times New Roman" w:eastAsia="Times New Roman" w:hAnsi="Times New Roman"/>
          <w:sz w:val="16"/>
          <w:szCs w:val="16"/>
          <w:u w:val="single" w:color="auto"/>
          <w:color w:val="auto"/>
        </w:rPr>
        <w:t>Sections 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 xml:space="preserve">, and the agreements and covenants set forth in </w:t>
      </w:r>
      <w:r>
        <w:rPr>
          <w:rFonts w:ascii="Times New Roman" w:cs="Times New Roman" w:eastAsia="Times New Roman" w:hAnsi="Times New Roman"/>
          <w:sz w:val="16"/>
          <w:szCs w:val="16"/>
          <w:u w:val="single" w:color="auto"/>
          <w:color w:val="auto"/>
        </w:rPr>
        <w:t>Sections 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xml:space="preserve"> shall survive the Closing in accordance with their respective terms. Each Purchaser shall be responsible only for its own representations, warranties, agreements and covenants hereunder.</w:t>
      </w:r>
    </w:p>
    <w:p>
      <w:pPr>
        <w:spacing w:after="0" w:line="157" w:lineRule="exact"/>
        <w:rPr>
          <w:sz w:val="20"/>
          <w:szCs w:val="20"/>
          <w:color w:val="auto"/>
        </w:rPr>
      </w:pPr>
    </w:p>
    <w:p>
      <w:pPr>
        <w:ind w:right="2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9.08 </w:t>
      </w:r>
      <w:r>
        <w:rPr>
          <w:rFonts w:ascii="Times New Roman" w:cs="Times New Roman" w:eastAsia="Times New Roman" w:hAnsi="Times New Roman"/>
          <w:sz w:val="16"/>
          <w:szCs w:val="16"/>
          <w:u w:val="single" w:color="auto"/>
          <w:color w:val="auto"/>
        </w:rPr>
        <w:t>Counterparts; Effectiveness</w:t>
      </w:r>
      <w:r>
        <w:rPr>
          <w:rFonts w:ascii="Times New Roman" w:cs="Times New Roman" w:eastAsia="Times New Roman" w:hAnsi="Times New Roman"/>
          <w:sz w:val="16"/>
          <w:szCs w:val="16"/>
          <w:color w:val="auto"/>
        </w:rPr>
        <w:t>. This Agreement may be executed in any number of counterparts and by different parties hereto in separate counterparts, with the same effect as if all parties had signed the same document. All such counterparts (including counterparts delivered by facsimile or other electronic format) shall be deemed an original, shall be construed together and shall constitute one and the same instrument. This Agreement shall become effective when each party hereto shall have received counterparts hereof signed by all of the other parties hereto.</w:t>
      </w:r>
    </w:p>
    <w:p>
      <w:pPr>
        <w:spacing w:after="0" w:line="16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9.09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Registration Rights Agreement, contains the entire agreement among the parties hereto with respect to the subject matter hereof and, except as set forth below, this agreement supersedes and replaces all other prior agreements, written or oral, among the parties hereto with respect to the subject matter hereof. Notwithstanding the foregoing or anything to the contrary in this Agreement, this Agreement shall not supersede any confidentiality or other non-disclosure agreements that may be in place between the Company and any Purchaser.</w:t>
      </w:r>
    </w:p>
    <w:p>
      <w:pPr>
        <w:spacing w:after="0" w:line="162"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shall be found by any court of competent jurisdiction to be invalid or unenforceable, the parties hereby waive such provision to the extent that it is found to be invalid or unenforceable. Such provision shall, to the maximum extent allowable by law, be modified by such court so that it becomes enforceable, and, as modified, shall be enforced as any other provision hereof, all the other provisions hereof continuing in full force and effect.</w:t>
      </w:r>
    </w:p>
    <w:p>
      <w:pPr>
        <w:spacing w:after="0" w:line="161" w:lineRule="exact"/>
        <w:rPr>
          <w:sz w:val="20"/>
          <w:szCs w:val="20"/>
          <w:color w:val="auto"/>
        </w:rPr>
      </w:pPr>
    </w:p>
    <w:p>
      <w:pPr>
        <w:ind w:right="160" w:firstLine="869"/>
        <w:spacing w:after="0" w:line="254" w:lineRule="auto"/>
        <w:rPr>
          <w:sz w:val="20"/>
          <w:szCs w:val="20"/>
          <w:color w:val="auto"/>
        </w:rPr>
      </w:pPr>
      <w:r>
        <w:rPr>
          <w:rFonts w:ascii="Times New Roman" w:cs="Times New Roman" w:eastAsia="Times New Roman" w:hAnsi="Times New Roman"/>
          <w:sz w:val="16"/>
          <w:szCs w:val="16"/>
          <w:color w:val="auto"/>
        </w:rPr>
        <w:t xml:space="preserve">9.11 </w:t>
      </w:r>
      <w:r>
        <w:rPr>
          <w:rFonts w:ascii="Times New Roman" w:cs="Times New Roman" w:eastAsia="Times New Roman" w:hAnsi="Times New Roman"/>
          <w:sz w:val="16"/>
          <w:szCs w:val="16"/>
          <w:u w:val="single" w:color="auto"/>
          <w:color w:val="auto"/>
        </w:rPr>
        <w:t>Independent Nature of Purchasers’ Obligations and Rights</w:t>
      </w:r>
      <w:r>
        <w:rPr>
          <w:rFonts w:ascii="Times New Roman" w:cs="Times New Roman" w:eastAsia="Times New Roman" w:hAnsi="Times New Roman"/>
          <w:sz w:val="16"/>
          <w:szCs w:val="16"/>
          <w:color w:val="auto"/>
        </w:rPr>
        <w:t>.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hereto or thereto, shall be deemed to constitute the Purchasers as, and the Company acknowledges that the Purchasers do not so constitute, a partnership, an association, a joint venture or any other kind of entity, or create a presumption that the Purchasers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40"/>
          </w:cols>
          <w:pgMar w:left="1120" w:top="253" w:right="1139" w:bottom="1440" w:gutter="0" w:footer="0" w:header="0"/>
        </w:sectPr>
      </w:pPr>
    </w:p>
    <w:bookmarkStart w:id="149" w:name="page150"/>
    <w:bookmarkEnd w:id="149"/>
    <w:p>
      <w:pPr>
        <w:ind w:left="1"/>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are in any way acting in concert or as a group, and the Company will not assert any such claim with respect to such obligations or the transactions contemplated by this Agreement and the Company acknowledges that the Purchasers are not acting in concert or as a group with respect to such obligations or the transactions contemplated by this Agreement. The Company acknowledges and each Purchaser confirms that it has independently participated in the negotiation of the transaction contemplated hereby with the advice of its own counsel and advisors.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for the convenience of the Company and not because it was required or requested to do so by any Purchaser.</w:t>
      </w:r>
    </w:p>
    <w:p>
      <w:pPr>
        <w:spacing w:after="0" w:line="167" w:lineRule="exact"/>
        <w:rPr>
          <w:sz w:val="20"/>
          <w:szCs w:val="20"/>
          <w:color w:val="auto"/>
        </w:rPr>
      </w:pPr>
    </w:p>
    <w:p>
      <w:pPr>
        <w:ind w:left="1" w:firstLine="869"/>
        <w:spacing w:after="0" w:line="268" w:lineRule="auto"/>
        <w:rPr>
          <w:sz w:val="20"/>
          <w:szCs w:val="20"/>
          <w:color w:val="auto"/>
        </w:rPr>
      </w:pPr>
      <w:r>
        <w:rPr>
          <w:rFonts w:ascii="Times New Roman" w:cs="Times New Roman" w:eastAsia="Times New Roman" w:hAnsi="Times New Roman"/>
          <w:sz w:val="15"/>
          <w:szCs w:val="15"/>
          <w:color w:val="auto"/>
        </w:rPr>
        <w:t xml:space="preserve">9.12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and be void and of no further force and effect, and all obligations of the parties hereunder shall terminate without any further liability on the part of any party in respect thereof, upon the earlier to occur of (a) such date and time that the Merger Agreement is terminated in accordance with its terms, (b) upon the mutual written agreement of the Company and the Purchaser, (c) if, on the Closing Date, any of the conditions of Closing set forth in Section 6 have not been satisfied as of the time required hereunder to be so satisfied or waived by the party entitled to grant such waiver and, as a result thereof, the transactions contemplated by this Agreement are not consummated, or</w:t>
      </w:r>
    </w:p>
    <w:p>
      <w:pPr>
        <w:ind w:left="1" w:right="80" w:hanging="1"/>
        <w:spacing w:after="0" w:line="248" w:lineRule="auto"/>
        <w:tabs>
          <w:tab w:leader="none" w:pos="224"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Closing has not occurred on or before the End Date (as such term is defined in the Merger Agreement), other than as a result of a Willful Breach of a Purchaser’s obligations hereunder;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herein shall not relieve any party to this Agreement of any liability for common law fraud or for any Willful Breach of any representation, warranty, covenant, obligation or other provision contained in this Agreement. “</w:t>
      </w:r>
      <w:r>
        <w:rPr>
          <w:rFonts w:ascii="Times New Roman" w:cs="Times New Roman" w:eastAsia="Times New Roman" w:hAnsi="Times New Roman"/>
          <w:sz w:val="16"/>
          <w:szCs w:val="16"/>
          <w:b w:val="1"/>
          <w:bCs w:val="1"/>
          <w:i w:val="1"/>
          <w:iCs w:val="1"/>
          <w:color w:val="auto"/>
        </w:rPr>
        <w:t>Willful Breach”</w:t>
      </w:r>
      <w:r>
        <w:rPr>
          <w:rFonts w:ascii="Times New Roman" w:cs="Times New Roman" w:eastAsia="Times New Roman" w:hAnsi="Times New Roman"/>
          <w:sz w:val="16"/>
          <w:szCs w:val="16"/>
          <w:color w:val="auto"/>
        </w:rPr>
        <w:t xml:space="preserve"> means a deliberate act or deliberate failure to act, taken with the actual knowledge that such act or failure to act would result in or constitute a material breach of this Agreement.</w:t>
      </w:r>
    </w:p>
    <w:p>
      <w:pPr>
        <w:spacing w:after="0" w:line="168" w:lineRule="exact"/>
        <w:rPr>
          <w:sz w:val="20"/>
          <w:szCs w:val="20"/>
          <w:color w:val="auto"/>
        </w:rPr>
      </w:pPr>
    </w:p>
    <w:p>
      <w:pPr>
        <w:ind w:left="1" w:right="2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9.13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This Agreement is intended for the benefit of the parties hereto and their respective successors and permitted assigns and is not for the benefit of, nor may any provision hereof be enforced by, any other Person.</w:t>
      </w:r>
    </w:p>
    <w:p>
      <w:pPr>
        <w:spacing w:after="0" w:line="1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541"/>
          </w:cols>
          <w:pgMar w:left="1119" w:top="253" w:right="1239"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parties hereto have caused this Subscription Agreement to be duly executed as of the Effective Date.</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5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parties hereto have caused this Subscription Agreement to be duly executed as of the Effective Date.</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53" w:right="1440"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Form of Registration Rights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96"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between Disc Medicine, Inc., a Delaware corporation, and each of the several purchasers signatory hereto (each such purchaser,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Purchasers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right="560" w:firstLine="869"/>
        <w:spacing w:after="0" w:line="261" w:lineRule="auto"/>
        <w:rPr>
          <w:sz w:val="20"/>
          <w:szCs w:val="20"/>
          <w:color w:val="auto"/>
        </w:rPr>
      </w:pPr>
      <w:r>
        <w:rPr>
          <w:rFonts w:ascii="Times New Roman" w:cs="Times New Roman" w:eastAsia="Times New Roman" w:hAnsi="Times New Roman"/>
          <w:sz w:val="16"/>
          <w:szCs w:val="16"/>
          <w:color w:val="auto"/>
        </w:rPr>
        <w:t>WHEREAS, the Company is party to that certain Agreement and Plan of Merger and Reorganization by and among the Company, Gemstone Merger Sub, Inc., Gemini Therapeutics, Inc.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dated as of August [•], 2022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the Company will become a wholly-owned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WHEREAS, following the Merger (as defined in the Merger Agreement), the Company will change its name to Disc Medicine Operations, Inc. and Gem will change its name to Disc Medicine, Inc. (“TopCo”);</w:t>
      </w:r>
    </w:p>
    <w:p>
      <w:pPr>
        <w:spacing w:after="0" w:line="145" w:lineRule="exact"/>
        <w:rPr>
          <w:sz w:val="20"/>
          <w:szCs w:val="20"/>
          <w:color w:val="auto"/>
        </w:rPr>
      </w:pPr>
    </w:p>
    <w:p>
      <w:pPr>
        <w:ind w:right="340" w:firstLine="869"/>
        <w:spacing w:after="0" w:line="261" w:lineRule="auto"/>
        <w:rPr>
          <w:sz w:val="20"/>
          <w:szCs w:val="20"/>
          <w:color w:val="auto"/>
        </w:rPr>
      </w:pPr>
      <w:r>
        <w:rPr>
          <w:rFonts w:ascii="Times New Roman" w:cs="Times New Roman" w:eastAsia="Times New Roman" w:hAnsi="Times New Roman"/>
          <w:sz w:val="16"/>
          <w:szCs w:val="16"/>
          <w:color w:val="auto"/>
        </w:rPr>
        <w:t>WHEREAS, the Company and the Purchasers are parties to a Subscription Agreement, dated as of the date hereof (the “</w:t>
      </w:r>
      <w:r>
        <w:rPr>
          <w:rFonts w:ascii="Times New Roman" w:cs="Times New Roman" w:eastAsia="Times New Roman" w:hAnsi="Times New Roman"/>
          <w:sz w:val="16"/>
          <w:szCs w:val="16"/>
          <w:u w:val="single" w:color="auto"/>
          <w:color w:val="auto"/>
        </w:rPr>
        <w:t>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pursuant to which the Purchasers, severally and not jointly, are purchasing shares of Common Stock of the Company (the “</w:t>
      </w:r>
      <w:r>
        <w:rPr>
          <w:rFonts w:ascii="Times New Roman" w:cs="Times New Roman" w:eastAsia="Times New Roman" w:hAnsi="Times New Roman"/>
          <w:sz w:val="16"/>
          <w:szCs w:val="16"/>
          <w:u w:val="single" w:color="auto"/>
          <w:color w:val="auto"/>
        </w:rPr>
        <w:t>Purchased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and</w:t>
      </w:r>
    </w:p>
    <w:p>
      <w:pPr>
        <w:spacing w:after="0" w:line="157" w:lineRule="exact"/>
        <w:rPr>
          <w:sz w:val="20"/>
          <w:szCs w:val="20"/>
          <w:color w:val="auto"/>
        </w:rPr>
      </w:pPr>
    </w:p>
    <w:p>
      <w:pPr>
        <w:ind w:right="20" w:firstLine="869"/>
        <w:spacing w:after="0" w:line="276" w:lineRule="auto"/>
        <w:rPr>
          <w:sz w:val="20"/>
          <w:szCs w:val="20"/>
          <w:color w:val="auto"/>
        </w:rPr>
      </w:pPr>
      <w:r>
        <w:rPr>
          <w:rFonts w:ascii="Times New Roman" w:cs="Times New Roman" w:eastAsia="Times New Roman" w:hAnsi="Times New Roman"/>
          <w:sz w:val="16"/>
          <w:szCs w:val="16"/>
          <w:color w:val="auto"/>
        </w:rPr>
        <w:t>WHEREAS, in connection with the consummation of the transactions contemplated by the Purchase Agreement, and pursuant to the terms of the Purchase Agreement, the parties desire to enter into this Agreement in order to grant certain rights to the Purchasers as set forth below.</w:t>
      </w:r>
    </w:p>
    <w:p>
      <w:pPr>
        <w:spacing w:after="0" w:line="145" w:lineRule="exact"/>
        <w:rPr>
          <w:sz w:val="20"/>
          <w:szCs w:val="20"/>
          <w:color w:val="auto"/>
        </w:rPr>
      </w:pPr>
    </w:p>
    <w:p>
      <w:pPr>
        <w:ind w:right="140" w:firstLine="869"/>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covenants and promises set forth herein, and for other good and valuable consideration, the receipt and sufficiency of which are hereby acknowledged, the parties hereby agree as follows:</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Company and each Purchaser hereby agree as follows:</w:t>
      </w:r>
    </w:p>
    <w:p>
      <w:pPr>
        <w:spacing w:after="0" w:line="194" w:lineRule="exact"/>
        <w:rPr>
          <w:sz w:val="20"/>
          <w:szCs w:val="20"/>
          <w:color w:val="auto"/>
        </w:rPr>
      </w:pPr>
    </w:p>
    <w:p>
      <w:pPr>
        <w:ind w:left="540" w:hanging="155"/>
        <w:spacing w:after="0"/>
        <w:tabs>
          <w:tab w:leader="none" w:pos="5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0" w:firstLine="869"/>
        <w:spacing w:after="0" w:line="276" w:lineRule="auto"/>
        <w:rPr>
          <w:sz w:val="20"/>
          <w:szCs w:val="20"/>
          <w:color w:val="auto"/>
        </w:rPr>
      </w:pPr>
      <w:r>
        <w:rPr>
          <w:rFonts w:ascii="Times New Roman" w:cs="Times New Roman" w:eastAsia="Times New Roman" w:hAnsi="Times New Roman"/>
          <w:sz w:val="16"/>
          <w:szCs w:val="16"/>
          <w:color w:val="auto"/>
        </w:rPr>
        <w:t>Capitalized terms used and not otherwise defined herein that are defined in the Purchase Agreement shall have the meanings given such terms in the Purchase Agreement.</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As used in this Agreement, the following terms shall have the following meanings:</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Advice</w:t>
      </w:r>
      <w:r>
        <w:rPr>
          <w:rFonts w:ascii="Times New Roman" w:cs="Times New Roman" w:eastAsia="Times New Roman" w:hAnsi="Times New Roman"/>
          <w:sz w:val="16"/>
          <w:szCs w:val="16"/>
          <w:color w:val="auto"/>
        </w:rPr>
        <w:t>” shall have the meaning set forth in Section 6(c).</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means Disc Medicine, Inc. for all periods prior to closing of the Merger and</w:t>
      </w:r>
    </w:p>
    <w:p>
      <w:pPr>
        <w:spacing w:after="0" w:line="1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TopCo for all periods after completion of the Merger.</w:t>
      </w:r>
    </w:p>
    <w:p>
      <w:pPr>
        <w:spacing w:after="0" w:line="100" w:lineRule="exact"/>
        <w:rPr>
          <w:sz w:val="20"/>
          <w:szCs w:val="20"/>
          <w:color w:val="auto"/>
        </w:rPr>
      </w:pPr>
    </w:p>
    <w:p>
      <w:pPr>
        <w:ind w:left="860" w:right="40" w:firstLine="351"/>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Date</w:t>
      </w:r>
      <w:r>
        <w:rPr>
          <w:rFonts w:ascii="Times New Roman" w:cs="Times New Roman" w:eastAsia="Times New Roman" w:hAnsi="Times New Roman"/>
          <w:sz w:val="16"/>
          <w:szCs w:val="16"/>
          <w:color w:val="auto"/>
        </w:rPr>
        <w:t xml:space="preserve">” means, with respect to the Initial Registration Statement required to be filed hereunder, the 90th calendar day following the date hereof (or, in the event of a “full review” by the Commission, the 120th calendar day following the date hereof) and with respect to any additional Registration Statements that may be required pursuant to Sections 2(b) and 2(c) or Section 3(c), the 60th calendar day following the date on which an additional Registration Statement is required to be filed hereunder (or, in the event of a “full review” by the Commission, the 90th calendar day following the date thereof);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in the event the Company is notified by the Commission (orally or in writing)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ectPr>
          <w:pgSz w:w="11900" w:h="16838" w:orient="portrait"/>
          <w:cols w:equalWidth="0" w:num="1">
            <w:col w:w="9640"/>
          </w:cols>
          <w:pgMar w:left="1120" w:top="251" w:right="1139" w:bottom="1440" w:gutter="0" w:footer="0" w:header="0"/>
        </w:sectPr>
      </w:pPr>
    </w:p>
    <w:bookmarkStart w:id="153" w:name="page154"/>
    <w:bookmarkEnd w:id="153"/>
    <w:p>
      <w:pPr>
        <w:ind w:left="9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shall have the meaning set forth in Section 2(a).</w:t>
      </w:r>
    </w:p>
    <w:p>
      <w:pPr>
        <w:spacing w:after="0" w:line="100" w:lineRule="exact"/>
        <w:rPr>
          <w:sz w:val="20"/>
          <w:szCs w:val="20"/>
          <w:color w:val="auto"/>
        </w:rPr>
      </w:pPr>
    </w:p>
    <w:p>
      <w:pPr>
        <w:ind w:left="540" w:right="80" w:firstLine="351"/>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Filing Date</w:t>
      </w:r>
      <w:r>
        <w:rPr>
          <w:rFonts w:ascii="Times New Roman" w:cs="Times New Roman" w:eastAsia="Times New Roman" w:hAnsi="Times New Roman"/>
          <w:sz w:val="16"/>
          <w:szCs w:val="16"/>
          <w:color w:val="auto"/>
        </w:rPr>
        <w:t>” means, with respect to the Initial Registration Statement required hereunder, the 45th calendar day following the date hereof and, with respect to any additional Registration Statements that may be required pursuant to Sections 2(b) and 2(c) or Section 3(c), the earliest practical date on which the Company is permitted by SEC Guidance to file such additional Registration Statement related to the Registrable Securities.</w:t>
      </w:r>
    </w:p>
    <w:p>
      <w:pPr>
        <w:spacing w:after="0" w:line="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Holders</w:t>
      </w:r>
      <w:r>
        <w:rPr>
          <w:rFonts w:ascii="Times New Roman" w:cs="Times New Roman" w:eastAsia="Times New Roman" w:hAnsi="Times New Roman"/>
          <w:sz w:val="16"/>
          <w:szCs w:val="16"/>
          <w:color w:val="auto"/>
        </w:rPr>
        <w:t>” means the holder or holders, as the case may be, from time to time of Registrable Securities.</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shall have the meaning set forth in Section 5(c).</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shall have the meaning set forth in Section 5(c).</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Registration Statement</w:t>
      </w:r>
      <w:r>
        <w:rPr>
          <w:rFonts w:ascii="Times New Roman" w:cs="Times New Roman" w:eastAsia="Times New Roman" w:hAnsi="Times New Roman"/>
          <w:sz w:val="16"/>
          <w:szCs w:val="16"/>
          <w:color w:val="auto"/>
        </w:rPr>
        <w:t>” means the initial Registration Statement filed pursuant to this Agreement.</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shall have the meaning set forth in Section 5(a).</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 of Distribution</w:t>
      </w:r>
      <w:r>
        <w:rPr>
          <w:rFonts w:ascii="Times New Roman" w:cs="Times New Roman" w:eastAsia="Times New Roman" w:hAnsi="Times New Roman"/>
          <w:sz w:val="16"/>
          <w:szCs w:val="16"/>
          <w:color w:val="auto"/>
        </w:rPr>
        <w:t>” shall have the meaning set forth in Section 2(a).</w:t>
      </w:r>
    </w:p>
    <w:p>
      <w:pPr>
        <w:spacing w:after="0" w:line="100" w:lineRule="exact"/>
        <w:rPr>
          <w:sz w:val="20"/>
          <w:szCs w:val="20"/>
          <w:color w:val="auto"/>
        </w:rPr>
      </w:pPr>
    </w:p>
    <w:p>
      <w:pPr>
        <w:ind w:left="540" w:firstLine="351"/>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1" w:lineRule="exact"/>
        <w:rPr>
          <w:sz w:val="20"/>
          <w:szCs w:val="20"/>
          <w:color w:val="auto"/>
        </w:rPr>
      </w:pPr>
    </w:p>
    <w:p>
      <w:pPr>
        <w:ind w:left="540" w:firstLine="351"/>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as of any date of determination, (a) all shares of Gem common stock issued to the Purchasers at the closing of the Merger in respect of the Purchased Shares (the “</w:t>
      </w:r>
      <w:r>
        <w:rPr>
          <w:rFonts w:ascii="Times New Roman" w:cs="Times New Roman" w:eastAsia="Times New Roman" w:hAnsi="Times New Roman"/>
          <w:sz w:val="16"/>
          <w:szCs w:val="16"/>
          <w:u w:val="single" w:color="auto"/>
          <w:color w:val="auto"/>
        </w:rPr>
        <w:t>Purchase Agreement Shares</w:t>
      </w:r>
      <w:r>
        <w:rPr>
          <w:rFonts w:ascii="Times New Roman" w:cs="Times New Roman" w:eastAsia="Times New Roman" w:hAnsi="Times New Roman"/>
          <w:sz w:val="16"/>
          <w:szCs w:val="16"/>
          <w:color w:val="auto"/>
        </w:rPr>
        <w:t xml:space="preserve">”), (b) all shares of Gem issued at the closing of the Merger to the Purchasers in respect of all other shares of capital stock of the Company held by Purchaser as of immediately prior to the Effective Time (as defined in the Merger Agreement), and (c) all shares of Gem held by Purchaser as of immediately prior to the Effective Time, (d) any securities issued or then issuable upon any stock split, dividend or other distribution, recapitalization or similar event with respect to the foregoing;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any such Registrable Securities shall cease to be Registrable Securities (and the Company shall not be required to maintain the effectiveness of any, or file another, Registration Statement hereunder with respect thereto) upon the earliest to occur of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Company to be in compliance with the current public information requirement under Rule 144, as determined by counsel to the Company pursuant to a written opinion letter to such effect, addressed, delivered and acceptable to the Company’s transfer agent and the affected Holders, and (iv) five years after the date of this Agreement.</w:t>
      </w:r>
    </w:p>
    <w:p>
      <w:pPr>
        <w:sectPr>
          <w:pgSz w:w="11900" w:h="16838" w:orient="portrait"/>
          <w:cols w:equalWidth="0" w:num="1">
            <w:col w:w="9320"/>
          </w:cols>
          <w:pgMar w:left="1440" w:top="253" w:right="1139" w:bottom="1440" w:gutter="0" w:footer="0" w:header="0"/>
        </w:sectPr>
      </w:pPr>
    </w:p>
    <w:bookmarkStart w:id="154" w:name="page155"/>
    <w:bookmarkEnd w:id="154"/>
    <w:p>
      <w:pPr>
        <w:ind w:left="540" w:right="40" w:firstLine="351"/>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67" w:lineRule="exact"/>
        <w:rPr>
          <w:sz w:val="20"/>
          <w:szCs w:val="20"/>
          <w:color w:val="auto"/>
        </w:rPr>
      </w:pPr>
    </w:p>
    <w:p>
      <w:pPr>
        <w:ind w:left="540" w:firstLine="35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415</w:t>
      </w:r>
      <w:r>
        <w:rPr>
          <w:rFonts w:ascii="Times New Roman" w:cs="Times New Roman" w:eastAsia="Times New Roman" w:hAnsi="Times New Roman"/>
          <w:sz w:val="16"/>
          <w:szCs w:val="16"/>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2" w:lineRule="exact"/>
        <w:rPr>
          <w:sz w:val="20"/>
          <w:szCs w:val="20"/>
          <w:color w:val="auto"/>
        </w:rPr>
      </w:pPr>
    </w:p>
    <w:p>
      <w:pPr>
        <w:ind w:left="540" w:firstLine="35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424</w:t>
      </w:r>
      <w:r>
        <w:rPr>
          <w:rFonts w:ascii="Times New Roman" w:cs="Times New Roman" w:eastAsia="Times New Roman" w:hAnsi="Times New Roman"/>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2" w:lineRule="exact"/>
        <w:rPr>
          <w:sz w:val="20"/>
          <w:szCs w:val="20"/>
          <w:color w:val="auto"/>
        </w:rPr>
      </w:pPr>
    </w:p>
    <w:p>
      <w:pPr>
        <w:jc w:val="both"/>
        <w:ind w:left="540" w:right="80" w:firstLine="35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Guidance</w:t>
      </w:r>
      <w:r>
        <w:rPr>
          <w:rFonts w:ascii="Times New Roman" w:cs="Times New Roman" w:eastAsia="Times New Roman" w:hAnsi="Times New Roman"/>
          <w:sz w:val="16"/>
          <w:szCs w:val="16"/>
          <w:color w:val="auto"/>
        </w:rPr>
        <w:t>” means (i) any publicly-available written or oral guidance of the Commission staff, or any comments, requirements or requests of the Commission staff; provided, that any such oral guidance, comments, requirements or requests are reduced to writing by the Commission and (ii) the Securities Act.</w:t>
      </w:r>
    </w:p>
    <w:p>
      <w:pPr>
        <w:spacing w:after="0" w:line="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Selling Stockholder Questionnaire</w:t>
      </w:r>
      <w:r>
        <w:rPr>
          <w:rFonts w:ascii="Times New Roman" w:cs="Times New Roman" w:eastAsia="Times New Roman" w:hAnsi="Times New Roman"/>
          <w:sz w:val="16"/>
          <w:szCs w:val="16"/>
          <w:color w:val="auto"/>
        </w:rPr>
        <w:t>” shall have the meaning set forth in Section 3(a).</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any day on which the Gem Common Stock is traded on a National Exchange.</w:t>
      </w:r>
    </w:p>
    <w:p>
      <w:pPr>
        <w:spacing w:after="0" w:line="194" w:lineRule="exact"/>
        <w:rPr>
          <w:sz w:val="20"/>
          <w:szCs w:val="20"/>
          <w:color w:val="auto"/>
        </w:rPr>
      </w:pPr>
    </w:p>
    <w:p>
      <w:pPr>
        <w:ind w:left="220" w:hanging="155"/>
        <w:spacing w:after="0"/>
        <w:tabs>
          <w:tab w:leader="none" w:pos="2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540" w:firstLine="358"/>
        <w:spacing w:after="0" w:line="265" w:lineRule="auto"/>
        <w:tabs>
          <w:tab w:leader="none" w:pos="1105" w:val="left"/>
        </w:tabs>
        <w:numPr>
          <w:ilvl w:val="2"/>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each Filing Date, the Company shall (or shall cause TopCo to)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85% in interest of the Holders) disclosure substantially in the form of the “</w:t>
      </w:r>
      <w:r>
        <w:rPr>
          <w:rFonts w:ascii="Times New Roman" w:cs="Times New Roman" w:eastAsia="Times New Roman" w:hAnsi="Times New Roman"/>
          <w:sz w:val="15"/>
          <w:szCs w:val="15"/>
          <w:u w:val="single" w:color="auto"/>
          <w:color w:val="auto"/>
        </w:rPr>
        <w:t>Plan of Distribution</w:t>
      </w:r>
      <w:r>
        <w:rPr>
          <w:rFonts w:ascii="Times New Roman" w:cs="Times New Roman" w:eastAsia="Times New Roman" w:hAnsi="Times New Roman"/>
          <w:sz w:val="15"/>
          <w:szCs w:val="15"/>
          <w:color w:val="auto"/>
        </w:rPr>
        <w:t xml:space="preserve">” attached hereto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and substantially in the form of the “</w:t>
      </w:r>
      <w:r>
        <w:rPr>
          <w:rFonts w:ascii="Times New Roman" w:cs="Times New Roman" w:eastAsia="Times New Roman" w:hAnsi="Times New Roman"/>
          <w:sz w:val="15"/>
          <w:szCs w:val="15"/>
          <w:u w:val="single" w:color="auto"/>
          <w:color w:val="auto"/>
        </w:rPr>
        <w:t>Selling Stockholder</w:t>
      </w:r>
      <w:r>
        <w:rPr>
          <w:rFonts w:ascii="Times New Roman" w:cs="Times New Roman" w:eastAsia="Times New Roman" w:hAnsi="Times New Roman"/>
          <w:sz w:val="15"/>
          <w:szCs w:val="15"/>
          <w:color w:val="auto"/>
        </w:rPr>
        <w:t xml:space="preserve">” section attached hereto as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earlier of (a) the date that all Registrable Securities covered by such Registration Statement</w:t>
      </w:r>
    </w:p>
    <w:p>
      <w:pPr>
        <w:spacing w:after="0" w:line="3" w:lineRule="exact"/>
        <w:rPr>
          <w:rFonts w:ascii="Times New Roman" w:cs="Times New Roman" w:eastAsia="Times New Roman" w:hAnsi="Times New Roman"/>
          <w:sz w:val="15"/>
          <w:szCs w:val="15"/>
          <w:color w:val="auto"/>
        </w:rPr>
      </w:pPr>
    </w:p>
    <w:p>
      <w:pPr>
        <w:ind w:left="540" w:right="40" w:firstLine="7"/>
        <w:spacing w:after="0" w:line="249" w:lineRule="auto"/>
        <w:tabs>
          <w:tab w:leader="none" w:pos="728"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Company’s transfer agent</w:t>
      </w:r>
    </w:p>
    <w:p>
      <w:pPr>
        <w:sectPr>
          <w:pgSz w:w="11900" w:h="16838" w:orient="portrait"/>
          <w:cols w:equalWidth="0" w:num="1">
            <w:col w:w="9300"/>
          </w:cols>
          <w:pgMar w:left="1440" w:top="253" w:right="1159" w:bottom="1440" w:gutter="0" w:footer="0" w:header="0"/>
        </w:sectPr>
      </w:pPr>
    </w:p>
    <w:bookmarkStart w:id="155" w:name="page156"/>
    <w:bookmarkEnd w:id="155"/>
    <w:p>
      <w:pPr>
        <w:ind w:left="540" w:right="8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and the affected Holders and (b) five years after the date of this Agreement (the “</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The Company shall telephonically request effectiveness of a Registration Statement as of 5:00 p.m. (New York City time) on a Trading 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71" w:lineRule="exact"/>
        <w:rPr>
          <w:sz w:val="20"/>
          <w:szCs w:val="20"/>
          <w:color w:val="auto"/>
        </w:rPr>
      </w:pPr>
    </w:p>
    <w:p>
      <w:pPr>
        <w:ind w:left="540" w:firstLine="358"/>
        <w:spacing w:after="0" w:line="250" w:lineRule="auto"/>
        <w:tabs>
          <w:tab w:leader="none" w:pos="1114"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with respect to filing on Form S-3 or other appropriate form;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prior to filing such amendment, the Company shall be obligated to use commercially reasonable efforts to advocate with the Commission for the registration of all of the Registrable Securities in accordance with the SEC Guidance, including without limitation, Compliance and Disclosure Interpretation 612.09.</w:t>
      </w:r>
    </w:p>
    <w:p>
      <w:pPr>
        <w:spacing w:after="0" w:line="72" w:lineRule="exact"/>
        <w:rPr>
          <w:rFonts w:ascii="Times New Roman" w:cs="Times New Roman" w:eastAsia="Times New Roman" w:hAnsi="Times New Roman"/>
          <w:sz w:val="16"/>
          <w:szCs w:val="16"/>
          <w:color w:val="auto"/>
        </w:rPr>
      </w:pPr>
    </w:p>
    <w:p>
      <w:pPr>
        <w:ind w:left="540" w:right="80" w:firstLine="358"/>
        <w:spacing w:after="0" w:line="254" w:lineRule="auto"/>
        <w:tabs>
          <w:tab w:leader="none" w:pos="1105"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reasonable efforts to advocate with the Commission for the registration of all or a greater portion of Registrable Securities), unless otherwise directed in writing by a Holder as to its Registrable Securities, the total number of Registrable Securities to be registered on such Registration Statement will be reduced as follows:</w:t>
      </w:r>
    </w:p>
    <w:p>
      <w:pPr>
        <w:spacing w:after="0" w:line="78" w:lineRule="exact"/>
        <w:rPr>
          <w:rFonts w:ascii="Times New Roman" w:cs="Times New Roman" w:eastAsia="Times New Roman" w:hAnsi="Times New Roman"/>
          <w:sz w:val="16"/>
          <w:szCs w:val="16"/>
          <w:color w:val="auto"/>
        </w:rPr>
      </w:pPr>
    </w:p>
    <w:p>
      <w:pPr>
        <w:ind w:left="1100" w:hanging="369"/>
        <w:spacing w:after="0"/>
        <w:tabs>
          <w:tab w:leader="none" w:pos="1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the Company shall reduce or eliminate any securities to be included other than Registrable Securities;</w:t>
      </w:r>
    </w:p>
    <w:p>
      <w:pPr>
        <w:spacing w:after="0" w:line="111" w:lineRule="exact"/>
        <w:rPr>
          <w:rFonts w:ascii="Times New Roman" w:cs="Times New Roman" w:eastAsia="Times New Roman" w:hAnsi="Times New Roman"/>
          <w:sz w:val="16"/>
          <w:szCs w:val="16"/>
          <w:color w:val="auto"/>
        </w:rPr>
      </w:pPr>
    </w:p>
    <w:p>
      <w:pPr>
        <w:ind w:left="1100" w:right="180" w:hanging="369"/>
        <w:spacing w:after="0" w:line="261" w:lineRule="auto"/>
        <w:tabs>
          <w:tab w:leader="none" w:pos="1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the Company shall reduce Registrable Securities represented by Shares other than the Purchase Agreement Shares (applied, in the case that some of such Shares may be registered, to the Holders on a pro rata basis based on the total number of such unregistered Shares held by such Holders); and</w:t>
      </w:r>
    </w:p>
    <w:p>
      <w:pPr>
        <w:spacing w:after="0" w:line="73" w:lineRule="exact"/>
        <w:rPr>
          <w:rFonts w:ascii="Times New Roman" w:cs="Times New Roman" w:eastAsia="Times New Roman" w:hAnsi="Times New Roman"/>
          <w:sz w:val="16"/>
          <w:szCs w:val="16"/>
          <w:color w:val="auto"/>
        </w:rPr>
      </w:pPr>
    </w:p>
    <w:p>
      <w:pPr>
        <w:jc w:val="both"/>
        <w:ind w:left="1100" w:right="100" w:hanging="369"/>
        <w:spacing w:after="0" w:line="261" w:lineRule="auto"/>
        <w:tabs>
          <w:tab w:leader="none" w:pos="1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the Company shall reduce Registrable Securities represented by the Purchase Agreement Shares (applied, in the case that some Purchase Agreement Shares may be registered, to the Holders on a pro rata basis based on the total number of unregistered Purchase Agreement Shares held by such Holders)</w:t>
      </w:r>
    </w:p>
    <w:p>
      <w:pPr>
        <w:spacing w:after="0" w:line="62" w:lineRule="exact"/>
        <w:rPr>
          <w:sz w:val="20"/>
          <w:szCs w:val="20"/>
          <w:color w:val="auto"/>
        </w:rPr>
      </w:pPr>
    </w:p>
    <w:p>
      <w:pPr>
        <w:ind w:left="540" w:right="180"/>
        <w:spacing w:after="0" w:line="252" w:lineRule="auto"/>
        <w:rPr>
          <w:sz w:val="20"/>
          <w:szCs w:val="20"/>
          <w:color w:val="auto"/>
        </w:rPr>
      </w:pPr>
      <w:r>
        <w:rPr>
          <w:rFonts w:ascii="Times New Roman" w:cs="Times New Roman" w:eastAsia="Times New Roman" w:hAnsi="Times New Roman"/>
          <w:sz w:val="16"/>
          <w:szCs w:val="16"/>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71" w:lineRule="exact"/>
        <w:rPr>
          <w:sz w:val="20"/>
          <w:szCs w:val="20"/>
          <w:color w:val="auto"/>
        </w:rPr>
      </w:pPr>
    </w:p>
    <w:p>
      <w:pPr>
        <w:ind w:left="540" w:firstLine="358"/>
        <w:spacing w:after="0" w:line="276" w:lineRule="auto"/>
        <w:tabs>
          <w:tab w:leader="none" w:pos="111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Form S-3 is not available for the registration of the resale of Registrable Securities hereunder, the Company shall (i) register the resale of the Registrable Securities on another</w:t>
      </w:r>
    </w:p>
    <w:p>
      <w:pPr>
        <w:sectPr>
          <w:pgSz w:w="11900" w:h="16838" w:orient="portrait"/>
          <w:cols w:equalWidth="0" w:num="1">
            <w:col w:w="9320"/>
          </w:cols>
          <w:pgMar w:left="1440" w:top="253" w:right="1139" w:bottom="1440" w:gutter="0" w:footer="0" w:header="0"/>
        </w:sectPr>
      </w:pPr>
    </w:p>
    <w:bookmarkStart w:id="156" w:name="page157"/>
    <w:bookmarkEnd w:id="156"/>
    <w:p>
      <w:pPr>
        <w:jc w:val="both"/>
        <w:ind w:left="540"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62" w:lineRule="exact"/>
        <w:rPr>
          <w:sz w:val="20"/>
          <w:szCs w:val="20"/>
          <w:color w:val="auto"/>
        </w:rPr>
      </w:pPr>
    </w:p>
    <w:p>
      <w:pPr>
        <w:ind w:left="540" w:right="240" w:firstLine="358"/>
        <w:spacing w:after="0" w:line="276" w:lineRule="auto"/>
        <w:tabs>
          <w:tab w:leader="none" w:pos="1105"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in no event shall the Company be permitted to name any Holder or affiliate of a Holder as an underwriter in any Registration Statement without the prior written consent of such Holder.</w:t>
      </w:r>
    </w:p>
    <w:p>
      <w:pPr>
        <w:spacing w:after="0" w:line="144" w:lineRule="exact"/>
        <w:rPr>
          <w:rFonts w:ascii="Times New Roman" w:cs="Times New Roman" w:eastAsia="Times New Roman" w:hAnsi="Times New Roman"/>
          <w:sz w:val="16"/>
          <w:szCs w:val="16"/>
          <w:color w:val="auto"/>
        </w:rPr>
      </w:pPr>
    </w:p>
    <w:p>
      <w:pPr>
        <w:ind w:left="220" w:hanging="155"/>
        <w:spacing w:after="0"/>
        <w:tabs>
          <w:tab w:leader="none" w:pos="2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Procedures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 connection with the Company’s registration obligations hereunder, the Company shall:</w:t>
      </w:r>
    </w:p>
    <w:p>
      <w:pPr>
        <w:spacing w:after="0" w:line="100" w:lineRule="exact"/>
        <w:rPr>
          <w:sz w:val="20"/>
          <w:szCs w:val="20"/>
          <w:color w:val="auto"/>
        </w:rPr>
      </w:pPr>
    </w:p>
    <w:p>
      <w:pPr>
        <w:ind w:left="540" w:firstLine="358"/>
        <w:spacing w:after="0" w:line="248" w:lineRule="auto"/>
        <w:tabs>
          <w:tab w:leader="none" w:pos="1105"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Required Holders (as defined below)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Selling Stockholder Questionnaire</w:t>
      </w:r>
      <w:r>
        <w:rPr>
          <w:rFonts w:ascii="Times New Roman" w:cs="Times New Roman" w:eastAsia="Times New Roman" w:hAnsi="Times New Roman"/>
          <w:sz w:val="16"/>
          <w:szCs w:val="16"/>
          <w:color w:val="auto"/>
        </w:rPr>
        <w:t>”) on a date that is not less than two (2) Trading Days prior to the Filing Date or by the end of the fourth (4th) Trading Day following the date on which such Holder receives draft materials in accordance with this Section. The Company shall not be required to include any Registrable Securities in the Registration Statement for any Holder that has not provided such Selling Stockholder Questionnaire.</w:t>
      </w:r>
    </w:p>
    <w:p>
      <w:pPr>
        <w:spacing w:after="0" w:line="81" w:lineRule="exact"/>
        <w:rPr>
          <w:rFonts w:ascii="Times New Roman" w:cs="Times New Roman" w:eastAsia="Times New Roman" w:hAnsi="Times New Roman"/>
          <w:sz w:val="16"/>
          <w:szCs w:val="16"/>
          <w:color w:val="auto"/>
        </w:rPr>
      </w:pPr>
    </w:p>
    <w:p>
      <w:pPr>
        <w:ind w:left="540" w:right="20" w:firstLine="358"/>
        <w:spacing w:after="0" w:line="249" w:lineRule="auto"/>
        <w:tabs>
          <w:tab w:leader="none" w:pos="111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that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ectPr>
          <w:pgSz w:w="11900" w:h="16838" w:orient="portrait"/>
          <w:cols w:equalWidth="0" w:num="1">
            <w:col w:w="9320"/>
          </w:cols>
          <w:pgMar w:left="1440" w:top="253" w:right="1139" w:bottom="1440" w:gutter="0" w:footer="0" w:header="0"/>
        </w:sectPr>
      </w:pPr>
    </w:p>
    <w:bookmarkStart w:id="157" w:name="page158"/>
    <w:bookmarkEnd w:id="157"/>
    <w:p>
      <w:pPr>
        <w:ind w:left="540" w:right="40" w:firstLine="358"/>
        <w:spacing w:after="0" w:line="256" w:lineRule="auto"/>
        <w:tabs>
          <w:tab w:leader="none" w:pos="1105"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during the Effectiveness Period, the number of Registrable Securities at any time exceeds 100% of the number of shares of Common Stock then registered in a Registration Statement, then the Company shall, subject to Sections 2(b) and 2(c), if applicable, file as soon as reasonably practicable, but in any case prior to the applicable Filing Date, an additional Registration Statement covering the resale by the Holders of not less than the number of such Registrable Securities.</w:t>
      </w:r>
    </w:p>
    <w:p>
      <w:pPr>
        <w:spacing w:after="0" w:line="66" w:lineRule="exact"/>
        <w:rPr>
          <w:rFonts w:ascii="Times New Roman" w:cs="Times New Roman" w:eastAsia="Times New Roman" w:hAnsi="Times New Roman"/>
          <w:sz w:val="16"/>
          <w:szCs w:val="16"/>
          <w:color w:val="auto"/>
        </w:rPr>
      </w:pPr>
    </w:p>
    <w:p>
      <w:pPr>
        <w:ind w:left="540" w:firstLine="358"/>
        <w:spacing w:after="0" w:line="265" w:lineRule="auto"/>
        <w:tabs>
          <w:tab w:leader="none" w:pos="1114"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action, suit, proceeding, inquiry or investigation before or brought by any Governmental Entity (a “</w:t>
      </w:r>
      <w:r>
        <w:rPr>
          <w:rFonts w:ascii="Times New Roman" w:cs="Times New Roman" w:eastAsia="Times New Roman" w:hAnsi="Times New Roman"/>
          <w:sz w:val="15"/>
          <w:szCs w:val="15"/>
          <w:u w:val="single" w:color="auto"/>
          <w:color w:val="auto"/>
        </w:rPr>
        <w:t>Proceeding</w:t>
      </w:r>
      <w:r>
        <w:rPr>
          <w:rFonts w:ascii="Times New Roman" w:cs="Times New Roman" w:eastAsia="Times New Roman" w:hAnsi="Times New Roman"/>
          <w:sz w:val="15"/>
          <w:szCs w:val="15"/>
          <w:color w:val="auto"/>
        </w:rPr>
        <w:t>) for such purpose,</w:t>
      </w:r>
    </w:p>
    <w:p>
      <w:pPr>
        <w:spacing w:after="0" w:line="1" w:lineRule="exact"/>
        <w:rPr>
          <w:rFonts w:ascii="Times New Roman" w:cs="Times New Roman" w:eastAsia="Times New Roman" w:hAnsi="Times New Roman"/>
          <w:sz w:val="15"/>
          <w:szCs w:val="15"/>
          <w:color w:val="auto"/>
        </w:rPr>
      </w:pPr>
    </w:p>
    <w:p>
      <w:pPr>
        <w:ind w:left="540" w:firstLine="7"/>
        <w:spacing w:after="0" w:line="247" w:lineRule="auto"/>
        <w:tabs>
          <w:tab w:leader="none" w:pos="76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any such notice contain any information that would constitute material, non-public information regarding the Company or any of its subsidiaries.</w:t>
      </w:r>
    </w:p>
    <w:p>
      <w:pPr>
        <w:spacing w:after="0" w:line="76" w:lineRule="exact"/>
        <w:rPr>
          <w:rFonts w:ascii="Times New Roman" w:cs="Times New Roman" w:eastAsia="Times New Roman" w:hAnsi="Times New Roman"/>
          <w:sz w:val="16"/>
          <w:szCs w:val="16"/>
          <w:color w:val="auto"/>
        </w:rPr>
      </w:pPr>
    </w:p>
    <w:p>
      <w:pPr>
        <w:jc w:val="both"/>
        <w:ind w:left="540" w:right="160" w:firstLine="358"/>
        <w:spacing w:after="0" w:line="261" w:lineRule="auto"/>
        <w:tabs>
          <w:tab w:leader="none" w:pos="1105"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62" w:lineRule="exact"/>
        <w:rPr>
          <w:rFonts w:ascii="Times New Roman" w:cs="Times New Roman" w:eastAsia="Times New Roman" w:hAnsi="Times New Roman"/>
          <w:sz w:val="16"/>
          <w:szCs w:val="16"/>
          <w:color w:val="auto"/>
        </w:rPr>
      </w:pPr>
    </w:p>
    <w:p>
      <w:pPr>
        <w:ind w:left="540" w:right="40" w:firstLine="358"/>
        <w:spacing w:after="0" w:line="261" w:lineRule="auto"/>
        <w:tabs>
          <w:tab w:leader="none" w:pos="1088"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a Holder,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w:t>
      </w:r>
    </w:p>
    <w:p>
      <w:pPr>
        <w:sectPr>
          <w:pgSz w:w="11900" w:h="16838" w:orient="portrait"/>
          <w:cols w:equalWidth="0" w:num="1">
            <w:col w:w="9320"/>
          </w:cols>
          <w:pgMar w:left="1440" w:top="253" w:right="1139" w:bottom="1440" w:gutter="0" w:footer="0" w:header="0"/>
        </w:sectPr>
      </w:pPr>
    </w:p>
    <w:bookmarkStart w:id="158" w:name="page159"/>
    <w:bookmarkEnd w:id="158"/>
    <w:p>
      <w:pPr>
        <w:ind w:left="540" w:right="1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Person (including those previously furnished or incorporated by reference) promptly after the filing of such documents with the Commission, provided that any such item that is available on the EDGAR system (or successor thereto) need not be furnished in physical form.</w:t>
      </w:r>
    </w:p>
    <w:p>
      <w:pPr>
        <w:spacing w:after="0" w:line="62" w:lineRule="exact"/>
        <w:rPr>
          <w:sz w:val="20"/>
          <w:szCs w:val="20"/>
          <w:color w:val="auto"/>
        </w:rPr>
      </w:pPr>
    </w:p>
    <w:p>
      <w:pPr>
        <w:ind w:left="540" w:right="220" w:firstLine="358"/>
        <w:spacing w:after="0" w:line="261" w:lineRule="auto"/>
        <w:tabs>
          <w:tab w:leader="none" w:pos="1114"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62" w:lineRule="exact"/>
        <w:rPr>
          <w:rFonts w:ascii="Times New Roman" w:cs="Times New Roman" w:eastAsia="Times New Roman" w:hAnsi="Times New Roman"/>
          <w:sz w:val="16"/>
          <w:szCs w:val="16"/>
          <w:color w:val="auto"/>
        </w:rPr>
      </w:pPr>
    </w:p>
    <w:p>
      <w:pPr>
        <w:ind w:left="1120" w:hanging="222"/>
        <w:spacing w:after="0"/>
        <w:tabs>
          <w:tab w:leader="none" w:pos="1120"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resale of Registrable Securities by a Holder, use its commercially reasonable efforts to register or qualify or</w:t>
      </w:r>
    </w:p>
    <w:p>
      <w:pPr>
        <w:spacing w:after="0" w:line="22" w:lineRule="exact"/>
        <w:rPr>
          <w:rFonts w:ascii="Times New Roman" w:cs="Times New Roman" w:eastAsia="Times New Roman" w:hAnsi="Times New Roman"/>
          <w:sz w:val="16"/>
          <w:szCs w:val="16"/>
          <w:color w:val="auto"/>
        </w:rPr>
      </w:pPr>
    </w:p>
    <w:p>
      <w:pPr>
        <w:ind w:left="54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76" w:lineRule="exact"/>
        <w:rPr>
          <w:rFonts w:ascii="Times New Roman" w:cs="Times New Roman" w:eastAsia="Times New Roman" w:hAnsi="Times New Roman"/>
          <w:sz w:val="16"/>
          <w:szCs w:val="16"/>
          <w:color w:val="auto"/>
        </w:rPr>
      </w:pPr>
    </w:p>
    <w:p>
      <w:pPr>
        <w:ind w:left="540" w:right="100" w:firstLine="358"/>
        <w:spacing w:after="0" w:line="252" w:lineRule="auto"/>
        <w:tabs>
          <w:tab w:leader="none" w:pos="1079"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reasonably request; provided that Holder furnishes to Company a completed Holder Representation Letter in substantially the form attached hereto as </w:t>
      </w:r>
      <w:r>
        <w:rPr>
          <w:rFonts w:ascii="Times New Roman" w:cs="Times New Roman" w:eastAsia="Times New Roman" w:hAnsi="Times New Roman"/>
          <w:sz w:val="16"/>
          <w:szCs w:val="16"/>
          <w:u w:val="single" w:color="auto"/>
          <w:color w:val="auto"/>
        </w:rPr>
        <w:t>Annex D</w:t>
      </w:r>
      <w:r>
        <w:rPr>
          <w:rFonts w:ascii="Times New Roman" w:cs="Times New Roman" w:eastAsia="Times New Roman" w:hAnsi="Times New Roman"/>
          <w:sz w:val="16"/>
          <w:szCs w:val="16"/>
          <w:color w:val="auto"/>
        </w:rPr>
        <w:t xml:space="preserve"> and such other customary representations as may be required in connection therewith.</w:t>
      </w:r>
    </w:p>
    <w:p>
      <w:pPr>
        <w:spacing w:after="0" w:line="70" w:lineRule="exact"/>
        <w:rPr>
          <w:rFonts w:ascii="Times New Roman" w:cs="Times New Roman" w:eastAsia="Times New Roman" w:hAnsi="Times New Roman"/>
          <w:sz w:val="16"/>
          <w:szCs w:val="16"/>
          <w:color w:val="auto"/>
        </w:rPr>
      </w:pPr>
    </w:p>
    <w:p>
      <w:pPr>
        <w:ind w:left="540" w:right="40" w:firstLine="358"/>
        <w:spacing w:after="0" w:line="266" w:lineRule="auto"/>
        <w:tabs>
          <w:tab w:leader="none" w:pos="1079"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w:t>
      </w:r>
    </w:p>
    <w:p>
      <w:pPr>
        <w:spacing w:after="0" w:line="3" w:lineRule="exact"/>
        <w:rPr>
          <w:rFonts w:ascii="Times New Roman" w:cs="Times New Roman" w:eastAsia="Times New Roman" w:hAnsi="Times New Roman"/>
          <w:sz w:val="15"/>
          <w:szCs w:val="15"/>
          <w:color w:val="auto"/>
        </w:rPr>
      </w:pPr>
    </w:p>
    <w:p>
      <w:pPr>
        <w:ind w:left="540" w:firstLine="7"/>
        <w:spacing w:after="0" w:line="248" w:lineRule="auto"/>
        <w:tabs>
          <w:tab w:leader="none" w:pos="81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(vi) of Section 3(d) above to suspend the use of any Prospectus until the requisite changes to such Prospectus have been made, then the Holders shall suspend use of such Prospectus; provided that the Company shall only be entitled to exercise its right under this Section 3(j) to suspend the availability of a Registration Statement and Prospectus for a period not to exceed 60 calendar days (which need not be consecutive days) in any 12-month period. The Company will use its reasonable best efforts to ensure that the use of the Prospectus may be resumed as promptly as is practicable.</w:t>
      </w:r>
    </w:p>
    <w:p>
      <w:pPr>
        <w:spacing w:after="0" w:line="72" w:lineRule="exact"/>
        <w:rPr>
          <w:rFonts w:ascii="Times New Roman" w:cs="Times New Roman" w:eastAsia="Times New Roman" w:hAnsi="Times New Roman"/>
          <w:sz w:val="16"/>
          <w:szCs w:val="16"/>
          <w:color w:val="auto"/>
        </w:rPr>
      </w:pPr>
    </w:p>
    <w:p>
      <w:pPr>
        <w:ind w:left="540" w:right="80" w:firstLine="358"/>
        <w:spacing w:after="0" w:line="261" w:lineRule="auto"/>
        <w:tabs>
          <w:tab w:leader="none" w:pos="1114"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w:t>
      </w:r>
    </w:p>
    <w:p>
      <w:pPr>
        <w:sectPr>
          <w:pgSz w:w="11900" w:h="16838" w:orient="portrait"/>
          <w:cols w:equalWidth="0" w:num="1">
            <w:col w:w="9320"/>
          </w:cols>
          <w:pgMar w:left="1440" w:top="253" w:right="1139" w:bottom="1440" w:gutter="0" w:footer="0" w:header="0"/>
        </w:sectPr>
      </w:pPr>
    </w:p>
    <w:bookmarkStart w:id="159" w:name="page160"/>
    <w:bookmarkEnd w:id="159"/>
    <w:p>
      <w:pPr>
        <w:ind w:left="540"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66" w:lineRule="exact"/>
        <w:rPr>
          <w:sz w:val="20"/>
          <w:szCs w:val="20"/>
          <w:color w:val="auto"/>
        </w:rPr>
      </w:pPr>
    </w:p>
    <w:p>
      <w:pPr>
        <w:ind w:left="540" w:right="320" w:firstLine="358"/>
        <w:spacing w:after="0" w:line="276" w:lineRule="auto"/>
        <w:tabs>
          <w:tab w:leader="none" w:pos="1079"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commercially reasonable efforts to maintain eligibility for use of Form S-3 (or any successor form thereto) for the registration of the resale of the Registrable Securities once eligible to use such form.</w:t>
      </w:r>
    </w:p>
    <w:p>
      <w:pPr>
        <w:spacing w:after="0" w:line="49" w:lineRule="exact"/>
        <w:rPr>
          <w:rFonts w:ascii="Times New Roman" w:cs="Times New Roman" w:eastAsia="Times New Roman" w:hAnsi="Times New Roman"/>
          <w:sz w:val="16"/>
          <w:szCs w:val="16"/>
          <w:color w:val="auto"/>
        </w:rPr>
      </w:pPr>
    </w:p>
    <w:p>
      <w:pPr>
        <w:ind w:left="540" w:right="200" w:firstLine="358"/>
        <w:spacing w:after="0" w:line="261" w:lineRule="auto"/>
        <w:tabs>
          <w:tab w:leader="none" w:pos="1158"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62" w:lineRule="exact"/>
        <w:rPr>
          <w:rFonts w:ascii="Times New Roman" w:cs="Times New Roman" w:eastAsia="Times New Roman" w:hAnsi="Times New Roman"/>
          <w:sz w:val="16"/>
          <w:szCs w:val="16"/>
          <w:color w:val="auto"/>
        </w:rPr>
      </w:pPr>
    </w:p>
    <w:p>
      <w:pPr>
        <w:ind w:left="540" w:right="40" w:firstLine="358"/>
        <w:spacing w:after="0" w:line="276" w:lineRule="auto"/>
        <w:tabs>
          <w:tab w:leader="none" w:pos="1114"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reasonable best efforts to cause (i) all Shares to be listed on each securities exchange or market, if any, on which the shares of Gem Common Stock have been listed.</w:t>
      </w:r>
    </w:p>
    <w:p>
      <w:pPr>
        <w:spacing w:after="0" w:line="49" w:lineRule="exact"/>
        <w:rPr>
          <w:rFonts w:ascii="Times New Roman" w:cs="Times New Roman" w:eastAsia="Times New Roman" w:hAnsi="Times New Roman"/>
          <w:sz w:val="16"/>
          <w:szCs w:val="16"/>
          <w:color w:val="auto"/>
        </w:rPr>
      </w:pPr>
    </w:p>
    <w:p>
      <w:pPr>
        <w:ind w:left="540" w:firstLine="358"/>
        <w:spacing w:after="0" w:line="248" w:lineRule="auto"/>
        <w:tabs>
          <w:tab w:leader="none" w:pos="1114"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its sole expense, upon appropriate notice from a Holder stating that Registrable Securities have been sold or transferred pursuant to an effective Registration Statement, timely prepare and deliver certificates or evidence of book-entry positions representing the Registrable Securities to be delivered to a transferee pursuant to such Registration Statement, which certificates or book-entry positions shall be free of any restrictive legends and in such denominations and registered in such names as the undersigned may request. Further, the Company shall use its commercially reasonable efforts, at its sole expense, to cause its legal counsel to (a) issue to the transfer agent and maintain a “blanket” legal opinion instructing the transfer agent that, in connection with a sale or transfer of “restricted securities” (i.e., securities issued pursuant to an exemption from the registration requirements of Section 5 of the Securities Act), the resale or transfer of which restricted securities has been registered pursuant to an effective Registration Statement by the holder thereof named in such Registration Statement, upon receipt of an appropriate broker representation letter and other such documentation as the Company’s counsel deems necessary and appropriate and after confirming compliance with relevant prospectus delivery requirements, is authorized to remove any applicable restrictive legend in connection with such sale or transfer and (b) if the Registrable Securities are not registered pursuant to an effective Registration Statement, issue to the transfer agent a legal opinion to facilitate the sale or transfer of the Registrable Securities and removal of any restrictive legends pursuant to any exemption from the registration requirements of Section 5 of the Securities Act that may be available to the undersigned, upon request; provided, that in the case of a request to remove such restrictive legends in connection with a sale or transfer of Registrable Securities pursuant to clause (a) or (b) above, the Company shall use its commercially reasonable efforts to cause the Company’s transfer agent to remove any such applicable restrictive legends in connection with such sale or transfer within two Business Days of such request. The Company shall be responsible for the fees of its transfer agent, its legal counsel and all DTC fees associated with any such request.</w:t>
      </w:r>
    </w:p>
    <w:p>
      <w:pPr>
        <w:spacing w:after="0" w:line="78" w:lineRule="exact"/>
        <w:rPr>
          <w:rFonts w:ascii="Times New Roman" w:cs="Times New Roman" w:eastAsia="Times New Roman" w:hAnsi="Times New Roman"/>
          <w:sz w:val="16"/>
          <w:szCs w:val="16"/>
          <w:color w:val="auto"/>
        </w:rPr>
      </w:pPr>
    </w:p>
    <w:p>
      <w:pPr>
        <w:ind w:left="-320" w:firstLine="385"/>
        <w:spacing w:after="0" w:line="254" w:lineRule="auto"/>
        <w:tabs>
          <w:tab w:leader="none" w:pos="223"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National Exchange on which the Common Stock is then listed for trading, and (C) in compliance with applicable</w:t>
      </w:r>
    </w:p>
    <w:p>
      <w:pPr>
        <w:sectPr>
          <w:pgSz w:w="11900" w:h="16838" w:orient="portrait"/>
          <w:cols w:equalWidth="0" w:num="1">
            <w:col w:w="9320"/>
          </w:cols>
          <w:pgMar w:left="1440" w:top="253" w:right="1139" w:bottom="1440" w:gutter="0" w:footer="0" w:header="0"/>
        </w:sectPr>
      </w:pPr>
    </w:p>
    <w:bookmarkStart w:id="160" w:name="page161"/>
    <w:bookmarkEnd w:id="160"/>
    <w:p>
      <w:pPr>
        <w:ind w:right="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the reasonable fees and expenses, not to exceed $35,000, of one counsel for the selling Holders selected by the Holders of a majority of the Registrable Securities to be registered.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Purchase Agreement or this Agreement, any legal fees or other costs of the Holders.</w:t>
      </w:r>
    </w:p>
    <w:p>
      <w:pPr>
        <w:spacing w:after="0" w:line="152" w:lineRule="exact"/>
        <w:rPr>
          <w:sz w:val="20"/>
          <w:szCs w:val="20"/>
          <w:color w:val="auto"/>
        </w:rPr>
      </w:pPr>
    </w:p>
    <w:p>
      <w:pPr>
        <w:ind w:left="540" w:hanging="155"/>
        <w:spacing w:after="0"/>
        <w:tabs>
          <w:tab w:leader="none" w:pos="5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860" w:firstLine="358"/>
        <w:spacing w:after="0" w:line="248" w:lineRule="auto"/>
        <w:tabs>
          <w:tab w:leader="none" w:pos="1425"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Company</w:t>
      </w:r>
      <w:r>
        <w:rPr>
          <w:rFonts w:ascii="Times New Roman" w:cs="Times New Roman" w:eastAsia="Times New Roman" w:hAnsi="Times New Roman"/>
          <w:sz w:val="16"/>
          <w:szCs w:val="16"/>
          <w:color w:val="auto"/>
        </w:rPr>
        <w:t>. The Company shall, notwithstanding any termination of this Agreement, indemnify and hold harmless each Holder and its affiliates,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incurred, arising out of or based solely upon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 (iii)-(vi),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w:t>
      </w:r>
    </w:p>
    <w:p>
      <w:pPr>
        <w:sectPr>
          <w:pgSz w:w="11900" w:h="16838" w:orient="portrait"/>
          <w:cols w:equalWidth="0" w:num="1">
            <w:col w:w="9640"/>
          </w:cols>
          <w:pgMar w:left="1120" w:top="253" w:right="1139" w:bottom="1440" w:gutter="0" w:footer="0" w:header="0"/>
        </w:sectPr>
      </w:pPr>
    </w:p>
    <w:bookmarkStart w:id="161" w:name="page162"/>
    <w:bookmarkEnd w:id="161"/>
    <w:p>
      <w:pPr>
        <w:jc w:val="both"/>
        <w:ind w:left="540" w:right="2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62" w:lineRule="exact"/>
        <w:rPr>
          <w:sz w:val="20"/>
          <w:szCs w:val="20"/>
          <w:color w:val="auto"/>
        </w:rPr>
      </w:pPr>
    </w:p>
    <w:p>
      <w:pPr>
        <w:ind w:left="540" w:firstLine="358"/>
        <w:spacing w:after="0" w:line="248" w:lineRule="auto"/>
        <w:tabs>
          <w:tab w:leader="none" w:pos="111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Holders</w:t>
      </w:r>
      <w:r>
        <w:rPr>
          <w:rFonts w:ascii="Times New Roman" w:cs="Times New Roman" w:eastAsia="Times New Roman" w:hAnsi="Times New Roman"/>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to the extent, but only to the extent, that such untrue statement or omission is contained in any information so furnished in writing by such Holder to the Company expressly for inclusion in such Registration Statement or such Prospectus, including information provided in the Selling Stockholder Questionnaire or regarding the proposed method of distribution of Registrable Securities that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80" w:lineRule="exact"/>
        <w:rPr>
          <w:rFonts w:ascii="Times New Roman" w:cs="Times New Roman" w:eastAsia="Times New Roman" w:hAnsi="Times New Roman"/>
          <w:sz w:val="16"/>
          <w:szCs w:val="16"/>
          <w:color w:val="auto"/>
        </w:rPr>
      </w:pPr>
    </w:p>
    <w:p>
      <w:pPr>
        <w:ind w:left="540" w:firstLine="358"/>
        <w:spacing w:after="0" w:line="251" w:lineRule="auto"/>
        <w:tabs>
          <w:tab w:leader="none" w:pos="110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Conduct of Indemnification Proceedings</w:t>
      </w:r>
      <w:r>
        <w:rPr>
          <w:rFonts w:ascii="Times New Roman" w:cs="Times New Roman" w:eastAsia="Times New Roman" w:hAnsi="Times New Roman"/>
          <w:sz w:val="16"/>
          <w:szCs w:val="16"/>
          <w:color w:val="auto"/>
        </w:rPr>
        <w:t>. If any Proceeding shall be brought or asserted against any Person entitled to indemnity hereunder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such Indemnified Party shall promptly notify the Person from whom indemnity is sought (the “</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69" w:lineRule="exact"/>
        <w:rPr>
          <w:sz w:val="20"/>
          <w:szCs w:val="20"/>
          <w:color w:val="auto"/>
        </w:rPr>
      </w:pPr>
    </w:p>
    <w:p>
      <w:pPr>
        <w:ind w:left="540" w:right="20" w:firstLine="351"/>
        <w:spacing w:after="0" w:line="250" w:lineRule="auto"/>
        <w:rPr>
          <w:sz w:val="20"/>
          <w:szCs w:val="20"/>
          <w:color w:val="auto"/>
        </w:rPr>
      </w:pPr>
      <w:r>
        <w:rPr>
          <w:rFonts w:ascii="Times New Roman" w:cs="Times New Roman" w:eastAsia="Times New Roman" w:hAnsi="Times New Roman"/>
          <w:sz w:val="16"/>
          <w:szCs w:val="16"/>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w:t>
      </w:r>
    </w:p>
    <w:p>
      <w:pPr>
        <w:sectPr>
          <w:pgSz w:w="11900" w:h="16838" w:orient="portrait"/>
          <w:cols w:equalWidth="0" w:num="1">
            <w:col w:w="9320"/>
          </w:cols>
          <w:pgMar w:left="1440" w:top="253" w:right="1139" w:bottom="1440" w:gutter="0" w:footer="0" w:header="0"/>
        </w:sectPr>
      </w:pPr>
    </w:p>
    <w:bookmarkStart w:id="162" w:name="page163"/>
    <w:bookmarkEnd w:id="162"/>
    <w:p>
      <w:pPr>
        <w:ind w:left="54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67" w:lineRule="exact"/>
        <w:rPr>
          <w:sz w:val="20"/>
          <w:szCs w:val="20"/>
          <w:color w:val="auto"/>
        </w:rPr>
      </w:pPr>
    </w:p>
    <w:p>
      <w:pPr>
        <w:ind w:left="540" w:right="60" w:firstLine="351"/>
        <w:spacing w:after="0" w:line="272" w:lineRule="auto"/>
        <w:rPr>
          <w:sz w:val="20"/>
          <w:szCs w:val="20"/>
          <w:color w:val="auto"/>
        </w:rPr>
      </w:pPr>
      <w:r>
        <w:rPr>
          <w:rFonts w:ascii="Times New Roman" w:cs="Times New Roman" w:eastAsia="Times New Roman" w:hAnsi="Times New Roman"/>
          <w:sz w:val="15"/>
          <w:szCs w:val="15"/>
          <w:color w:val="auto"/>
        </w:rPr>
        <w:t>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57" w:lineRule="exact"/>
        <w:rPr>
          <w:sz w:val="20"/>
          <w:szCs w:val="20"/>
          <w:color w:val="auto"/>
        </w:rPr>
      </w:pPr>
    </w:p>
    <w:p>
      <w:pPr>
        <w:ind w:left="540" w:right="40" w:firstLine="358"/>
        <w:spacing w:after="0" w:line="249" w:lineRule="auto"/>
        <w:tabs>
          <w:tab w:leader="none" w:pos="111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75" w:lineRule="exact"/>
        <w:rPr>
          <w:sz w:val="20"/>
          <w:szCs w:val="20"/>
          <w:color w:val="auto"/>
        </w:rPr>
      </w:pPr>
    </w:p>
    <w:p>
      <w:pPr>
        <w:ind w:left="540" w:right="40" w:firstLine="351"/>
        <w:spacing w:after="0" w:line="272" w:lineRule="auto"/>
        <w:rPr>
          <w:sz w:val="20"/>
          <w:szCs w:val="20"/>
          <w:color w:val="auto"/>
        </w:rPr>
      </w:pPr>
      <w:r>
        <w:rPr>
          <w:rFonts w:ascii="Times New Roman" w:cs="Times New Roman" w:eastAsia="Times New Roman" w:hAnsi="Times New Roman"/>
          <w:sz w:val="15"/>
          <w:szCs w:val="15"/>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57" w:lineRule="exact"/>
        <w:rPr>
          <w:sz w:val="20"/>
          <w:szCs w:val="20"/>
          <w:color w:val="auto"/>
        </w:rPr>
      </w:pPr>
    </w:p>
    <w:p>
      <w:pPr>
        <w:ind w:left="540" w:right="260" w:firstLine="351"/>
        <w:spacing w:after="0" w:line="276" w:lineRule="auto"/>
        <w:rPr>
          <w:sz w:val="20"/>
          <w:szCs w:val="20"/>
          <w:color w:val="auto"/>
        </w:rPr>
      </w:pPr>
      <w:r>
        <w:rPr>
          <w:rFonts w:ascii="Times New Roman" w:cs="Times New Roman" w:eastAsia="Times New Roman" w:hAnsi="Times New Roman"/>
          <w:sz w:val="16"/>
          <w:szCs w:val="16"/>
          <w:color w:val="auto"/>
        </w:rPr>
        <w:t>The indemnity and contribution agreements contained in this Section are in addition to any liability that the Indemnifying Parties may have to the Indemnified Parties.</w:t>
      </w:r>
    </w:p>
    <w:p>
      <w:pPr>
        <w:spacing w:after="0" w:line="50" w:lineRule="exact"/>
        <w:rPr>
          <w:sz w:val="20"/>
          <w:szCs w:val="20"/>
          <w:color w:val="auto"/>
        </w:rPr>
      </w:pPr>
    </w:p>
    <w:p>
      <w:pPr>
        <w:ind w:left="220" w:hanging="155"/>
        <w:spacing w:after="0"/>
        <w:tabs>
          <w:tab w:leader="none" w:pos="22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320" w:right="200" w:firstLine="867"/>
        <w:spacing w:after="0" w:line="276" w:lineRule="auto"/>
        <w:tabs>
          <w:tab w:leader="none" w:pos="763"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In the event of a breach by the Company or by a Holder of any of their respective obligations under this Agreement, each Holder or the Company, as the case may be, in addition to being</w:t>
      </w:r>
    </w:p>
    <w:p>
      <w:pPr>
        <w:sectPr>
          <w:pgSz w:w="11900" w:h="16838" w:orient="portrait"/>
          <w:cols w:equalWidth="0" w:num="1">
            <w:col w:w="9300"/>
          </w:cols>
          <w:pgMar w:left="1440" w:top="253" w:right="1159" w:bottom="1440" w:gutter="0" w:footer="0" w:header="0"/>
        </w:sectPr>
      </w:pPr>
    </w:p>
    <w:bookmarkStart w:id="163" w:name="page164"/>
    <w:bookmarkEnd w:id="163"/>
    <w:p>
      <w:pPr>
        <w:ind w:right="20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61" w:lineRule="exact"/>
        <w:rPr>
          <w:sz w:val="20"/>
          <w:szCs w:val="20"/>
          <w:color w:val="auto"/>
        </w:rPr>
      </w:pPr>
    </w:p>
    <w:p>
      <w:pPr>
        <w:ind w:right="160" w:firstLine="867"/>
        <w:spacing w:after="0" w:line="252" w:lineRule="auto"/>
        <w:tabs>
          <w:tab w:leader="none" w:pos="109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Piggyback on Registrations; Prohibition on Filing Other Registration Statements</w:t>
      </w:r>
      <w:r>
        <w:rPr>
          <w:rFonts w:ascii="Times New Roman" w:cs="Times New Roman" w:eastAsia="Times New Roman" w:hAnsi="Times New Roman"/>
          <w:sz w:val="16"/>
          <w:szCs w:val="16"/>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 nor preparing and filing with the Commission a registration statements on Form S-8 relating to its equity incentive plans.</w:t>
      </w:r>
    </w:p>
    <w:p>
      <w:pPr>
        <w:spacing w:after="0" w:line="165" w:lineRule="exact"/>
        <w:rPr>
          <w:rFonts w:ascii="Times New Roman" w:cs="Times New Roman" w:eastAsia="Times New Roman" w:hAnsi="Times New Roman"/>
          <w:sz w:val="16"/>
          <w:szCs w:val="16"/>
          <w:color w:val="auto"/>
        </w:rPr>
      </w:pPr>
    </w:p>
    <w:p>
      <w:pPr>
        <w:ind w:right="120" w:firstLine="867"/>
        <w:spacing w:after="0" w:line="254" w:lineRule="auto"/>
        <w:tabs>
          <w:tab w:leader="none" w:pos="10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Discontinued Disposition</w:t>
      </w:r>
      <w:r>
        <w:rPr>
          <w:rFonts w:ascii="Times New Roman" w:cs="Times New Roman" w:eastAsia="Times New Roman" w:hAnsi="Times New Roman"/>
          <w:sz w:val="16"/>
          <w:szCs w:val="16"/>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6"/>
          <w:szCs w:val="16"/>
          <w:u w:val="single" w:color="auto"/>
          <w:color w:val="auto"/>
        </w:rPr>
        <w:t>Advice</w:t>
      </w:r>
      <w:r>
        <w:rPr>
          <w:rFonts w:ascii="Times New Roman" w:cs="Times New Roman" w:eastAsia="Times New Roman" w:hAnsi="Times New Roman"/>
          <w:sz w:val="16"/>
          <w:szCs w:val="16"/>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spacing w:after="0" w:line="161" w:lineRule="exact"/>
        <w:rPr>
          <w:rFonts w:ascii="Times New Roman" w:cs="Times New Roman" w:eastAsia="Times New Roman" w:hAnsi="Times New Roman"/>
          <w:sz w:val="16"/>
          <w:szCs w:val="16"/>
          <w:color w:val="auto"/>
        </w:rPr>
      </w:pPr>
    </w:p>
    <w:p>
      <w:pPr>
        <w:ind w:firstLine="867"/>
        <w:spacing w:after="0" w:line="249" w:lineRule="auto"/>
        <w:tabs>
          <w:tab w:leader="none" w:pos="109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Required Holders,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 As used herein, “</w:t>
      </w:r>
      <w:r>
        <w:rPr>
          <w:rFonts w:ascii="Times New Roman" w:cs="Times New Roman" w:eastAsia="Times New Roman" w:hAnsi="Times New Roman"/>
          <w:sz w:val="16"/>
          <w:szCs w:val="16"/>
          <w:u w:val="single" w:color="auto"/>
          <w:color w:val="auto"/>
        </w:rPr>
        <w:t>Required Holders</w:t>
      </w:r>
      <w:r>
        <w:rPr>
          <w:rFonts w:ascii="Times New Roman" w:cs="Times New Roman" w:eastAsia="Times New Roman" w:hAnsi="Times New Roman"/>
          <w:sz w:val="16"/>
          <w:szCs w:val="16"/>
          <w:color w:val="auto"/>
        </w:rPr>
        <w:t>” means Holders of 50.1% or more of the then outstanding Registrable Securities (for purposes of clarification, this includes any securities issuable upon conversion or exercise of any Registrable Security).</w:t>
      </w:r>
    </w:p>
    <w:p>
      <w:pPr>
        <w:spacing w:after="0" w:line="165" w:lineRule="exact"/>
        <w:rPr>
          <w:rFonts w:ascii="Times New Roman" w:cs="Times New Roman" w:eastAsia="Times New Roman" w:hAnsi="Times New Roman"/>
          <w:sz w:val="16"/>
          <w:szCs w:val="16"/>
          <w:color w:val="auto"/>
        </w:rPr>
      </w:pPr>
    </w:p>
    <w:p>
      <w:pPr>
        <w:ind w:firstLine="867"/>
        <w:spacing w:after="0" w:line="276" w:lineRule="auto"/>
        <w:tabs>
          <w:tab w:leader="none" w:pos="10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delivered as set forth in the Purchase Agreement.</w:t>
      </w:r>
    </w:p>
    <w:p>
      <w:pPr>
        <w:spacing w:after="0" w:line="144" w:lineRule="exact"/>
        <w:rPr>
          <w:rFonts w:ascii="Times New Roman" w:cs="Times New Roman" w:eastAsia="Times New Roman" w:hAnsi="Times New Roman"/>
          <w:sz w:val="16"/>
          <w:szCs w:val="16"/>
          <w:color w:val="auto"/>
        </w:rPr>
      </w:pPr>
    </w:p>
    <w:p>
      <w:pPr>
        <w:ind w:firstLine="867"/>
        <w:spacing w:after="0" w:line="256" w:lineRule="auto"/>
        <w:tabs>
          <w:tab w:leader="none" w:pos="1065"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9.04 of the Purchase Agreement.</w:t>
      </w:r>
    </w:p>
    <w:p>
      <w:pPr>
        <w:sectPr>
          <w:pgSz w:w="11900" w:h="16838" w:orient="portrait"/>
          <w:cols w:equalWidth="0" w:num="1">
            <w:col w:w="9620"/>
          </w:cols>
          <w:pgMar w:left="1120" w:top="253" w:right="1159" w:bottom="1440" w:gutter="0" w:footer="0" w:header="0"/>
        </w:sectPr>
      </w:pPr>
    </w:p>
    <w:bookmarkStart w:id="164" w:name="page165"/>
    <w:bookmarkEnd w:id="164"/>
    <w:p>
      <w:pPr>
        <w:ind w:left="-320" w:right="20" w:firstLine="867"/>
        <w:spacing w:after="0" w:line="254" w:lineRule="auto"/>
        <w:tabs>
          <w:tab w:leader="none" w:pos="77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Inconsistent Agreements</w:t>
      </w:r>
      <w:r>
        <w:rPr>
          <w:rFonts w:ascii="Times New Roman" w:cs="Times New Roman" w:eastAsia="Times New Roman" w:hAnsi="Times New Roman"/>
          <w:sz w:val="16"/>
          <w:szCs w:val="16"/>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61" w:lineRule="exact"/>
        <w:rPr>
          <w:rFonts w:ascii="Times New Roman" w:cs="Times New Roman" w:eastAsia="Times New Roman" w:hAnsi="Times New Roman"/>
          <w:sz w:val="16"/>
          <w:szCs w:val="16"/>
          <w:color w:val="auto"/>
        </w:rPr>
      </w:pPr>
    </w:p>
    <w:p>
      <w:pPr>
        <w:ind w:left="-320" w:firstLine="867"/>
        <w:spacing w:after="0" w:line="254" w:lineRule="auto"/>
        <w:tabs>
          <w:tab w:leader="none" w:pos="77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and Counterparts</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61" w:lineRule="exact"/>
        <w:rPr>
          <w:rFonts w:ascii="Times New Roman" w:cs="Times New Roman" w:eastAsia="Times New Roman" w:hAnsi="Times New Roman"/>
          <w:sz w:val="16"/>
          <w:szCs w:val="16"/>
          <w:color w:val="auto"/>
        </w:rPr>
      </w:pPr>
    </w:p>
    <w:p>
      <w:pPr>
        <w:ind w:left="-320" w:right="600" w:firstLine="867"/>
        <w:spacing w:after="0" w:line="276" w:lineRule="auto"/>
        <w:tabs>
          <w:tab w:leader="none" w:pos="737"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this Agreement shall be determined in accordance with the provisions of the Purchase Agreement.</w:t>
      </w:r>
    </w:p>
    <w:p>
      <w:pPr>
        <w:spacing w:after="0" w:line="144" w:lineRule="exact"/>
        <w:rPr>
          <w:rFonts w:ascii="Times New Roman" w:cs="Times New Roman" w:eastAsia="Times New Roman" w:hAnsi="Times New Roman"/>
          <w:sz w:val="16"/>
          <w:szCs w:val="16"/>
          <w:color w:val="auto"/>
        </w:rPr>
      </w:pPr>
    </w:p>
    <w:p>
      <w:pPr>
        <w:ind w:left="740" w:hanging="193"/>
        <w:spacing w:after="0"/>
        <w:tabs>
          <w:tab w:leader="none" w:pos="7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The remedies provided herein are cumulative and not exclusive of any other remedies provided by law.</w:t>
      </w:r>
    </w:p>
    <w:p>
      <w:pPr>
        <w:spacing w:after="0" w:line="194" w:lineRule="exact"/>
        <w:rPr>
          <w:rFonts w:ascii="Times New Roman" w:cs="Times New Roman" w:eastAsia="Times New Roman" w:hAnsi="Times New Roman"/>
          <w:sz w:val="16"/>
          <w:szCs w:val="16"/>
          <w:color w:val="auto"/>
        </w:rPr>
      </w:pPr>
    </w:p>
    <w:p>
      <w:pPr>
        <w:ind w:left="-320" w:right="20" w:firstLine="867"/>
        <w:spacing w:after="0" w:line="252" w:lineRule="auto"/>
        <w:tabs>
          <w:tab w:leader="none" w:pos="77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5" w:lineRule="exact"/>
        <w:rPr>
          <w:rFonts w:ascii="Times New Roman" w:cs="Times New Roman" w:eastAsia="Times New Roman" w:hAnsi="Times New Roman"/>
          <w:sz w:val="16"/>
          <w:szCs w:val="16"/>
          <w:color w:val="auto"/>
        </w:rPr>
      </w:pPr>
    </w:p>
    <w:p>
      <w:pPr>
        <w:ind w:left="-320" w:right="60" w:firstLine="867"/>
        <w:spacing w:after="0" w:line="276" w:lineRule="auto"/>
        <w:tabs>
          <w:tab w:leader="none" w:pos="737"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in this Agreement are for convenience only, do not constitute a part of the Agreement and shall not be deemed to limit or affect any of the provisions hereof.</w:t>
      </w:r>
    </w:p>
    <w:p>
      <w:pPr>
        <w:spacing w:after="0" w:line="144" w:lineRule="exact"/>
        <w:rPr>
          <w:rFonts w:ascii="Times New Roman" w:cs="Times New Roman" w:eastAsia="Times New Roman" w:hAnsi="Times New Roman"/>
          <w:sz w:val="16"/>
          <w:szCs w:val="16"/>
          <w:color w:val="auto"/>
        </w:rPr>
      </w:pPr>
    </w:p>
    <w:p>
      <w:pPr>
        <w:ind w:left="-320" w:firstLine="867"/>
        <w:spacing w:after="0" w:line="268" w:lineRule="auto"/>
        <w:tabs>
          <w:tab w:leader="none" w:pos="815"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Nature of Holders’ Obligations and Rights</w:t>
      </w:r>
      <w:r>
        <w:rPr>
          <w:rFonts w:ascii="Times New Roman" w:cs="Times New Roman" w:eastAsia="Times New Roman" w:hAnsi="Times New Roman"/>
          <w:sz w:val="15"/>
          <w:szCs w:val="15"/>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w:t>
      </w:r>
    </w:p>
    <w:p>
      <w:pPr>
        <w:sectPr>
          <w:pgSz w:w="11900" w:h="16838" w:orient="portrait"/>
          <w:cols w:equalWidth="0" w:num="1">
            <w:col w:w="9300"/>
          </w:cols>
          <w:pgMar w:left="1440" w:top="253" w:right="1159" w:bottom="1440" w:gutter="0" w:footer="0" w:header="0"/>
        </w:sectPr>
      </w:pPr>
    </w:p>
    <w:bookmarkStart w:id="165" w:name="page166"/>
    <w:bookmarkEnd w:id="165"/>
    <w:p>
      <w:pPr>
        <w:ind w:right="9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w:t>
      </w:r>
    </w:p>
    <w:p>
      <w:pPr>
        <w:spacing w:after="0" w:line="1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ectPr>
          <w:pgSz w:w="11900" w:h="16838" w:orient="portrait"/>
          <w:cols w:equalWidth="0" w:num="1">
            <w:col w:w="9339"/>
          </w:cols>
          <w:pgMar w:left="1120" w:top="253" w:right="1440" w:bottom="1440" w:gutter="0" w:footer="0" w:header="0"/>
        </w:sectPr>
      </w:pPr>
    </w:p>
    <w:bookmarkStart w:id="166" w:name="page167"/>
    <w:bookmarkEnd w:id="166"/>
    <w:p>
      <w:pPr>
        <w:ind w:left="5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the parties have executed this Registration Rights Agreement as of the date first written above.</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OF HOLDERS FOLLOWS]</w:t>
      </w:r>
    </w:p>
    <w:p>
      <w:pPr>
        <w:sectPr>
          <w:pgSz w:w="11900" w:h="16838" w:orient="portrait"/>
          <w:cols w:equalWidth="0" w:num="1">
            <w:col w:w="9019"/>
          </w:cols>
          <w:pgMar w:left="1440" w:top="253" w:right="1440" w:bottom="1440" w:gutter="0" w:footer="0" w:header="0"/>
        </w:sectPr>
      </w:pPr>
    </w:p>
    <w:bookmarkStart w:id="167" w:name="page168"/>
    <w:bookmarkEnd w:id="167"/>
    <w:p>
      <w:pPr>
        <w:jc w:val="center"/>
        <w:ind w:right="-3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 PAGE OF HOLDERS TO DISC RRA]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-8255</wp:posOffset>
            </wp:positionV>
            <wp:extent cx="80073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0073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Holder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-6985</wp:posOffset>
            </wp:positionV>
            <wp:extent cx="122618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-8255</wp:posOffset>
            </wp:positionV>
            <wp:extent cx="12261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-8255</wp:posOffset>
            </wp:positionV>
            <wp:extent cx="122618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spacing w:after="0" w:line="1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[SIGNATURE PAGES CONTINUE]</w:t>
      </w:r>
    </w:p>
    <w:p>
      <w:pPr>
        <w:sectPr>
          <w:pgSz w:w="11900" w:h="16838" w:orient="portrait"/>
          <w:cols w:equalWidth="0" w:num="1">
            <w:col w:w="9339"/>
          </w:cols>
          <w:pgMar w:left="1120" w:top="253" w:right="144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Annex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Plan of Distribution</w:t>
      </w:r>
    </w:p>
    <w:p>
      <w:pPr>
        <w:spacing w:after="0" w:line="194" w:lineRule="exact"/>
        <w:rPr>
          <w:sz w:val="20"/>
          <w:szCs w:val="20"/>
          <w:color w:val="auto"/>
        </w:rPr>
      </w:pPr>
    </w:p>
    <w:p>
      <w:pPr>
        <w:ind w:right="80" w:firstLine="386"/>
        <w:spacing w:after="0" w:line="256" w:lineRule="auto"/>
        <w:rPr>
          <w:sz w:val="20"/>
          <w:szCs w:val="20"/>
          <w:color w:val="auto"/>
        </w:rPr>
      </w:pPr>
      <w:r>
        <w:rPr>
          <w:rFonts w:ascii="Times New Roman" w:cs="Times New Roman" w:eastAsia="Times New Roman" w:hAnsi="Times New Roman"/>
          <w:sz w:val="16"/>
          <w:szCs w:val="16"/>
          <w:color w:val="auto"/>
        </w:rPr>
        <w:t>Each Selling Stockholder (the “</w:t>
      </w:r>
      <w:r>
        <w:rPr>
          <w:rFonts w:ascii="Times New Roman" w:cs="Times New Roman" w:eastAsia="Times New Roman" w:hAnsi="Times New Roman"/>
          <w:sz w:val="16"/>
          <w:szCs w:val="16"/>
          <w:u w:val="single" w:color="auto"/>
          <w:color w:val="auto"/>
        </w:rPr>
        <w:t>Selling Stockholders</w:t>
      </w:r>
      <w:r>
        <w:rPr>
          <w:rFonts w:ascii="Times New Roman" w:cs="Times New Roman" w:eastAsia="Times New Roman" w:hAnsi="Times New Roman"/>
          <w:sz w:val="16"/>
          <w:szCs w:val="16"/>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8" w:lineRule="exact"/>
        <w:rPr>
          <w:sz w:val="20"/>
          <w:szCs w:val="20"/>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22" w:lineRule="exact"/>
        <w:rPr>
          <w:rFonts w:ascii="Times New Roman" w:cs="Times New Roman" w:eastAsia="Times New Roman" w:hAnsi="Times New Roman"/>
          <w:sz w:val="16"/>
          <w:szCs w:val="16"/>
          <w:color w:val="auto"/>
        </w:rPr>
      </w:pPr>
    </w:p>
    <w:p>
      <w:pPr>
        <w:ind w:left="860" w:right="380" w:hanging="388"/>
        <w:spacing w:after="0" w:line="246" w:lineRule="auto"/>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securities as agent but may position and resell a portion of the block as principal to facilitate the transaction;</w:t>
      </w:r>
    </w:p>
    <w:p>
      <w:pPr>
        <w:spacing w:after="0" w:line="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w:t>
      </w:r>
    </w:p>
    <w:p>
      <w:pPr>
        <w:spacing w:after="0" w:line="5" w:lineRule="exact"/>
        <w:rPr>
          <w:rFonts w:ascii="Times New Roman" w:cs="Times New Roman" w:eastAsia="Times New Roman" w:hAnsi="Times New Roman"/>
          <w:sz w:val="16"/>
          <w:szCs w:val="16"/>
          <w:color w:val="auto"/>
        </w:rPr>
      </w:pPr>
    </w:p>
    <w:p>
      <w:pPr>
        <w:ind w:left="860" w:right="140" w:hanging="388"/>
        <w:spacing w:after="0" w:line="246" w:lineRule="auto"/>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through broker-dealers that agree with the Selling Stockholders to sell a specified number of such securities at a stipulated price per security;</w:t>
      </w:r>
    </w:p>
    <w:p>
      <w:pPr>
        <w:spacing w:after="0" w:line="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through an options exchange or otherwise;</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or</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77"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if available, rather than under this prospectus.</w:t>
      </w:r>
    </w:p>
    <w:p>
      <w:pPr>
        <w:spacing w:after="0" w:line="145" w:lineRule="exact"/>
        <w:rPr>
          <w:sz w:val="20"/>
          <w:szCs w:val="20"/>
          <w:color w:val="auto"/>
        </w:rPr>
      </w:pPr>
    </w:p>
    <w:p>
      <w:pPr>
        <w:ind w:right="220" w:firstLine="386"/>
        <w:spacing w:after="0" w:line="254"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62"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7" w:lineRule="exact"/>
        <w:rPr>
          <w:sz w:val="20"/>
          <w:szCs w:val="20"/>
          <w:color w:val="auto"/>
        </w:rPr>
      </w:pPr>
    </w:p>
    <w:p>
      <w:pPr>
        <w:ind w:right="180" w:firstLine="386"/>
        <w:spacing w:after="0" w:line="254" w:lineRule="auto"/>
        <w:rPr>
          <w:sz w:val="20"/>
          <w:szCs w:val="20"/>
          <w:color w:val="auto"/>
        </w:rPr>
      </w:pPr>
      <w:r>
        <w:rPr>
          <w:rFonts w:ascii="Times New Roman" w:cs="Times New Roman" w:eastAsia="Times New Roman" w:hAnsi="Times New Roman"/>
          <w:sz w:val="16"/>
          <w:szCs w:val="16"/>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ectPr>
          <w:pgSz w:w="11900" w:h="16838" w:orient="portrait"/>
          <w:cols w:equalWidth="0" w:num="1">
            <w:col w:w="9640"/>
          </w:cols>
          <w:pgMar w:left="1120" w:top="251" w:right="1139" w:bottom="1440" w:gutter="0" w:footer="0" w:header="0"/>
        </w:sectPr>
      </w:pPr>
    </w:p>
    <w:bookmarkStart w:id="169" w:name="page170"/>
    <w:bookmarkEnd w:id="169"/>
    <w:p>
      <w:pPr>
        <w:jc w:val="both"/>
        <w:ind w:right="200" w:firstLine="386"/>
        <w:spacing w:after="0" w:line="31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2" w:lineRule="exact"/>
        <w:rPr>
          <w:sz w:val="20"/>
          <w:szCs w:val="20"/>
          <w:color w:val="auto"/>
        </w:rPr>
      </w:pPr>
    </w:p>
    <w:p>
      <w:pPr>
        <w:ind w:right="80" w:firstLine="386"/>
        <w:spacing w:after="0" w:line="251" w:lineRule="auto"/>
        <w:rPr>
          <w:sz w:val="20"/>
          <w:szCs w:val="20"/>
          <w:color w:val="auto"/>
        </w:rPr>
      </w:pPr>
      <w:r>
        <w:rPr>
          <w:rFonts w:ascii="Times New Roman" w:cs="Times New Roman" w:eastAsia="Times New Roman" w:hAnsi="Times New Roman"/>
          <w:sz w:val="16"/>
          <w:szCs w:val="16"/>
          <w:color w:val="auto"/>
        </w:rPr>
        <w:t>We agreed to keep this prospectus effective until the earlier of (i) the date on which the securities may be resold by the Selling Stockholders without registration and without regard to any volume or manner- of-sale limitations by reason of Rule 144, and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67" w:lineRule="exact"/>
        <w:rPr>
          <w:sz w:val="20"/>
          <w:szCs w:val="20"/>
          <w:color w:val="auto"/>
        </w:rPr>
      </w:pPr>
    </w:p>
    <w:p>
      <w:pPr>
        <w:ind w:firstLine="386"/>
        <w:spacing w:after="0" w:line="272" w:lineRule="auto"/>
        <w:rPr>
          <w:sz w:val="20"/>
          <w:szCs w:val="20"/>
          <w:color w:val="auto"/>
        </w:rPr>
      </w:pPr>
      <w:r>
        <w:rPr>
          <w:rFonts w:ascii="Times New Roman" w:cs="Times New Roman" w:eastAsia="Times New Roman" w:hAnsi="Times New Roman"/>
          <w:sz w:val="15"/>
          <w:szCs w:val="15"/>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ectPr>
          <w:pgSz w:w="11900" w:h="16838" w:orient="portrait"/>
          <w:cols w:equalWidth="0" w:num="1">
            <w:col w:w="9620"/>
          </w:cols>
          <w:pgMar w:left="1120" w:top="253" w:right="115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Annex B</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96" w:lineRule="exact"/>
        <w:rPr>
          <w:sz w:val="20"/>
          <w:szCs w:val="20"/>
          <w:color w:val="auto"/>
        </w:rPr>
      </w:pPr>
    </w:p>
    <w:p>
      <w:pPr>
        <w:jc w:val="both"/>
        <w:ind w:right="140" w:firstLine="386"/>
        <w:spacing w:after="0" w:line="261" w:lineRule="auto"/>
        <w:rPr>
          <w:sz w:val="20"/>
          <w:szCs w:val="20"/>
          <w:color w:val="auto"/>
        </w:rPr>
      </w:pPr>
      <w:r>
        <w:rPr>
          <w:rFonts w:ascii="Times New Roman" w:cs="Times New Roman" w:eastAsia="Times New Roman" w:hAnsi="Times New Roman"/>
          <w:sz w:val="16"/>
          <w:szCs w:val="16"/>
          <w:color w:val="auto"/>
        </w:rPr>
        <w:t>For additional information regarding the issuances of those shares of common stock being registered for resale in this registration statement, see “Private Placement of Shares of Common Stock” and “Business Combination of [●] and [●]” above. We are registering the shares of common stock in order to permit the selling stockholders to offer the shares for resale from time to time.</w:t>
      </w:r>
    </w:p>
    <w:p>
      <w:pPr>
        <w:spacing w:after="0" w:line="157" w:lineRule="exact"/>
        <w:rPr>
          <w:sz w:val="20"/>
          <w:szCs w:val="20"/>
          <w:color w:val="auto"/>
        </w:rPr>
      </w:pPr>
    </w:p>
    <w:p>
      <w:pPr>
        <w:ind w:right="100" w:firstLine="386"/>
        <w:spacing w:after="0" w:line="275" w:lineRule="auto"/>
        <w:rPr>
          <w:sz w:val="20"/>
          <w:szCs w:val="20"/>
          <w:color w:val="auto"/>
        </w:rPr>
      </w:pPr>
      <w:r>
        <w:rPr>
          <w:rFonts w:ascii="Times New Roman" w:cs="Times New Roman" w:eastAsia="Times New Roman" w:hAnsi="Times New Roman"/>
          <w:sz w:val="15"/>
          <w:szCs w:val="15"/>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w:t>
      </w:r>
    </w:p>
    <w:tbl>
      <w:tblPr>
        <w:tblLayout w:type="fixed"/>
        <w:tblInd w:w="0" w:type="dxa"/>
        <w:tblCellMar>
          <w:top w:w="0" w:type="dxa"/>
          <w:left w:w="0" w:type="dxa"/>
          <w:bottom w:w="0" w:type="dxa"/>
          <w:right w:w="0" w:type="dxa"/>
        </w:tblCellMar>
      </w:tblPr>
      <w:tr>
        <w:trPr>
          <w:trHeight w:val="153"/>
        </w:trPr>
        <w:tc>
          <w:tcPr>
            <w:tcW w:w="30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w w:val="98"/>
              </w:rPr>
              <w:t>ownership of the shares of common stock, as of</w:t>
            </w:r>
          </w:p>
        </w:tc>
        <w:tc>
          <w:tcPr>
            <w:tcW w:w="11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auto"/>
              </w:rPr>
              <w:t>, 2022.</w:t>
            </w:r>
          </w:p>
        </w:tc>
      </w:tr>
      <w:tr>
        <w:trPr>
          <w:trHeight w:val="20"/>
        </w:trPr>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third column lists the shares of common stock being offered by this prospectus by the selling stockholders.</w:t>
      </w:r>
    </w:p>
    <w:p>
      <w:pPr>
        <w:spacing w:after="0" w:line="194" w:lineRule="exact"/>
        <w:rPr>
          <w:sz w:val="20"/>
          <w:szCs w:val="20"/>
          <w:color w:val="auto"/>
        </w:rPr>
      </w:pPr>
    </w:p>
    <w:p>
      <w:pPr>
        <w:ind w:right="120" w:firstLine="386"/>
        <w:spacing w:after="0" w:line="276" w:lineRule="auto"/>
        <w:rPr>
          <w:sz w:val="20"/>
          <w:szCs w:val="20"/>
          <w:color w:val="auto"/>
        </w:rPr>
      </w:pPr>
      <w:r>
        <w:rPr>
          <w:rFonts w:ascii="Times New Roman" w:cs="Times New Roman" w:eastAsia="Times New Roman" w:hAnsi="Times New Roman"/>
          <w:sz w:val="16"/>
          <w:szCs w:val="16"/>
          <w:color w:val="auto"/>
        </w:rPr>
        <w:t>The fourth column reflects the number of shares of common stock beneficially owned by each selling stockholder, assuming the sale of all of the shares offered by the selling stockholders pursuant to this prospectus.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selling stockholders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61277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Maximum Number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4"/>
              </w:rPr>
              <w:t>of shares of</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6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of Common Stock</w:t>
            </w:r>
          </w:p>
        </w:tc>
        <w:tc>
          <w:tcPr>
            <w:tcW w:w="13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Common Stock to</w:t>
            </w: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of Common Stock</w:t>
            </w:r>
          </w:p>
        </w:tc>
        <w:tc>
          <w:tcPr>
            <w:tcW w:w="0" w:type="dxa"/>
            <w:vAlign w:val="bottom"/>
          </w:tcPr>
          <w:p>
            <w:pPr>
              <w:spacing w:after="0"/>
              <w:rPr>
                <w:sz w:val="1"/>
                <w:szCs w:val="1"/>
                <w:color w:val="auto"/>
              </w:rPr>
            </w:pPr>
          </w:p>
        </w:tc>
      </w:tr>
      <w:tr>
        <w:trPr>
          <w:trHeight w:val="130"/>
        </w:trPr>
        <w:tc>
          <w:tcPr>
            <w:tcW w:w="2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Name of Selling Stockholder</w:t>
            </w:r>
          </w:p>
        </w:tc>
        <w:tc>
          <w:tcPr>
            <w:tcW w:w="1860" w:type="dxa"/>
            <w:vAlign w:val="bottom"/>
          </w:tcPr>
          <w:p>
            <w:pPr>
              <w:spacing w:after="0"/>
              <w:rPr>
                <w:sz w:val="11"/>
                <w:szCs w:val="11"/>
                <w:color w:val="auto"/>
              </w:rPr>
            </w:pPr>
          </w:p>
        </w:tc>
        <w:tc>
          <w:tcPr>
            <w:tcW w:w="136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Owned Prior to</w:t>
            </w:r>
          </w:p>
        </w:tc>
        <w:tc>
          <w:tcPr>
            <w:tcW w:w="134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be Sold Pursuant to</w:t>
            </w: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Owned After</w:t>
            </w:r>
          </w:p>
        </w:tc>
        <w:tc>
          <w:tcPr>
            <w:tcW w:w="0" w:type="dxa"/>
            <w:vAlign w:val="bottom"/>
          </w:tcPr>
          <w:p>
            <w:pPr>
              <w:spacing w:after="0"/>
              <w:rPr>
                <w:sz w:val="1"/>
                <w:szCs w:val="1"/>
                <w:color w:val="auto"/>
              </w:rPr>
            </w:pPr>
          </w:p>
        </w:tc>
      </w:tr>
      <w:tr>
        <w:trPr>
          <w:trHeight w:val="144"/>
        </w:trPr>
        <w:tc>
          <w:tcPr>
            <w:tcW w:w="2040" w:type="dxa"/>
            <w:vAlign w:val="bottom"/>
            <w:tcBorders>
              <w:bottom w:val="single" w:sz="8" w:color="auto"/>
            </w:tcBorders>
            <w:vMerge w:val="continue"/>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5"/>
              </w:rPr>
              <w:t>this Prospectus</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0" w:type="dxa"/>
            <w:vAlign w:val="bottom"/>
          </w:tcPr>
          <w:p>
            <w:pPr>
              <w:spacing w:after="0"/>
              <w:rPr>
                <w:sz w:val="1"/>
                <w:szCs w:val="1"/>
                <w:color w:val="auto"/>
              </w:rPr>
            </w:pPr>
          </w:p>
        </w:tc>
      </w:tr>
    </w:tbl>
    <w:p>
      <w:pPr>
        <w:sectPr>
          <w:pgSz w:w="11900" w:h="16838" w:orient="portrait"/>
          <w:cols w:equalWidth="0" w:num="1">
            <w:col w:w="9640"/>
          </w:cols>
          <w:pgMar w:left="1120" w:top="251" w:right="11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Annex 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Stockholder Notice and Questionnaire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owner of Registrable Securities (as such term is defined in the Registration Rights Agreement) of Disc Medicine, Inc.,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understands that the Company has filed or intends to file with the Securities and Exchange Commission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a Registration Statement for the registration and resale under Rule 415 of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Registrable Securities, in accordance with the terms of the Registration Rights Agreement dated as of [•], 2022 to which the Company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undersigned are parties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 copy of the Registration Rights Agreement is available from the Company upon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request at the address set forth below. All capitalized terms not otherwise defined herein shall have the meanings ascribed thereto in the Registration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Agreement.</w:t>
      </w:r>
    </w:p>
    <w:p>
      <w:pPr>
        <w:spacing w:after="0" w:line="177" w:lineRule="exact"/>
        <w:rPr>
          <w:sz w:val="20"/>
          <w:szCs w:val="20"/>
          <w:color w:val="auto"/>
        </w:rPr>
      </w:pPr>
    </w:p>
    <w:p>
      <w:pPr>
        <w:ind w:right="40" w:firstLine="386"/>
        <w:spacing w:after="0" w:line="261" w:lineRule="auto"/>
        <w:rPr>
          <w:sz w:val="20"/>
          <w:szCs w:val="20"/>
          <w:color w:val="auto"/>
        </w:rPr>
      </w:pPr>
      <w:r>
        <w:rPr>
          <w:rFonts w:ascii="Times New Roman" w:cs="Times New Roman" w:eastAsia="Times New Roman" w:hAnsi="Times New Roman"/>
          <w:sz w:val="16"/>
          <w:szCs w:val="16"/>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w:t>
      </w:r>
    </w:p>
    <w:p>
      <w:pPr>
        <w:spacing w:after="0" w:line="196" w:lineRule="exact"/>
        <w:rPr>
          <w:sz w:val="20"/>
          <w:szCs w:val="20"/>
          <w:color w:val="auto"/>
        </w:rPr>
      </w:pPr>
    </w:p>
    <w:p>
      <w:pPr>
        <w:ind w:right="120" w:firstLine="386"/>
        <w:spacing w:after="0" w:line="276" w:lineRule="auto"/>
        <w:rPr>
          <w:sz w:val="20"/>
          <w:szCs w:val="20"/>
          <w:color w:val="auto"/>
        </w:rPr>
      </w:pPr>
      <w:r>
        <w:rPr>
          <w:rFonts w:ascii="Times New Roman" w:cs="Times New Roman" w:eastAsia="Times New Roman" w:hAnsi="Times New Roman"/>
          <w:sz w:val="16"/>
          <w:szCs w:val="16"/>
          <w:color w:val="auto"/>
        </w:rPr>
        <w:t>The undersigned beneficial owner (the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612775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3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hereby provides the following information to the Company and represents and warrants that such information is accurate: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1.    Name.</w:t>
            </w:r>
          </w:p>
        </w:tc>
        <w:tc>
          <w:tcPr>
            <w:tcW w:w="8800" w:type="dxa"/>
            <w:vAlign w:val="bottom"/>
          </w:tcPr>
          <w:p>
            <w:pPr>
              <w:ind w:left="3320"/>
              <w:spacing w:after="0"/>
              <w:rPr>
                <w:sz w:val="20"/>
                <w:szCs w:val="20"/>
                <w:color w:val="auto"/>
              </w:rPr>
            </w:pPr>
            <w:r>
              <w:rPr>
                <w:rFonts w:ascii="Times New Roman" w:cs="Times New Roman" w:eastAsia="Times New Roman" w:hAnsi="Times New Roman"/>
                <w:sz w:val="16"/>
                <w:szCs w:val="16"/>
                <w:b w:val="1"/>
                <w:bCs w:val="1"/>
                <w:color w:val="auto"/>
              </w:rPr>
              <w:t>QUESTIONNAIRE</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Full Legal Name of Selling Stockholder</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8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    </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Full Legal Name of Registered Holder (if not the same as (a) above) through which Registrable Securities are held:</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8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    </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w w:val="98"/>
              </w:rPr>
              <w:t>Full Legal Name of Natural Control Person (which means a natural person who directly or indirectly alone or with others has power to vote</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or dispose of the securities covered by this Questionnaire):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120015</wp:posOffset>
            </wp:positionV>
            <wp:extent cx="559498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94985" cy="762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Address for Notices to Selling Stockholder: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50546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546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8509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-8255</wp:posOffset>
            </wp:positionV>
            <wp:extent cx="507936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793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12509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ectPr>
          <w:pgSz w:w="11900" w:h="16838" w:orient="portrait"/>
          <w:cols w:equalWidth="0" w:num="1">
            <w:col w:w="9640"/>
          </w:cols>
          <w:pgMar w:left="1120" w:top="251" w:right="11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-8255</wp:posOffset>
            </wp:positionV>
            <wp:extent cx="542988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29885" cy="76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73"/>
              </w:rPr>
              <w:t>3. </w:t>
            </w:r>
          </w:p>
        </w:tc>
        <w:tc>
          <w:tcPr>
            <w:tcW w:w="9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Broker-Dealer Status:</w:t>
            </w:r>
          </w:p>
        </w:tc>
      </w:tr>
      <w:tr>
        <w:trPr>
          <w:trHeight w:val="284"/>
        </w:trPr>
        <w:tc>
          <w:tcPr>
            <w:tcW w:w="2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Are you a broker-dealer?</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8"/>
        </w:trPr>
        <w:tc>
          <w:tcPr>
            <w:tcW w:w="200" w:type="dxa"/>
            <w:vAlign w:val="bottom"/>
          </w:tcPr>
          <w:p>
            <w:pPr>
              <w:spacing w:after="0"/>
              <w:rPr>
                <w:sz w:val="23"/>
                <w:szCs w:val="23"/>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If “yes” to Section 3(a), did you receive your Registrable Securities as compensation for investment banking services to the Company?</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8"/>
        </w:trPr>
        <w:tc>
          <w:tcPr>
            <w:tcW w:w="200" w:type="dxa"/>
            <w:vAlign w:val="bottom"/>
          </w:tcPr>
          <w:p>
            <w:pPr>
              <w:spacing w:after="0"/>
              <w:rPr>
                <w:sz w:val="23"/>
                <w:szCs w:val="23"/>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Note: If “no” to Section 3(b), the Commission’s staff has indicated that you should be identified as an underwriter in the Registration Statement.</w:t>
            </w:r>
          </w:p>
        </w:tc>
      </w:tr>
      <w:tr>
        <w:trPr>
          <w:trHeight w:val="284"/>
        </w:trPr>
        <w:tc>
          <w:tcPr>
            <w:tcW w:w="2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Are you an affiliate of a broker-dealer?</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51"/>
        </w:trPr>
        <w:tc>
          <w:tcPr>
            <w:tcW w:w="20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w w:val="99"/>
              </w:rPr>
              <w:t>If you are an affiliate of a broker-dealer, do you certify that you purchased the Registrable Securities in the ordinary course of business, and</w:t>
            </w:r>
          </w:p>
        </w:tc>
      </w:tr>
      <w:tr>
        <w:trPr>
          <w:trHeight w:val="189"/>
        </w:trPr>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at the time of the purchase of the Registrable Securities to be resold, you had no agreements or understandings, directly or indirectly, with</w:t>
            </w:r>
          </w:p>
        </w:tc>
      </w:tr>
      <w:tr>
        <w:trPr>
          <w:trHeight w:val="206"/>
        </w:trPr>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any person to distribute the Registrable Securities?</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8"/>
        </w:trPr>
        <w:tc>
          <w:tcPr>
            <w:tcW w:w="200" w:type="dxa"/>
            <w:vAlign w:val="bottom"/>
          </w:tcPr>
          <w:p>
            <w:pPr>
              <w:spacing w:after="0"/>
              <w:rPr>
                <w:sz w:val="23"/>
                <w:szCs w:val="23"/>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Note: If “no” to Section 3(d), the Commission’s staff has indicated that you should be identified as an underwriter in the Registration Statement.</w:t>
            </w:r>
          </w:p>
        </w:tc>
      </w:tr>
      <w:tr>
        <w:trPr>
          <w:trHeight w:val="378"/>
        </w:trPr>
        <w:tc>
          <w:tcPr>
            <w:tcW w:w="9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Ownership of Securities of the Company Owned by the Selling Stockholder.</w:t>
            </w:r>
          </w:p>
        </w:tc>
      </w:tr>
      <w:tr>
        <w:trPr>
          <w:trHeight w:val="265"/>
        </w:trPr>
        <w:tc>
          <w:tcPr>
            <w:tcW w:w="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94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  Except as set forth below in this Item 4, the undersigned is not the beneficial or registered owner of any securities of the Company other than the</w:t>
            </w:r>
          </w:p>
        </w:tc>
      </w:tr>
      <w:tr>
        <w:trPr>
          <w:trHeight w:val="208"/>
        </w:trPr>
        <w:tc>
          <w:tcPr>
            <w:tcW w:w="20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securities issuable pursuant to the Purchase Agreement.</w:t>
            </w:r>
          </w:p>
        </w:tc>
      </w:tr>
      <w:tr>
        <w:trPr>
          <w:trHeight w:val="284"/>
        </w:trPr>
        <w:tc>
          <w:tcPr>
            <w:tcW w:w="2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Type and Amount of other Company securities owned by the Selling Stockholder (including beneficially owned, as applicable):</w:t>
            </w:r>
          </w:p>
        </w:tc>
      </w:tr>
      <w:tr>
        <w:trPr>
          <w:trHeight w:val="189"/>
        </w:trPr>
        <w:tc>
          <w:tcPr>
            <w:tcW w:w="760" w:type="dxa"/>
            <w:vAlign w:val="bottom"/>
            <w:gridSpan w:val="2"/>
          </w:tcPr>
          <w:p>
            <w:pPr>
              <w:spacing w:after="0"/>
              <w:rPr>
                <w:sz w:val="16"/>
                <w:szCs w:val="16"/>
                <w:color w:val="auto"/>
              </w:rPr>
            </w:pPr>
          </w:p>
        </w:tc>
        <w:tc>
          <w:tcPr>
            <w:tcW w:w="8880" w:type="dxa"/>
            <w:vAlign w:val="bottom"/>
            <w:tcBorders>
              <w:bottom w:val="single" w:sz="8" w:color="auto"/>
            </w:tcBorders>
          </w:tcPr>
          <w:p>
            <w:pPr>
              <w:spacing w:after="0"/>
              <w:rPr>
                <w:sz w:val="16"/>
                <w:szCs w:val="16"/>
                <w:color w:val="auto"/>
              </w:rPr>
            </w:pPr>
          </w:p>
        </w:tc>
      </w:tr>
      <w:tr>
        <w:trPr>
          <w:trHeight w:val="193"/>
        </w:trPr>
        <w:tc>
          <w:tcPr>
            <w:tcW w:w="760" w:type="dxa"/>
            <w:vAlign w:val="bottom"/>
            <w:gridSpan w:val="2"/>
          </w:tcPr>
          <w:p>
            <w:pPr>
              <w:spacing w:after="0"/>
              <w:rPr>
                <w:sz w:val="16"/>
                <w:szCs w:val="16"/>
                <w:color w:val="auto"/>
              </w:rPr>
            </w:pPr>
          </w:p>
        </w:tc>
        <w:tc>
          <w:tcPr>
            <w:tcW w:w="8880" w:type="dxa"/>
            <w:vAlign w:val="bottom"/>
            <w:tcBorders>
              <w:bottom w:val="single" w:sz="8" w:color="auto"/>
            </w:tcBorders>
          </w:tcPr>
          <w:p>
            <w:pPr>
              <w:spacing w:after="0"/>
              <w:rPr>
                <w:sz w:val="16"/>
                <w:szCs w:val="16"/>
                <w:color w:val="auto"/>
              </w:rPr>
            </w:pPr>
          </w:p>
        </w:tc>
      </w:tr>
      <w:tr>
        <w:trPr>
          <w:trHeight w:val="383"/>
        </w:trPr>
        <w:tc>
          <w:tcPr>
            <w:tcW w:w="9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Relationships with the Company:</w:t>
            </w:r>
          </w:p>
        </w:tc>
      </w:tr>
      <w:tr>
        <w:trPr>
          <w:trHeight w:val="265"/>
        </w:trPr>
        <w:tc>
          <w:tcPr>
            <w:tcW w:w="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94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w w:val="99"/>
              </w:rPr>
              <w:t>  Except as set forth below, neither the undersigned nor any of its affiliates, officers, directors or principal equity holders (owners of 5% of more of</w:t>
            </w:r>
          </w:p>
        </w:tc>
      </w:tr>
      <w:tr>
        <w:trPr>
          <w:trHeight w:val="189"/>
        </w:trPr>
        <w:tc>
          <w:tcPr>
            <w:tcW w:w="200" w:type="dxa"/>
            <w:vAlign w:val="bottom"/>
          </w:tcPr>
          <w:p>
            <w:pPr>
              <w:spacing w:after="0"/>
              <w:rPr>
                <w:sz w:val="16"/>
                <w:szCs w:val="16"/>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the equity securities of the undersigned) has held any position or office or has had any other material relationship with the Company (or its</w:t>
            </w:r>
          </w:p>
        </w:tc>
      </w:tr>
      <w:tr>
        <w:trPr>
          <w:trHeight w:val="208"/>
        </w:trPr>
        <w:tc>
          <w:tcPr>
            <w:tcW w:w="20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predecessors or affiliates) during the past three years.</w:t>
            </w:r>
          </w:p>
        </w:tc>
      </w:tr>
    </w:tbl>
    <w:p>
      <w:pPr>
        <w:sectPr>
          <w:pgSz w:w="11900" w:h="16838" w:orient="portrait"/>
          <w:cols w:equalWidth="0" w:num="1">
            <w:col w:w="9640"/>
          </w:cols>
          <w:pgMar w:left="1120" w:top="442" w:right="11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133985</wp:posOffset>
            </wp:positionV>
            <wp:extent cx="576008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60085" cy="7620"/>
                    </a:xfrm>
                    <a:prstGeom prst="rect">
                      <a:avLst/>
                    </a:prstGeom>
                    <a:noFill/>
                  </pic:spPr>
                </pic:pic>
              </a:graphicData>
            </a:graphic>
          </wp:anchor>
        </w:drawing>
      </w:r>
    </w:p>
    <w:p>
      <w:pPr>
        <w:spacing w:after="0" w:line="305" w:lineRule="exact"/>
        <w:rPr>
          <w:sz w:val="20"/>
          <w:szCs w:val="20"/>
          <w:color w:val="auto"/>
        </w:rPr>
      </w:pPr>
    </w:p>
    <w:p>
      <w:pPr>
        <w:ind w:firstLine="315"/>
        <w:spacing w:after="0" w:line="261" w:lineRule="auto"/>
        <w:rPr>
          <w:sz w:val="20"/>
          <w:szCs w:val="20"/>
          <w:color w:val="auto"/>
        </w:rPr>
      </w:pPr>
      <w:r>
        <w:rPr>
          <w:rFonts w:ascii="Times New Roman" w:cs="Times New Roman" w:eastAsia="Times New Roman" w:hAnsi="Times New Roman"/>
          <w:sz w:val="16"/>
          <w:szCs w:val="16"/>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62" w:lineRule="exact"/>
        <w:rPr>
          <w:sz w:val="20"/>
          <w:szCs w:val="20"/>
          <w:color w:val="auto"/>
        </w:rPr>
      </w:pPr>
    </w:p>
    <w:p>
      <w:pPr>
        <w:ind w:right="120" w:firstLine="315"/>
        <w:spacing w:after="0" w:line="256" w:lineRule="auto"/>
        <w:rPr>
          <w:sz w:val="20"/>
          <w:szCs w:val="20"/>
          <w:color w:val="auto"/>
        </w:rPr>
      </w:pPr>
      <w:r>
        <w:rPr>
          <w:rFonts w:ascii="Times New Roman" w:cs="Times New Roman" w:eastAsia="Times New Roman" w:hAnsi="Times New Roman"/>
          <w:sz w:val="16"/>
          <w:szCs w:val="16"/>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66" w:lineRule="exact"/>
        <w:rPr>
          <w:sz w:val="20"/>
          <w:szCs w:val="20"/>
          <w:color w:val="auto"/>
        </w:rPr>
      </w:pPr>
    </w:p>
    <w:p>
      <w:pPr>
        <w:ind w:right="80" w:firstLine="315"/>
        <w:spacing w:after="0" w:line="276" w:lineRule="auto"/>
        <w:rPr>
          <w:sz w:val="20"/>
          <w:szCs w:val="20"/>
          <w:color w:val="auto"/>
        </w:rPr>
      </w:pPr>
      <w:r>
        <w:rPr>
          <w:rFonts w:ascii="Times New Roman" w:cs="Times New Roman" w:eastAsia="Times New Roman" w:hAnsi="Times New Roman"/>
          <w:sz w:val="16"/>
          <w:szCs w:val="16"/>
          <w:color w:val="auto"/>
        </w:rPr>
        <w:t>IN WITNESS WHEREOF the undersigned, by authority duly given, has caused this Notice and Questionnaire to be executed and delivered either in person or by its duly authorized agent.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06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Beneficial</w:t>
            </w:r>
          </w:p>
        </w:tc>
      </w:tr>
      <w:tr>
        <w:trPr>
          <w:trHeight w:val="209"/>
        </w:trPr>
        <w:tc>
          <w:tcPr>
            <w:tcW w:w="380" w:type="dxa"/>
            <w:vAlign w:val="bottom"/>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Owner:</w:t>
            </w:r>
          </w:p>
        </w:tc>
      </w:tr>
      <w:tr>
        <w:trPr>
          <w:trHeight w:val="350"/>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r>
      <w:tr>
        <w:trPr>
          <w:trHeight w:val="189"/>
        </w:trPr>
        <w:tc>
          <w:tcPr>
            <w:tcW w:w="3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w:t>
            </w:r>
          </w:p>
        </w:tc>
      </w:tr>
      <w:tr>
        <w:trPr>
          <w:trHeight w:val="206"/>
        </w:trPr>
        <w:tc>
          <w:tcPr>
            <w:tcW w:w="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-120015</wp:posOffset>
            </wp:positionV>
            <wp:extent cx="27559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55900" cy="76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-480695</wp:posOffset>
            </wp:positionV>
            <wp:extent cx="27559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FAX A COPY (OR EMAIL A .PDF COPY) OF THE COMPLETED AND EXECUTED NOTICE AND QUESTIONNAIRE TO:</w:t>
      </w:r>
    </w:p>
    <w:p>
      <w:pPr>
        <w:sectPr>
          <w:pgSz w:w="11900" w:h="16838" w:orient="portrait"/>
          <w:cols w:equalWidth="0" w:num="1">
            <w:col w:w="9600"/>
          </w:cols>
          <w:pgMar w:left="1120" w:top="348" w:right="11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Annex 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HOLDER REPRESENTATION LETTER</w:t>
      </w:r>
    </w:p>
    <w:p>
      <w:pPr>
        <w:spacing w:after="0" w:line="177" w:lineRule="exact"/>
        <w:rPr>
          <w:sz w:val="20"/>
          <w:szCs w:val="20"/>
          <w:color w:val="auto"/>
        </w:rPr>
      </w:pPr>
    </w:p>
    <w:p>
      <w:pPr>
        <w:ind w:left="900" w:hanging="74"/>
        <w:spacing w:after="0"/>
        <w:tabs>
          <w:tab w:leader="none" w:pos="90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w:t>
      </w:r>
    </w:p>
    <w:p>
      <w:pPr>
        <w:spacing w:after="0" w:line="9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53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53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Northern 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02110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Whom It May Concern: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(the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hereby requests that the federal securities law restrictive legend be removed from the book entries representing</w:t>
      </w:r>
    </w:p>
    <w:p>
      <w:pPr>
        <w:spacing w:after="0" w:line="22" w:lineRule="exact"/>
        <w:rPr>
          <w:sz w:val="20"/>
          <w:szCs w:val="20"/>
          <w:color w:val="auto"/>
        </w:rPr>
      </w:pPr>
    </w:p>
    <w:p>
      <w:pPr>
        <w:ind w:right="180" w:firstLine="670"/>
        <w:spacing w:after="0" w:line="253" w:lineRule="auto"/>
        <w:rPr>
          <w:sz w:val="20"/>
          <w:szCs w:val="20"/>
          <w:color w:val="auto"/>
        </w:rPr>
      </w:pPr>
      <w:r>
        <w:rPr>
          <w:rFonts w:ascii="Times New Roman" w:cs="Times New Roman" w:eastAsia="Times New Roman" w:hAnsi="Times New Roman"/>
          <w:sz w:val="16"/>
          <w:szCs w:val="16"/>
          <w:color w:val="auto"/>
        </w:rPr>
        <w:t>of shares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Disc Medicine,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In connection with the legend removal, Holder hereby represents to, and agrees with, you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40005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0050" cy="7620"/>
                    </a:xfrm>
                    <a:prstGeom prst="rect">
                      <a:avLst/>
                    </a:prstGeom>
                    <a:noFill/>
                  </pic:spPr>
                </pic:pic>
              </a:graphicData>
            </a:graphic>
          </wp:anchor>
        </w:drawing>
      </w:r>
    </w:p>
    <w:p>
      <w:pPr>
        <w:spacing w:after="0" w:line="60" w:lineRule="exact"/>
        <w:rPr>
          <w:sz w:val="20"/>
          <w:szCs w:val="20"/>
          <w:color w:val="auto"/>
        </w:rPr>
      </w:pPr>
    </w:p>
    <w:p>
      <w:pPr>
        <w:ind w:left="860" w:hanging="483"/>
        <w:spacing w:after="0"/>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are owned of record and beneficially by Holder.</w:t>
      </w:r>
    </w:p>
    <w:p>
      <w:pPr>
        <w:spacing w:after="0" w:line="111" w:lineRule="exact"/>
        <w:rPr>
          <w:rFonts w:ascii="Times New Roman" w:cs="Times New Roman" w:eastAsia="Times New Roman" w:hAnsi="Times New Roman"/>
          <w:sz w:val="16"/>
          <w:szCs w:val="16"/>
          <w:color w:val="auto"/>
        </w:rPr>
      </w:pPr>
    </w:p>
    <w:p>
      <w:pPr>
        <w:ind w:left="860" w:right="40" w:hanging="483"/>
        <w:spacing w:after="0" w:line="251" w:lineRule="auto"/>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that, if the Shares are not eligible to be sold pursuant to Rule 144 promulgated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any offer, sale or transfer of, or other transaction involving, the Shares will only be made (i) pursuant to the Company’s Registration Statement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filed pursuant to the Securities Act, in a transaction contemplated in the “Plan of Distribution” section of the prospectus included in the Registration Statement and in accordance with the terms and conditions set forth in the Registration Rights Agreement, dated [ ], 2022, by and among Disc Medicine, Inc. and Purchasers (the “</w:t>
      </w:r>
      <w:r>
        <w:rPr>
          <w:rFonts w:ascii="Times New Roman" w:cs="Times New Roman" w:eastAsia="Times New Roman" w:hAnsi="Times New Roman"/>
          <w:sz w:val="16"/>
          <w:szCs w:val="16"/>
          <w:u w:val="single" w:color="auto"/>
          <w:color w:val="auto"/>
        </w:rPr>
        <w:t>RRA</w:t>
      </w:r>
      <w:r>
        <w:rPr>
          <w:rFonts w:ascii="Times New Roman" w:cs="Times New Roman" w:eastAsia="Times New Roman" w:hAnsi="Times New Roman"/>
          <w:sz w:val="16"/>
          <w:szCs w:val="16"/>
          <w:color w:val="auto"/>
        </w:rPr>
        <w:t>”), including, but not limited to, the restrictions upon sales that may be imposed as set forth in the RRA or (ii) to an exemption from the registration requirements of the Securities Act subject to receipt of a legal opinion from Goodwin Procter LLP or other counsel acceptable to the Company that such offer, sale or transfer is exempt from the registration requirements of the Securities Act;</w:t>
      </w:r>
    </w:p>
    <w:p>
      <w:pPr>
        <w:spacing w:after="0" w:line="80" w:lineRule="exact"/>
        <w:rPr>
          <w:rFonts w:ascii="Times New Roman" w:cs="Times New Roman" w:eastAsia="Times New Roman" w:hAnsi="Times New Roman"/>
          <w:sz w:val="16"/>
          <w:szCs w:val="16"/>
          <w:color w:val="auto"/>
        </w:rPr>
      </w:pPr>
    </w:p>
    <w:p>
      <w:pPr>
        <w:ind w:left="860" w:right="40" w:hanging="483"/>
        <w:spacing w:after="0" w:line="279" w:lineRule="auto"/>
        <w:tabs>
          <w:tab w:leader="none" w:pos="86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 agrees, for the benefit of the Company and Goodwin Procter LLP, that it will (i) not offer and sell, or cause or permit to be offered or sold, any Shares in violation of federal and state securities laws, including, without limitation, prospectus delivery requirements of the Securities Act and (ii) immediately stop selling or transferring Shares pursuant to the Registration Statement upon receipt of written notice from the Company that the Registration Statement may not be used to effect offers, sales or other transfers of the Shares;</w:t>
      </w:r>
    </w:p>
    <w:p>
      <w:pPr>
        <w:spacing w:after="0" w:line="61" w:lineRule="exact"/>
        <w:rPr>
          <w:rFonts w:ascii="Times New Roman" w:cs="Times New Roman" w:eastAsia="Times New Roman" w:hAnsi="Times New Roman"/>
          <w:sz w:val="15"/>
          <w:szCs w:val="15"/>
          <w:color w:val="auto"/>
        </w:rPr>
      </w:pPr>
    </w:p>
    <w:p>
      <w:pPr>
        <w:jc w:val="both"/>
        <w:ind w:left="860" w:right="60" w:hanging="483"/>
        <w:spacing w:after="0" w:line="261" w:lineRule="auto"/>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(or, in the case of individuals, Holder’s employer) has in place internal policies and procedures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p>
      <w:pPr>
        <w:spacing w:after="0" w:line="73" w:lineRule="exact"/>
        <w:rPr>
          <w:rFonts w:ascii="Times New Roman" w:cs="Times New Roman" w:eastAsia="Times New Roman" w:hAnsi="Times New Roman"/>
          <w:sz w:val="16"/>
          <w:szCs w:val="16"/>
          <w:color w:val="auto"/>
        </w:rPr>
      </w:pPr>
    </w:p>
    <w:p>
      <w:pPr>
        <w:ind w:left="860" w:right="400" w:hanging="483"/>
        <w:spacing w:after="0" w:line="261" w:lineRule="auto"/>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that, in the event the Company in the future reasonably determines that the Shares should be evidenced by a certificate bearing appropriate restrictive transfer legends (and/or a book-entry including a notation of restricted security status) because the Registration Statement is not available for the resale of the Shares and the Shares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-1797050</wp:posOffset>
            </wp:positionV>
            <wp:extent cx="10033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0330" cy="7620"/>
                    </a:xfrm>
                    <a:prstGeom prst="rect">
                      <a:avLst/>
                    </a:prstGeom>
                    <a:noFill/>
                  </pic:spPr>
                </pic:pic>
              </a:graphicData>
            </a:graphic>
          </wp:anchor>
        </w:drawing>
      </w:r>
    </w:p>
    <w:p>
      <w:pPr>
        <w:sectPr>
          <w:pgSz w:w="11900" w:h="16838" w:orient="portrait"/>
          <w:cols w:equalWidth="0" w:num="1">
            <w:col w:w="9640"/>
          </w:cols>
          <w:pgMar w:left="1120" w:top="251" w:right="1139" w:bottom="1440" w:gutter="0" w:footer="0" w:header="0"/>
        </w:sectPr>
      </w:pPr>
    </w:p>
    <w:bookmarkStart w:id="175" w:name="page176"/>
    <w:bookmarkEnd w:id="175"/>
    <w:p>
      <w:pPr>
        <w:jc w:val="both"/>
        <w:ind w:left="540" w:right="2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eligible to be sold pursuant to Rule 144 promulgated under the Securities Act, the undersigned will take all reasonable action to cause all Shares it then owns or controls to be delivered promptly to the Company’s transfer agent in exchange for one or more stock certificates or warrant certificates bearing restrictive legends (and/or book-entries including a notation of restricted security status) deemed appropriate by the Company;</w:t>
      </w:r>
    </w:p>
    <w:p>
      <w:pPr>
        <w:spacing w:after="0" w:line="78" w:lineRule="exact"/>
        <w:rPr>
          <w:sz w:val="20"/>
          <w:szCs w:val="20"/>
          <w:color w:val="auto"/>
        </w:rPr>
      </w:pPr>
    </w:p>
    <w:p>
      <w:pPr>
        <w:ind w:left="540" w:right="80" w:hanging="483"/>
        <w:spacing w:after="0" w:line="254" w:lineRule="auto"/>
        <w:tabs>
          <w:tab w:leader="none" w:pos="5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acknowledges that the Shares shall remain “restricted securities” as that term is defined for purposes of the Securities Act notwithstanding the removal of their federal securities law restrictive legend, and Holder agrees that it will inform its brokers of the fact that such securities are “restricted securities” before any offer, sale or transfer of, or other transaction involving, the Shares. In addition, Holder shall notify the Company of all brokers in whose name, or on whose behalf, any of the Shares are being held on behalf of Holder; and</w:t>
      </w:r>
    </w:p>
    <w:p>
      <w:pPr>
        <w:spacing w:after="0" w:line="78" w:lineRule="exact"/>
        <w:rPr>
          <w:rFonts w:ascii="Times New Roman" w:cs="Times New Roman" w:eastAsia="Times New Roman" w:hAnsi="Times New Roman"/>
          <w:sz w:val="16"/>
          <w:szCs w:val="16"/>
          <w:color w:val="auto"/>
        </w:rPr>
      </w:pPr>
    </w:p>
    <w:p>
      <w:pPr>
        <w:ind w:left="540" w:hanging="483"/>
        <w:spacing w:after="0" w:line="254" w:lineRule="auto"/>
        <w:tabs>
          <w:tab w:leader="none" w:pos="5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is familiar with the requirements for effecting resales or transfers of, or other transactions involving, the Shares in compliance with federal and state securities laws and acknowledges and agrees that the Company and Goodwin Procter LLP (together, the “</w:t>
      </w:r>
      <w:r>
        <w:rPr>
          <w:rFonts w:ascii="Times New Roman" w:cs="Times New Roman" w:eastAsia="Times New Roman" w:hAnsi="Times New Roman"/>
          <w:sz w:val="16"/>
          <w:szCs w:val="16"/>
          <w:u w:val="single" w:color="auto"/>
          <w:color w:val="auto"/>
        </w:rPr>
        <w:t>Indemnified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are relying on Holder’s representations and agreements in this letter. Holder will indemnify and hold harmless the Indemnified Parties against any and all loss, damage, claim, liability and expense arising out of or resulting from the breach of any such representation or agreement.</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[HOLDER]</w:t>
      </w:r>
    </w:p>
    <w:p>
      <w:pPr>
        <w:spacing w:after="0" w:line="1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260"/>
          </w:cols>
          <w:pgMar w:left="1440" w:top="253" w:right="119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 OF CONTINGENT VALUE RIGHTS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BETWEEN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[GEM]</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[______________]</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Dated as of [•]</w:t>
      </w:r>
    </w:p>
    <w:p>
      <w:pPr>
        <w:sectPr>
          <w:pgSz w:w="11900" w:h="16838" w:orient="portrait"/>
          <w:cols w:equalWidth="0" w:num="1">
            <w:col w:w="9019"/>
          </w:cols>
          <w:pgMar w:left="1440" w:top="251" w:right="1440" w:bottom="1440" w:gutter="0" w:footer="0" w:header="0"/>
        </w:sectPr>
      </w:pPr>
    </w:p>
    <w:bookmarkStart w:id="177" w:name="page178"/>
    <w:bookmarkEnd w:id="17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FORM OF</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94" w:lineRule="exact"/>
        <w:rPr>
          <w:sz w:val="20"/>
          <w:szCs w:val="20"/>
          <w:color w:val="auto"/>
        </w:rPr>
      </w:pPr>
    </w:p>
    <w:p>
      <w:pPr>
        <w:ind w:right="60" w:firstLine="386"/>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THIS CONTINGENT VALUE RIGHTS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 is entered into by and among [Gem] a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[[___], as Holder’s Representative,] and [•], as initial Rights Agent (as defined herein).</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PREAMBLE</w:t>
      </w:r>
    </w:p>
    <w:p>
      <w:pPr>
        <w:spacing w:after="0" w:line="196" w:lineRule="exact"/>
        <w:rPr>
          <w:sz w:val="20"/>
          <w:szCs w:val="20"/>
          <w:color w:val="auto"/>
        </w:rPr>
      </w:pPr>
    </w:p>
    <w:p>
      <w:pPr>
        <w:ind w:right="240" w:firstLine="386"/>
        <w:spacing w:after="0" w:line="256" w:lineRule="auto"/>
        <w:rPr>
          <w:sz w:val="20"/>
          <w:szCs w:val="20"/>
          <w:color w:val="auto"/>
        </w:rPr>
      </w:pPr>
      <w:r>
        <w:rPr>
          <w:rFonts w:ascii="Times New Roman" w:cs="Times New Roman" w:eastAsia="Times New Roman" w:hAnsi="Times New Roman"/>
          <w:sz w:val="16"/>
          <w:szCs w:val="16"/>
          <w:color w:val="auto"/>
        </w:rPr>
        <w:t>WHEREAS, Gem, [Gemstone Merger Sub, Inc.], a Delaware corporation and wholly-owned subsidiary of Gem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have entered into an Agreement and Plan of Merger and Reorganization, dated as of [•], 2022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pursuant to which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wholly-owned subsidiary of Gem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386"/>
        <w:spacing w:after="0" w:line="261" w:lineRule="auto"/>
        <w:rPr>
          <w:sz w:val="20"/>
          <w:szCs w:val="20"/>
          <w:color w:val="auto"/>
        </w:rPr>
      </w:pPr>
      <w:r>
        <w:rPr>
          <w:rFonts w:ascii="Times New Roman" w:cs="Times New Roman" w:eastAsia="Times New Roman" w:hAnsi="Times New Roman"/>
          <w:sz w:val="16"/>
          <w:szCs w:val="16"/>
          <w:color w:val="auto"/>
        </w:rPr>
        <w:t>WHEREAS, pursuant to the Merger Agreement, and in accordance with the terms and conditions thereof, Gem has agreed to provide to the Holders (as defined herein), who shall initially be Persons who are stockholders of Gem as of immediately prior to the Effective Time, contingent value rights as hereinafter described, by way of a dividend or distribution consistent with the Merger Agreement; and</w:t>
      </w:r>
    </w:p>
    <w:p>
      <w:pPr>
        <w:spacing w:after="0" w:line="157" w:lineRule="exact"/>
        <w:rPr>
          <w:sz w:val="20"/>
          <w:szCs w:val="20"/>
          <w:color w:val="auto"/>
        </w:rPr>
      </w:pPr>
    </w:p>
    <w:p>
      <w:pPr>
        <w:ind w:right="140" w:firstLine="386"/>
        <w:spacing w:after="0" w:line="276" w:lineRule="auto"/>
        <w:rPr>
          <w:sz w:val="20"/>
          <w:szCs w:val="20"/>
          <w:color w:val="auto"/>
        </w:rPr>
      </w:pPr>
      <w:r>
        <w:rPr>
          <w:rFonts w:ascii="Times New Roman" w:cs="Times New Roman" w:eastAsia="Times New Roman" w:hAnsi="Times New Roman"/>
          <w:sz w:val="16"/>
          <w:szCs w:val="16"/>
          <w:color w:val="auto"/>
        </w:rPr>
        <w:t>WHEREAS, the parties have done all things necessary to make the contingent value rights, when issued pursuant to the Merger Agreement and hereunder, the valid obligations of Gem and to make this Agreement a valid and binding agreement of Gem, in accordance with its terms.</w:t>
      </w:r>
    </w:p>
    <w:p>
      <w:pPr>
        <w:spacing w:after="0" w:line="145" w:lineRule="exact"/>
        <w:rPr>
          <w:sz w:val="20"/>
          <w:szCs w:val="20"/>
          <w:color w:val="auto"/>
        </w:rPr>
      </w:pPr>
    </w:p>
    <w:p>
      <w:pPr>
        <w:ind w:right="20" w:firstLine="386"/>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premises and the consummation of the transactions referred to above, it is mutually covenanted and agreed, for the proportionate benefit of all Holders, as follows:</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60" w:firstLine="386"/>
        <w:spacing w:after="0" w:line="276" w:lineRule="auto"/>
        <w:rPr>
          <w:sz w:val="20"/>
          <w:szCs w:val="20"/>
          <w:color w:val="auto"/>
        </w:rPr>
      </w:pPr>
      <w:r>
        <w:rPr>
          <w:rFonts w:ascii="Times New Roman" w:cs="Times New Roman" w:eastAsia="Times New Roman" w:hAnsi="Times New Roman"/>
          <w:sz w:val="16"/>
          <w:szCs w:val="16"/>
          <w:color w:val="auto"/>
        </w:rPr>
        <w:t>Capitalized terms used but not otherwise defined herein have the meanings ascribed thereto in the Merger Agreement. The following terms have the meanings ascribed to them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Acting Holders</w:t>
      </w:r>
      <w:r>
        <w:rPr>
          <w:rFonts w:ascii="Times New Roman" w:cs="Times New Roman" w:eastAsia="Times New Roman" w:hAnsi="Times New Roman"/>
          <w:sz w:val="16"/>
          <w:szCs w:val="16"/>
          <w:color w:val="auto"/>
        </w:rPr>
        <w:t>” means, at the time of determination, Holders of at least 25% of the outstanding CVRs as set forth on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w:t>
      </w:r>
    </w:p>
    <w:p>
      <w:pPr>
        <w:sectPr>
          <w:pgSz w:w="11900" w:h="16838" w:orient="portrait"/>
          <w:cols w:equalWidth="0" w:num="1">
            <w:col w:w="9560"/>
          </w:cols>
          <w:pgMar w:left="1120" w:top="251" w:right="1219" w:bottom="1440" w:gutter="0" w:footer="0" w:header="0"/>
        </w:sectPr>
      </w:pPr>
    </w:p>
    <w:bookmarkStart w:id="178" w:name="page179"/>
    <w:bookmarkEnd w:id="178"/>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Calendar Quarter</w:t>
      </w:r>
      <w:r>
        <w:rPr>
          <w:rFonts w:ascii="Times New Roman" w:cs="Times New Roman" w:eastAsia="Times New Roman" w:hAnsi="Times New Roman"/>
          <w:sz w:val="16"/>
          <w:szCs w:val="16"/>
          <w:color w:val="auto"/>
        </w:rPr>
        <w:t>” means the successive periods of three (3) consecutive calendar months ending on March 31, June 30, September 30 or December 31, for so long as this Agreement is in effect; provided, however that (a) the first Calendar Quarter shall commence on the date of this Agreement and shall end on the first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6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means a contingent contractual right of Holders to receive CVR Payments pursuant to the Merger Agreement and this Agreement.</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Payment</w:t>
      </w:r>
      <w:r>
        <w:rPr>
          <w:rFonts w:ascii="Times New Roman" w:cs="Times New Roman" w:eastAsia="Times New Roman" w:hAnsi="Times New Roman"/>
          <w:sz w:val="15"/>
          <w:szCs w:val="15"/>
          <w:color w:val="auto"/>
        </w:rPr>
        <w:t>” means a number of shares of Gem Common Stock equal to (i) the CVR Proceeds for an applicable Calendar Quarter, divided by</w:t>
      </w:r>
    </w:p>
    <w:p>
      <w:pPr>
        <w:spacing w:after="0" w:line="34" w:lineRule="exact"/>
        <w:rPr>
          <w:sz w:val="20"/>
          <w:szCs w:val="20"/>
          <w:color w:val="auto"/>
        </w:rPr>
      </w:pPr>
    </w:p>
    <w:p>
      <w:pPr>
        <w:ind w:left="1" w:right="120" w:hanging="1"/>
        <w:spacing w:after="0" w:line="253" w:lineRule="auto"/>
        <w:tabs>
          <w:tab w:leader="none" w:pos="233"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weighted average of their closing market prices for the five (5) trading days ending the day prior to the date of issuance pursuant to this Agreement.</w:t>
      </w:r>
    </w:p>
    <w:p>
      <w:pPr>
        <w:spacing w:after="0" w:line="16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Period</w:t>
      </w:r>
      <w:r>
        <w:rPr>
          <w:rFonts w:ascii="Times New Roman" w:cs="Times New Roman" w:eastAsia="Times New Roman" w:hAnsi="Times New Roman"/>
          <w:sz w:val="16"/>
          <w:szCs w:val="16"/>
          <w:color w:val="auto"/>
        </w:rPr>
        <w:t>” means the period beginning immediately following the Effective Time and ending on the tenth anniversary of the Closing Date.</w:t>
      </w:r>
    </w:p>
    <w:p>
      <w:pPr>
        <w:spacing w:after="0" w:line="194" w:lineRule="exact"/>
        <w:rPr>
          <w:sz w:val="20"/>
          <w:szCs w:val="20"/>
          <w:color w:val="auto"/>
        </w:rPr>
      </w:pPr>
    </w:p>
    <w:p>
      <w:pPr>
        <w:jc w:val="both"/>
        <w:ind w:left="1" w:right="2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Proceeds</w:t>
      </w:r>
      <w:r>
        <w:rPr>
          <w:rFonts w:ascii="Times New Roman" w:cs="Times New Roman" w:eastAsia="Times New Roman" w:hAnsi="Times New Roman"/>
          <w:sz w:val="16"/>
          <w:szCs w:val="16"/>
          <w:color w:val="auto"/>
        </w:rPr>
        <w:t>” means the amount of Gross Proceeds received by Gem during an applicable Calendar Quarter, less the applicable accrued and reasonably documented Permitted Deductions, in each case as calculated in accordance with GAAP using the policies, methodologies, processes and procedures used to prepare Gem’s most recent year-end financial statements prior to the commencement of such Calendar Quarter.</w:t>
      </w:r>
    </w:p>
    <w:p>
      <w:pPr>
        <w:spacing w:after="0" w:line="157"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the sale, license, transfer, disposition or other monetizing event of any Potentially Transferable Asset (including any such sale or disposition or monetizing event of equity securities in any Subsidiary established by Gem during the Disposition Period to hold any right, title or interest in or to any Potentially Transferable Asset), in each case during the Disposition Period.</w:t>
      </w:r>
    </w:p>
    <w:p>
      <w:pPr>
        <w:spacing w:after="0" w:line="157" w:lineRule="exact"/>
        <w:rPr>
          <w:sz w:val="20"/>
          <w:szCs w:val="20"/>
          <w:color w:val="auto"/>
        </w:rPr>
      </w:pPr>
    </w:p>
    <w:p>
      <w:pPr>
        <w:ind w:left="1" w:right="74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 Period</w:t>
      </w:r>
      <w:r>
        <w:rPr>
          <w:rFonts w:ascii="Times New Roman" w:cs="Times New Roman" w:eastAsia="Times New Roman" w:hAnsi="Times New Roman"/>
          <w:sz w:val="16"/>
          <w:szCs w:val="16"/>
          <w:color w:val="auto"/>
        </w:rPr>
        <w:t>” means the period beginning on the execution date of the Merger Agreement and ending on the date that is twelve-months after the Closing Date.</w:t>
      </w:r>
    </w:p>
    <w:p>
      <w:pPr>
        <w:spacing w:after="0" w:line="145" w:lineRule="exact"/>
        <w:rPr>
          <w:sz w:val="20"/>
          <w:szCs w:val="20"/>
          <w:color w:val="auto"/>
        </w:rPr>
      </w:pPr>
    </w:p>
    <w:p>
      <w:pPr>
        <w:ind w:left="1" w:right="2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Gross Proceeds</w:t>
      </w:r>
      <w:r>
        <w:rPr>
          <w:rFonts w:ascii="Times New Roman" w:cs="Times New Roman" w:eastAsia="Times New Roman" w:hAnsi="Times New Roman"/>
          <w:sz w:val="16"/>
          <w:szCs w:val="16"/>
          <w:color w:val="auto"/>
        </w:rPr>
        <w:t>” means, without duplication, any and all consideration of any kind that is paid to Gem, or is received by, Gem or any of its Affiliates during the CVR Period in respect of a Disposition.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date of payment to, or receipt by, Gem or its relevant Affiliate, and (B) the value of securities that have no established public market and the value of consideration that consists of other non-cash property, shall be the fair market value thereof as of the date of payment to, or receipt by, Gem or its relevant Affiliate.</w:t>
      </w:r>
    </w:p>
    <w:p>
      <w:pPr>
        <w:sectPr>
          <w:pgSz w:w="11900" w:h="16838" w:orient="portrait"/>
          <w:cols w:equalWidth="0" w:num="1">
            <w:col w:w="9641"/>
          </w:cols>
          <w:pgMar w:left="1119" w:top="253" w:right="1139" w:bottom="1440" w:gutter="0" w:footer="0" w:header="0"/>
        </w:sectPr>
      </w:pPr>
    </w:p>
    <w:bookmarkStart w:id="179" w:name="page180"/>
    <w:bookmarkEnd w:id="17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at the relevant time, a Person in whose name CVRs are registered in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of Holders</w:t>
      </w:r>
      <w:r>
        <w:rPr>
          <w:rFonts w:ascii="Times New Roman" w:cs="Times New Roman" w:eastAsia="Times New Roman" w:hAnsi="Times New Roman"/>
          <w:sz w:val="16"/>
          <w:szCs w:val="16"/>
          <w:color w:val="auto"/>
        </w:rPr>
        <w:t>” means, at any time, the registered Holder or Holders of more than 50% of the total number of CVRs registered at such time, as set forth on the CVR Register.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means a certificate signed by the chief executive officer and the chief financial officer of Gem, in their respective official capacities.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Deductions</w:t>
      </w:r>
      <w:r>
        <w:rPr>
          <w:rFonts w:ascii="Times New Roman" w:cs="Times New Roman" w:eastAsia="Times New Roman" w:hAnsi="Times New Roman"/>
          <w:sz w:val="16"/>
          <w:szCs w:val="16"/>
          <w:color w:val="auto"/>
        </w:rPr>
        <w:t>” means the following costs or expenses, without duplication:</w:t>
      </w:r>
    </w:p>
    <w:p>
      <w:pPr>
        <w:spacing w:after="0" w:line="100" w:lineRule="exact"/>
        <w:rPr>
          <w:sz w:val="20"/>
          <w:szCs w:val="20"/>
          <w:color w:val="auto"/>
        </w:rPr>
      </w:pPr>
    </w:p>
    <w:p>
      <w:pPr>
        <w:ind w:right="20" w:firstLine="867"/>
        <w:spacing w:after="0" w:line="250" w:lineRule="auto"/>
        <w:tabs>
          <w:tab w:leader="none" w:pos="108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Tax (including any unreimbursed applicable value added or sales taxes) imposed on Gross Proceeds and payable by Gem, the Company or any of their respective Affiliates (regardless of whether the due date for such Taxes arises during or after the Disposition Period) to any tax authority and, without duplication, any income or other similar Taxes payable by Gem, the Company or any of their respective Affiliates that would not have been incurred by Gem, the Company or any of their respective Affiliates but for the Gross Proceeds; provided that, for purposes of calculating income Taxes incurred by Gem, the Company or any of their respective Affiliates in respect of the Gross Proceeds, any such income Taxes shall be computed after taking into account any net operating loss carryforwards or other Tax attributes (including Tax credits) of Gem, the Company or any of their respective Affiliates as of the Closing Date that are available to offset such gain after taking into account any limits of the usability of such attributes, including under Section 382 of the Code (as defined herein) as reasonably determined by a nationally recognized tax advisor (and for the sake of clarity such income taxes shall be calculated without taking into account any net operating losses or other Tax attributes generated by Gem, the Company or any of their respective Affiliates after the Closing Date);</w:t>
      </w:r>
    </w:p>
    <w:p>
      <w:pPr>
        <w:spacing w:after="0" w:line="70"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by Gem or any of its Affiliates in respect of its performance of this Agreement following the Closing Date or in respect of its performance of any agreement in connection with any Potentially Transferable Asset, including any costs related to the prosecution, maintenance or enforcement by Gem or any of its Subsidiaries of the intellectual property rights of any such Potentially Transferable Asset (but excluding any costs related to a breach of this Agreement, including costs incurred in litigation in respect of the same);</w:t>
      </w:r>
    </w:p>
    <w:p>
      <w:pPr>
        <w:spacing w:after="0" w:line="67" w:lineRule="exact"/>
        <w:rPr>
          <w:rFonts w:ascii="Times New Roman" w:cs="Times New Roman" w:eastAsia="Times New Roman" w:hAnsi="Times New Roman"/>
          <w:sz w:val="16"/>
          <w:szCs w:val="16"/>
          <w:color w:val="auto"/>
        </w:rPr>
      </w:pPr>
    </w:p>
    <w:p>
      <w:pPr>
        <w:ind w:right="160" w:firstLine="867"/>
        <w:spacing w:after="0" w:line="256" w:lineRule="auto"/>
        <w:tabs>
          <w:tab w:leader="none" w:pos="108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or accrued by Gem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acting on behalf of Gem or its Affiliates in relation thereto;</w:t>
      </w:r>
    </w:p>
    <w:p>
      <w:pPr>
        <w:sectPr>
          <w:pgSz w:w="11900" w:h="16838" w:orient="portrait"/>
          <w:cols w:equalWidth="0" w:num="1">
            <w:col w:w="9640"/>
          </w:cols>
          <w:pgMar w:left="1120" w:top="253" w:right="1139" w:bottom="1440" w:gutter="0" w:footer="0" w:header="0"/>
        </w:sectPr>
      </w:pPr>
    </w:p>
    <w:bookmarkStart w:id="180" w:name="page181"/>
    <w:bookmarkEnd w:id="180"/>
    <w:p>
      <w:pPr>
        <w:ind w:right="40" w:firstLine="867"/>
        <w:spacing w:after="0" w:line="261" w:lineRule="auto"/>
        <w:tabs>
          <w:tab w:leader="none" w:pos="109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Losses incurred and paid by Gem or any of its Affiliates arising out of any third party claims, demands, actions or other proceedings relating to or in connection with any Disposition, including Losses actually incurred or paid (or reasonably expected to be actually incurred or paid) in connection with indemnification obligations of Gem or any of its Affiliates set forth in any Sale Agreement;</w:t>
      </w:r>
    </w:p>
    <w:p>
      <w:pPr>
        <w:spacing w:after="0" w:line="62" w:lineRule="exact"/>
        <w:rPr>
          <w:rFonts w:ascii="Times New Roman" w:cs="Times New Roman" w:eastAsia="Times New Roman" w:hAnsi="Times New Roman"/>
          <w:sz w:val="16"/>
          <w:szCs w:val="16"/>
          <w:color w:val="auto"/>
        </w:rPr>
      </w:pPr>
    </w:p>
    <w:p>
      <w:pPr>
        <w:ind w:right="220" w:firstLine="867"/>
        <w:spacing w:after="0" w:line="261" w:lineRule="auto"/>
        <w:tabs>
          <w:tab w:leader="none" w:pos="1083"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borne by Gem or any of its Affiliates pursuant to Contracts related to Potentially Transferable Assets, including costs arising from the termination thereof (in each case only to the extent not included in the calculation of Gem Net Cash (as defined in the Merger Agreement); and</w:t>
      </w:r>
    </w:p>
    <w:p>
      <w:pPr>
        <w:spacing w:after="0" w:line="62" w:lineRule="exact"/>
        <w:rPr>
          <w:rFonts w:ascii="Times New Roman" w:cs="Times New Roman" w:eastAsia="Times New Roman" w:hAnsi="Times New Roman"/>
          <w:sz w:val="16"/>
          <w:szCs w:val="16"/>
          <w:color w:val="auto"/>
        </w:rPr>
      </w:pPr>
    </w:p>
    <w:p>
      <w:pPr>
        <w:ind w:firstLine="867"/>
        <w:spacing w:after="0" w:line="254" w:lineRule="auto"/>
        <w:tabs>
          <w:tab w:leader="none" w:pos="1065"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which Gem reasonably and in good faith determines (with the approval of the Special Committee) should have been, but were not, deducted from “Gem Net Cash” (as defined in the Merger Agreement) pursuant to clause (B) of such definition, in connection with the Closing of the Merger, to the extent that deduction of such Liabilities would have resulted in a change in the Exchange Ratio under the Merger Agreement were such amounts properly deducted (including after giving effect to the Higher Gem Net Cash Amount and the Lower Gem Net Cash Amount);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provided that (a) no Permitted Deductions shall be deducted until the aggregate amount of Permitted Deductions exceeds the CVR Expenditure Amount and (b) no Permitted Deductions shall be deducted if they are otherwise deducted from the calculation of Gem Net Cash (as defined in the Merger Agreement).</w:t>
      </w:r>
    </w:p>
    <w:p>
      <w:pPr>
        <w:spacing w:after="0" w:line="155"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means a Transfer of one or more CVRs (i) upon death of a Holder by will or intestacy; (ii) by instrument to an </w:t>
      </w:r>
      <w:r>
        <w:rPr>
          <w:rFonts w:ascii="Times New Roman" w:cs="Times New Roman" w:eastAsia="Times New Roman" w:hAnsi="Times New Roman"/>
          <w:sz w:val="16"/>
          <w:szCs w:val="16"/>
          <w:i w:val="1"/>
          <w:iCs w:val="1"/>
          <w:color w:val="auto"/>
        </w:rPr>
        <w:t>inter vivos</w:t>
      </w:r>
      <w:r>
        <w:rPr>
          <w:rFonts w:ascii="Times New Roman" w:cs="Times New Roman" w:eastAsia="Times New Roman" w:hAnsi="Times New Roman"/>
          <w:sz w:val="16"/>
          <w:szCs w:val="16"/>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if the Holder is a partnership or limited liability company, a distribution by the transferring partnership or limited liability company to its partners or members, as applicable (v) made by operation of law (including a consolidation or merger) or without consideration in connection with the dissolution, liquidation or termination of any corporation, limited liability company, partnership or other entity;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xml:space="preserve">”); (vii) to Gem or its Affiliates; or (viii) as provided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5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45" w:lineRule="exact"/>
        <w:rPr>
          <w:sz w:val="20"/>
          <w:szCs w:val="20"/>
          <w:color w:val="auto"/>
        </w:rPr>
      </w:pPr>
    </w:p>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Potentially Transferrable Asset</w:t>
      </w:r>
      <w:r>
        <w:rPr>
          <w:rFonts w:ascii="Times New Roman" w:cs="Times New Roman" w:eastAsia="Times New Roman" w:hAnsi="Times New Roman"/>
          <w:sz w:val="16"/>
          <w:szCs w:val="16"/>
          <w:color w:val="auto"/>
        </w:rPr>
        <w:t>” means any and all assets, tangible and intangible, including, without limitation, patents, patent applications, know-how, trade secrets and other intellectual property rights, data, documentation, agreements and licenses, inventory related to drug products and raw materials, and biological materials, which Gem or any of its Subsidiaries owned or had rights to, as of immediately prior to the Effective Time.</w:t>
      </w:r>
    </w:p>
    <w:p>
      <w:pPr>
        <w:sectPr>
          <w:pgSz w:w="11900" w:h="16838" w:orient="portrait"/>
          <w:cols w:equalWidth="0" w:num="1">
            <w:col w:w="9620"/>
          </w:cols>
          <w:pgMar w:left="1120" w:top="253" w:right="1159" w:bottom="1440" w:gutter="0" w:footer="0" w:header="0"/>
        </w:sectPr>
      </w:pPr>
    </w:p>
    <w:bookmarkStart w:id="181" w:name="page182"/>
    <w:bookmarkEnd w:id="181"/>
    <w:p>
      <w:pPr>
        <w:ind w:right="80"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right="2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VALUE RIGHTS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i w:val="1"/>
          <w:iCs w:val="1"/>
          <w:color w:val="auto"/>
        </w:rPr>
        <w:t>Holders of CVRs; Appointment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right="160" w:firstLine="867"/>
        <w:spacing w:after="0" w:line="261" w:lineRule="auto"/>
        <w:tabs>
          <w:tab w:leader="none" w:pos="108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issued and distributed by Gem in the form of a dividend, in connection with the Merger, to the Persons who as of immediately prior to the Effective Time are stockholders of record of Gem or have the right to receive Gem Common Stock as of immediately prior to the Effective Time, as contemplated by the Merger Agreement.</w:t>
      </w:r>
    </w:p>
    <w:p>
      <w:pPr>
        <w:spacing w:after="0" w:line="62" w:lineRule="exact"/>
        <w:rPr>
          <w:rFonts w:ascii="Times New Roman" w:cs="Times New Roman" w:eastAsia="Times New Roman" w:hAnsi="Times New Roman"/>
          <w:sz w:val="16"/>
          <w:szCs w:val="16"/>
          <w:color w:val="auto"/>
        </w:rPr>
      </w:pPr>
    </w:p>
    <w:p>
      <w:pPr>
        <w:ind w:right="140" w:firstLine="867"/>
        <w:spacing w:after="0" w:line="276" w:lineRule="auto"/>
        <w:tabs>
          <w:tab w:leader="none" w:pos="109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hereby appoints the Rights Agent to act as rights agent for Gem in accordance with the express terms and conditions set forth in this Agreement, and the Rights Agent hereby accepts such appointment.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i w:val="1"/>
          <w:iCs w:val="1"/>
          <w:color w:val="auto"/>
        </w:rPr>
        <w:t>Non-transferable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86"/>
        <w:spacing w:after="0" w:line="310" w:lineRule="auto"/>
        <w:rPr>
          <w:sz w:val="20"/>
          <w:szCs w:val="20"/>
          <w:color w:val="auto"/>
        </w:rPr>
      </w:pPr>
      <w:r>
        <w:rPr>
          <w:rFonts w:ascii="Times New Roman" w:cs="Times New Roman" w:eastAsia="Times New Roman" w:hAnsi="Times New Roman"/>
          <w:sz w:val="15"/>
          <w:szCs w:val="15"/>
          <w:color w:val="auto"/>
        </w:rPr>
        <w:t xml:space="preserve">A Holder may not at any time Transfer CVRs, other than pursuant to a Permitted Transfer. Any attempted Transfer that is not a Permitted Transfer, in whole or in part, will be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xml:space="preserve"> and of no effect. The CVRs will not be listed on any quotation system or traded on any securities exchange.</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i w:val="1"/>
          <w:iCs w:val="1"/>
          <w:color w:val="auto"/>
        </w:rPr>
        <w:t>No Certificate; Registration; Registration of Transfer; Change of Address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0" w:hanging="213"/>
        <w:spacing w:after="0"/>
        <w:tabs>
          <w:tab w:leader="none" w:pos="10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rights and obligations in respect of CVRs derive solely from this Agreement; CVRs will not be evidenced by a certificate or</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instrument.</w:t>
      </w:r>
    </w:p>
    <w:p>
      <w:pPr>
        <w:sectPr>
          <w:pgSz w:w="11900" w:h="16838" w:orient="portrait"/>
          <w:cols w:equalWidth="0" w:num="1">
            <w:col w:w="9640"/>
          </w:cols>
          <w:pgMar w:left="1120" w:top="253" w:right="1139" w:bottom="1440" w:gutter="0" w:footer="0" w:header="0"/>
        </w:sectPr>
      </w:pPr>
    </w:p>
    <w:bookmarkStart w:id="182" w:name="page183"/>
    <w:bookmarkEnd w:id="182"/>
    <w:p>
      <w:pPr>
        <w:ind w:left="1101" w:hanging="233"/>
        <w:spacing w:after="0"/>
        <w:tabs>
          <w:tab w:leader="none" w:pos="1101"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Rights Agent will maintain an up-to-date register (the “</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for the purposes of (i) identifying the Holders of CVRs,</w:t>
      </w:r>
    </w:p>
    <w:p>
      <w:pPr>
        <w:spacing w:after="0" w:line="22" w:lineRule="exact"/>
        <w:rPr>
          <w:rFonts w:ascii="Times New Roman" w:cs="Times New Roman" w:eastAsia="Times New Roman" w:hAnsi="Times New Roman"/>
          <w:sz w:val="16"/>
          <w:szCs w:val="16"/>
          <w:color w:val="auto"/>
        </w:rPr>
      </w:pPr>
    </w:p>
    <w:p>
      <w:pPr>
        <w:ind w:left="1" w:right="60" w:hanging="1"/>
        <w:spacing w:after="0" w:line="248" w:lineRule="auto"/>
        <w:tabs>
          <w:tab w:leader="none" w:pos="23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Holders’ entitlement to CVRs and (iii) registering the CVRs and Permitted Transfers thereof. The CVR Register will initially show one position for the Rights Agent representing all of the CVRs provided to the holders of shares of Gem Common Stock held immediately prior to Closing. Gem and the Rights Agent may require evidence of payment of a sum sufficient to cover any stamp, documentary, registration, or other tax or governmental charge that is imposed in connection with (and would not have been imposed in connection with (and would have been imposed but for)) any such registration of transfer (or evidence that such taxes and charges are not applicable).</w:t>
      </w:r>
    </w:p>
    <w:p>
      <w:pPr>
        <w:spacing w:after="0" w:line="72" w:lineRule="exact"/>
        <w:rPr>
          <w:rFonts w:ascii="Times New Roman" w:cs="Times New Roman" w:eastAsia="Times New Roman" w:hAnsi="Times New Roman"/>
          <w:sz w:val="16"/>
          <w:szCs w:val="16"/>
          <w:color w:val="auto"/>
        </w:rPr>
      </w:pPr>
    </w:p>
    <w:p>
      <w:pPr>
        <w:ind w:left="1" w:right="20" w:firstLine="867"/>
        <w:spacing w:after="0" w:line="249" w:lineRule="auto"/>
        <w:tabs>
          <w:tab w:leader="none" w:pos="1084"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 on transferability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Gem, evidencing the same right, and entitling the transferee to the same benefits and rights under this Agreement, as those held by the transferor. No transfer of CVRs shall be valid until registered in the CVR Register and any transfer not duly registered in the CVR Register shall be void. Gem shall not be responsible for any costs and expenses related to any transfer or assignment of the CVRs (including the cost of any transfer tax).</w:t>
      </w:r>
    </w:p>
    <w:p>
      <w:pPr>
        <w:spacing w:after="0" w:line="74" w:lineRule="exact"/>
        <w:rPr>
          <w:rFonts w:ascii="Times New Roman" w:cs="Times New Roman" w:eastAsia="Times New Roman" w:hAnsi="Times New Roman"/>
          <w:sz w:val="16"/>
          <w:szCs w:val="16"/>
          <w:color w:val="auto"/>
        </w:rPr>
      </w:pPr>
    </w:p>
    <w:p>
      <w:pPr>
        <w:ind w:left="1" w:right="20" w:firstLine="867"/>
        <w:spacing w:after="0" w:line="261" w:lineRule="auto"/>
        <w:tabs>
          <w:tab w:leader="none" w:pos="1093"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5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i w:val="1"/>
          <w:iCs w:val="1"/>
          <w:color w:val="auto"/>
        </w:rPr>
        <w:t>Payment Procedures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 w:right="40" w:firstLine="867"/>
        <w:spacing w:after="0" w:line="275" w:lineRule="auto"/>
        <w:tabs>
          <w:tab w:leader="none" w:pos="1084" w:val="left"/>
        </w:tabs>
        <w:numPr>
          <w:ilvl w:val="1"/>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later than forty-five (45) days following the end of each Calendar Quarter following the Closing, Gem shall (i) deliver to the Rights Agent, a certificate (each, a “</w:t>
      </w:r>
      <w:r>
        <w:rPr>
          <w:rFonts w:ascii="Times New Roman" w:cs="Times New Roman" w:eastAsia="Times New Roman" w:hAnsi="Times New Roman"/>
          <w:sz w:val="15"/>
          <w:szCs w:val="15"/>
          <w:u w:val="single" w:color="auto"/>
          <w:color w:val="auto"/>
        </w:rPr>
        <w:t>CVR Certificate</w:t>
      </w:r>
      <w:r>
        <w:rPr>
          <w:rFonts w:ascii="Times New Roman" w:cs="Times New Roman" w:eastAsia="Times New Roman" w:hAnsi="Times New Roman"/>
          <w:sz w:val="15"/>
          <w:szCs w:val="15"/>
          <w:color w:val="auto"/>
        </w:rPr>
        <w:t>”) certifying to and specifying in reasonable detail, for such Calendar Quarter, the aggregate amount of</w:t>
      </w:r>
    </w:p>
    <w:p>
      <w:pPr>
        <w:ind w:left="1" w:hanging="1"/>
        <w:spacing w:after="0" w:line="248" w:lineRule="auto"/>
        <w:tabs>
          <w:tab w:leader="none" w:pos="259"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 Proceeds received by Gem or its Affiliates during such fiscal quarter (or, in the case of the first delivery of a CVR Certificate hereunder, all CVR Proceeds received through the end of such Calendar Quarter); (B) the Permitted Deductions reflected in such CVR Proceeds; and (C) the CVR Payment payable to Holders, if any, in respect of such CVR Proceeds and (ii) deliver to the Rights Agent, or as the Rights Agent directs, the aggregate CVR Payment (if any). With respect to each Holder, the Rights Agent shall deliver, or cause to be delivered, a number of shares equal to the product determined by multiplying (i) the quotient determined by dividing (A) the number of shares representing the aggregate CVR Payment by (B) the total number of CVRs registered in the CVR Register at such time, by</w:t>
      </w:r>
    </w:p>
    <w:p>
      <w:pPr>
        <w:sectPr>
          <w:pgSz w:w="11900" w:h="16838" w:orient="portrait"/>
          <w:cols w:equalWidth="0" w:num="1">
            <w:col w:w="9641"/>
          </w:cols>
          <w:pgMar w:left="1119" w:top="253" w:right="1139" w:bottom="1440" w:gutter="0" w:footer="0" w:header="0"/>
        </w:sectPr>
      </w:pPr>
    </w:p>
    <w:bookmarkStart w:id="183" w:name="page184"/>
    <w:bookmarkEnd w:id="183"/>
    <w:p>
      <w:pPr>
        <w:ind w:left="1" w:right="120" w:hanging="1"/>
        <w:spacing w:after="0" w:line="261" w:lineRule="auto"/>
        <w:tabs>
          <w:tab w:leader="none" w:pos="23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number of CVRs registered to such Holder in the CVR Register at such time. For the avoidance of doubt Gem shall have no further liability in respect of the relevant CVR Payment upon delivery of such CVR Payment in accordance with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and the satisfaction of each of Gem’s obligations set forth in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w:t>
      </w:r>
    </w:p>
    <w:p>
      <w:pPr>
        <w:spacing w:after="0" w:line="62" w:lineRule="exact"/>
        <w:rPr>
          <w:rFonts w:ascii="Times New Roman" w:cs="Times New Roman" w:eastAsia="Times New Roman" w:hAnsi="Times New Roman"/>
          <w:sz w:val="16"/>
          <w:szCs w:val="16"/>
          <w:color w:val="auto"/>
        </w:rPr>
      </w:pPr>
    </w:p>
    <w:p>
      <w:pPr>
        <w:jc w:val="both"/>
        <w:ind w:left="1" w:firstLine="867"/>
        <w:spacing w:after="0" w:line="256" w:lineRule="auto"/>
        <w:tabs>
          <w:tab w:leader="none" w:pos="1093"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to treat the distribution of the CVRs as constituting a nontaxable stock distribution under Section 305 of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the receipt of CVR Payments as a nontaxable exercise of the right to receive stock under the CVRs. The parties hereto will not take any position to the contrary on any Tax Return or for other Tax purposes except as required by a change in or clarification to applicable Law after the date hereof.</w:t>
      </w:r>
    </w:p>
    <w:p>
      <w:pPr>
        <w:spacing w:after="0" w:line="66" w:lineRule="exact"/>
        <w:rPr>
          <w:rFonts w:ascii="Times New Roman" w:cs="Times New Roman" w:eastAsia="Times New Roman" w:hAnsi="Times New Roman"/>
          <w:sz w:val="16"/>
          <w:szCs w:val="16"/>
          <w:color w:val="auto"/>
        </w:rPr>
      </w:pPr>
    </w:p>
    <w:p>
      <w:pPr>
        <w:ind w:left="1" w:firstLine="867"/>
        <w:spacing w:after="0" w:line="249" w:lineRule="auto"/>
        <w:tabs>
          <w:tab w:leader="none" w:pos="1084"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and the Rights Agent will be entitled to deduct and withhold, or cause to be deducted and withheld, from any CVR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The Rights Agent shall request from each Holder an IRS Form W-9 or applicable IRS Form W-8 at such time or times as is necessary to permit any payment under this Agreement to be made without U.S. federal backup withholding.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time period for payment of a CVR Payment by the Rights Agent set forth in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will be extended by a period equal to any delay caused by the Holder providing such forms,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further</w:t>
      </w:r>
      <w:r>
        <w:rPr>
          <w:rFonts w:ascii="Times New Roman" w:cs="Times New Roman" w:eastAsia="Times New Roman" w:hAnsi="Times New Roman"/>
          <w:sz w:val="16"/>
          <w:szCs w:val="16"/>
          <w:color w:val="auto"/>
        </w:rPr>
        <w:t>, that in no event shall such period be extended for more than ten (10) Business Days, unless otherwise requested by the Holder for the purpose of delivering such forms and agreed to by the Rights Agent.</w:t>
      </w:r>
    </w:p>
    <w:p>
      <w:pPr>
        <w:spacing w:after="0" w:line="74" w:lineRule="exact"/>
        <w:rPr>
          <w:rFonts w:ascii="Times New Roman" w:cs="Times New Roman" w:eastAsia="Times New Roman" w:hAnsi="Times New Roman"/>
          <w:sz w:val="16"/>
          <w:szCs w:val="16"/>
          <w:color w:val="auto"/>
        </w:rPr>
      </w:pPr>
    </w:p>
    <w:p>
      <w:pPr>
        <w:ind w:left="1" w:right="120" w:firstLine="867"/>
        <w:spacing w:after="0" w:line="256" w:lineRule="auto"/>
        <w:tabs>
          <w:tab w:leader="none" w:pos="1093"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portion of a CVR Payment that remains undistributed to the Holders six (6) months after the end of the applicable Calendar Quarter (including by means of invalid addresses on the CVR Register) will be delivered by the Rights Agent to Gem or a person nominated in writing by Gem (with written notice thereof from Gem to the Rights Agent), and any Holder will thereafter look only to Gem for payment of such CVR Payment (which shall be without interest).</w:t>
      </w:r>
    </w:p>
    <w:p>
      <w:pPr>
        <w:spacing w:after="0" w:line="159"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i w:val="1"/>
          <w:iCs w:val="1"/>
          <w:color w:val="auto"/>
        </w:rPr>
        <w:t>No Voting, Dividends or Interest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1" w:hanging="213"/>
        <w:spacing w:after="0"/>
        <w:tabs>
          <w:tab w:leader="none" w:pos="1081"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have any voting or dividend rights, and interest will not accrue on any amounts payable in respect of CVRs.</w:t>
      </w:r>
    </w:p>
    <w:p>
      <w:pPr>
        <w:spacing w:after="0" w:line="99" w:lineRule="exact"/>
        <w:rPr>
          <w:rFonts w:ascii="Times New Roman" w:cs="Times New Roman" w:eastAsia="Times New Roman" w:hAnsi="Times New Roman"/>
          <w:sz w:val="16"/>
          <w:szCs w:val="16"/>
          <w:color w:val="auto"/>
        </w:rPr>
      </w:pPr>
    </w:p>
    <w:p>
      <w:pPr>
        <w:ind w:left="1" w:right="140" w:firstLine="867"/>
        <w:spacing w:after="0" w:line="261" w:lineRule="auto"/>
        <w:tabs>
          <w:tab w:leader="none" w:pos="1093"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represent any equity or ownership interests in Gem or any of its Subsidiaries or in the Surviving Corporation. The sole right of the Holders to receive property hereunder is the right to receive CVR Payments, if any, in accordance with the terms hereof. It is hereby acknowledged and agreed that a CVR shall not constitute a security of Gem or any of its Subsidiaries or of the Surviving Corporation.</w:t>
      </w:r>
    </w:p>
    <w:p>
      <w:pPr>
        <w:sectPr>
          <w:pgSz w:w="11900" w:h="16838" w:orient="portrait"/>
          <w:cols w:equalWidth="0" w:num="1">
            <w:col w:w="9641"/>
          </w:cols>
          <w:pgMar w:left="1119" w:top="253" w:right="1139" w:bottom="1440" w:gutter="0" w:footer="0" w:header="0"/>
        </w:sectPr>
      </w:pPr>
    </w:p>
    <w:bookmarkStart w:id="184" w:name="page185"/>
    <w:bookmarkEnd w:id="184"/>
    <w:p>
      <w:pPr>
        <w:ind w:firstLine="867"/>
        <w:spacing w:after="0" w:line="269" w:lineRule="auto"/>
        <w:tabs>
          <w:tab w:leader="none" w:pos="1083"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By voting in favor of the adoption of the Merger Agreement, the approval of the principal terms of the Merger, and the consummation of the Merger or participating in the Merger and receiving the benefits thereof, including the right to receive CVRs and any consideration payable in connection with the CVRs, each Holder hereby acknowledges and agrees that the CVRs and the possibility of any payment hereunder with respect thereto are highly speculative and subject to numerous factors outside of Gem’s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It is further acknowledged and agreed that neither Gem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5"/>
          <w:szCs w:val="15"/>
          <w:u w:val="single" w:color="auto"/>
          <w:color w:val="auto"/>
        </w:rPr>
        <w:t>Section 2.5(b)</w:t>
      </w:r>
      <w:r>
        <w:rPr>
          <w:rFonts w:ascii="Times New Roman" w:cs="Times New Roman" w:eastAsia="Times New Roman" w:hAnsi="Times New Roman"/>
          <w:sz w:val="15"/>
          <w:szCs w:val="15"/>
          <w:color w:val="auto"/>
        </w:rPr>
        <w:t xml:space="preserve"> is an essential and material term of this Agreement.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i w:val="1"/>
          <w:iCs w:val="1"/>
          <w:color w:val="auto"/>
        </w:rPr>
        <w:t>Ability to Abandon CVR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A Holder may at any time, at such Holder’s option, abandon all of such Holder’s remaining rights represented by CVRs by transferring such CVR to Gem or a person nominated in writing by Gem (with written notice thereof from Gem to the Rights Agent) without consideration in compensation therefor, and such rights will be cancelled, with the Rights Agent being promptly notified in writing by Gem of such transfer and cancellation. Nothing in this Agreement is intended to prohibit Gem or its Affiliates from offering to acquire or acquiring CVRs, in private transactions or otherwise, for consideration in its sole discretion.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RIGHTS AGENT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i w:val="1"/>
          <w:iCs w:val="1"/>
          <w:color w:val="auto"/>
        </w:rPr>
        <w:t>Certain Duties and Responsibilities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80" w:firstLine="867"/>
        <w:spacing w:after="0" w:line="258" w:lineRule="auto"/>
        <w:tabs>
          <w:tab w:leader="none" w:pos="1083"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w:t>
      </w:r>
    </w:p>
    <w:p>
      <w:pPr>
        <w:ind w:right="12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final non-appealable judgment of court of competent jurisdiction). Notwithstanding anything in this Agreement to the contrary, any liability of the Rights Agent under this Agreement will be limited to the amount of annual fees paid by Gem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ectPr>
          <w:pgSz w:w="11900" w:h="16838" w:orient="portrait"/>
          <w:cols w:equalWidth="0" w:num="1">
            <w:col w:w="9620"/>
          </w:cols>
          <w:pgMar w:left="1120" w:top="253" w:right="1159" w:bottom="1440" w:gutter="0" w:footer="0" w:header="0"/>
        </w:sectPr>
      </w:pPr>
    </w:p>
    <w:bookmarkStart w:id="185" w:name="page186"/>
    <w:bookmarkEnd w:id="185"/>
    <w:p>
      <w:pPr>
        <w:ind w:right="140" w:firstLine="867"/>
        <w:spacing w:after="0" w:line="252" w:lineRule="auto"/>
        <w:tabs>
          <w:tab w:leader="none" w:pos="109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Gem or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i w:val="1"/>
          <w:iCs w:val="1"/>
          <w:color w:val="auto"/>
        </w:rPr>
        <w:t>Certain Rights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867"/>
        <w:spacing w:after="0" w:line="276" w:lineRule="auto"/>
        <w:tabs>
          <w:tab w:leader="none" w:pos="108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9" w:lineRule="exact"/>
        <w:rPr>
          <w:rFonts w:ascii="Times New Roman" w:cs="Times New Roman" w:eastAsia="Times New Roman" w:hAnsi="Times New Roman"/>
          <w:sz w:val="16"/>
          <w:szCs w:val="16"/>
          <w:color w:val="auto"/>
        </w:rPr>
      </w:pPr>
    </w:p>
    <w:p>
      <w:pPr>
        <w:ind w:right="20" w:firstLine="867"/>
        <w:spacing w:after="0" w:line="261" w:lineRule="auto"/>
        <w:tabs>
          <w:tab w:leader="none" w:pos="109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and will be protected by Gem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Gem.</w:t>
      </w:r>
    </w:p>
    <w:p>
      <w:pPr>
        <w:spacing w:after="0" w:line="62" w:lineRule="exact"/>
        <w:rPr>
          <w:rFonts w:ascii="Times New Roman" w:cs="Times New Roman" w:eastAsia="Times New Roman" w:hAnsi="Times New Roman"/>
          <w:sz w:val="16"/>
          <w:szCs w:val="16"/>
          <w:color w:val="auto"/>
        </w:rPr>
      </w:pPr>
    </w:p>
    <w:p>
      <w:pPr>
        <w:jc w:val="both"/>
        <w:ind w:right="140" w:firstLine="867"/>
        <w:spacing w:after="0" w:line="261" w:lineRule="auto"/>
        <w:tabs>
          <w:tab w:leader="none" w:pos="108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Rights Agent deems it desirable that a matter be proved or established prior to taking or omitting any action hereunder, the Rights Agent may (i) rely upon an Officer’s Certificate and (ii) incur no liability and be held harmless by Gem for or in respect of any action taken or omitted to be taken by it under the provisions of this Agreement in reliance upon such Officer’s Certificate.</w:t>
      </w:r>
    </w:p>
    <w:p>
      <w:pPr>
        <w:spacing w:after="0" w:line="62" w:lineRule="exact"/>
        <w:rPr>
          <w:rFonts w:ascii="Times New Roman" w:cs="Times New Roman" w:eastAsia="Times New Roman" w:hAnsi="Times New Roman"/>
          <w:sz w:val="16"/>
          <w:szCs w:val="16"/>
          <w:color w:val="auto"/>
        </w:rPr>
      </w:pPr>
    </w:p>
    <w:p>
      <w:pPr>
        <w:ind w:right="120" w:firstLine="867"/>
        <w:spacing w:after="0" w:line="256" w:lineRule="auto"/>
        <w:tabs>
          <w:tab w:leader="none" w:pos="109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66"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permissive rights of the Rights Agent hereunder will not be construed as a duty.</w:t>
      </w:r>
    </w:p>
    <w:p>
      <w:pPr>
        <w:spacing w:after="0" w:line="99" w:lineRule="exact"/>
        <w:rPr>
          <w:rFonts w:ascii="Times New Roman" w:cs="Times New Roman" w:eastAsia="Times New Roman" w:hAnsi="Times New Roman"/>
          <w:sz w:val="16"/>
          <w:szCs w:val="16"/>
          <w:color w:val="auto"/>
        </w:rPr>
      </w:pPr>
    </w:p>
    <w:p>
      <w:pPr>
        <w:ind w:left="1060" w:hanging="193"/>
        <w:spacing w:after="0"/>
        <w:tabs>
          <w:tab w:leader="none" w:pos="106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required to give any note or surety in respect of the execution of its powers or otherwise under this</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82"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w:t>
      </w:r>
    </w:p>
    <w:p>
      <w:pPr>
        <w:sectPr>
          <w:pgSz w:w="11900" w:h="16838" w:orient="portrait"/>
          <w:cols w:equalWidth="0" w:num="1">
            <w:col w:w="9640"/>
          </w:cols>
          <w:pgMar w:left="1120" w:top="253" w:right="1139" w:bottom="1440" w:gutter="0" w:footer="0" w:header="0"/>
        </w:sectPr>
      </w:pPr>
    </w:p>
    <w:bookmarkStart w:id="186" w:name="page187"/>
    <w:bookmarkEnd w:id="186"/>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w:t>
      </w:r>
    </w:p>
    <w:p>
      <w:pPr>
        <w:spacing w:after="0" w:line="62" w:lineRule="exact"/>
        <w:rPr>
          <w:sz w:val="20"/>
          <w:szCs w:val="20"/>
          <w:color w:val="auto"/>
        </w:rPr>
      </w:pPr>
    </w:p>
    <w:p>
      <w:pPr>
        <w:ind w:firstLine="867"/>
        <w:spacing w:after="0" w:line="250" w:lineRule="auto"/>
        <w:tabs>
          <w:tab w:leader="none" w:pos="109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indemnification provided under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Gem agrees (i) to pay the fees of the Rights Agent in connection with the Rights Agent’s performance of its obligations hereunder, as agreed upon in writing by the Rights Agent and Gem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Gem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if Gem is found by a court of competent jurisdiction to be liable to the Rights Agent or the Holders, as applicable in such suit.</w:t>
      </w:r>
    </w:p>
    <w:p>
      <w:pPr>
        <w:spacing w:after="0" w:line="72" w:lineRule="exact"/>
        <w:rPr>
          <w:rFonts w:ascii="Times New Roman" w:cs="Times New Roman" w:eastAsia="Times New Roman" w:hAnsi="Times New Roman"/>
          <w:sz w:val="16"/>
          <w:szCs w:val="16"/>
          <w:color w:val="auto"/>
        </w:rPr>
      </w:pPr>
    </w:p>
    <w:p>
      <w:pPr>
        <w:jc w:val="both"/>
        <w:ind w:right="60" w:firstLine="867"/>
        <w:spacing w:after="0" w:line="261" w:lineRule="auto"/>
        <w:tabs>
          <w:tab w:leader="none" w:pos="105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62" w:lineRule="exact"/>
        <w:rPr>
          <w:rFonts w:ascii="Times New Roman" w:cs="Times New Roman" w:eastAsia="Times New Roman" w:hAnsi="Times New Roman"/>
          <w:sz w:val="16"/>
          <w:szCs w:val="16"/>
          <w:color w:val="auto"/>
        </w:rPr>
      </w:pPr>
    </w:p>
    <w:p>
      <w:pPr>
        <w:ind w:right="40" w:firstLine="867"/>
        <w:spacing w:after="0" w:line="261" w:lineRule="auto"/>
        <w:tabs>
          <w:tab w:leader="none" w:pos="105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62"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Gem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67" w:lineRule="exact"/>
        <w:rPr>
          <w:rFonts w:ascii="Times New Roman" w:cs="Times New Roman" w:eastAsia="Times New Roman" w:hAnsi="Times New Roman"/>
          <w:sz w:val="16"/>
          <w:szCs w:val="16"/>
          <w:color w:val="auto"/>
        </w:rPr>
      </w:pPr>
    </w:p>
    <w:p>
      <w:pPr>
        <w:ind w:firstLine="867"/>
        <w:spacing w:after="0" w:line="261" w:lineRule="auto"/>
        <w:tabs>
          <w:tab w:leader="none" w:pos="105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ectPr>
          <w:pgSz w:w="11900" w:h="16838" w:orient="portrait"/>
          <w:cols w:equalWidth="0" w:num="1">
            <w:col w:w="9620"/>
          </w:cols>
          <w:pgMar w:left="1120" w:top="253" w:right="1159" w:bottom="1440" w:gutter="0" w:footer="0" w:header="0"/>
        </w:sectPr>
      </w:pPr>
    </w:p>
    <w:bookmarkStart w:id="187" w:name="page188"/>
    <w:bookmarkEnd w:id="187"/>
    <w:p>
      <w:pPr>
        <w:jc w:val="both"/>
        <w:ind w:left="-320" w:firstLine="867"/>
        <w:spacing w:after="0" w:line="310" w:lineRule="auto"/>
        <w:tabs>
          <w:tab w:leader="none" w:pos="816"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Gem only.</w:t>
      </w:r>
    </w:p>
    <w:p>
      <w:pPr>
        <w:spacing w:after="0" w:line="27" w:lineRule="exact"/>
        <w:rPr>
          <w:rFonts w:ascii="Times New Roman" w:cs="Times New Roman" w:eastAsia="Times New Roman" w:hAnsi="Times New Roman"/>
          <w:sz w:val="15"/>
          <w:szCs w:val="15"/>
          <w:color w:val="auto"/>
        </w:rPr>
      </w:pPr>
    </w:p>
    <w:p>
      <w:pPr>
        <w:ind w:left="-320" w:right="200" w:firstLine="867"/>
        <w:spacing w:after="0" w:line="256"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act hereunder solely as agent for Gem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Gem, including, without limiting the generality of the foregoing, any duty or responsibility to initiate or attempt to initiate any proceedings at law or otherwise or to make any demand upon Gem.</w:t>
      </w:r>
    </w:p>
    <w:p>
      <w:pPr>
        <w:spacing w:after="0" w:line="66" w:lineRule="exact"/>
        <w:rPr>
          <w:rFonts w:ascii="Times New Roman" w:cs="Times New Roman" w:eastAsia="Times New Roman" w:hAnsi="Times New Roman"/>
          <w:sz w:val="16"/>
          <w:szCs w:val="16"/>
          <w:color w:val="auto"/>
        </w:rPr>
      </w:pPr>
    </w:p>
    <w:p>
      <w:pPr>
        <w:ind w:left="-320" w:right="60" w:firstLine="867"/>
        <w:spacing w:after="0" w:line="256"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66" w:lineRule="exact"/>
        <w:rPr>
          <w:rFonts w:ascii="Times New Roman" w:cs="Times New Roman" w:eastAsia="Times New Roman" w:hAnsi="Times New Roman"/>
          <w:sz w:val="16"/>
          <w:szCs w:val="16"/>
          <w:color w:val="auto"/>
        </w:rPr>
      </w:pPr>
    </w:p>
    <w:p>
      <w:pPr>
        <w:ind w:left="-320" w:right="120" w:firstLine="867"/>
        <w:spacing w:after="0" w:line="261"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be liable or responsible for any failure of Gem to comply with any of its obligations relating to any registration statement filed with the Securities and Exchange Commission or this Agreement, including without limitation obligations under applicable regulation or law.</w:t>
      </w:r>
    </w:p>
    <w:p>
      <w:pPr>
        <w:spacing w:after="0" w:line="62" w:lineRule="exact"/>
        <w:rPr>
          <w:rFonts w:ascii="Times New Roman" w:cs="Times New Roman" w:eastAsia="Times New Roman" w:hAnsi="Times New Roman"/>
          <w:sz w:val="16"/>
          <w:szCs w:val="16"/>
          <w:color w:val="auto"/>
        </w:rPr>
      </w:pPr>
    </w:p>
    <w:p>
      <w:pPr>
        <w:ind w:left="-320" w:right="580" w:firstLine="867"/>
        <w:spacing w:after="0" w:line="276"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obligations of Gem and the rights of the Rights Agent under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shall survive the expiration of the CVRs and the termination of this Agreement and the resignation, replacement or removal of the Rights Agent.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i w:val="1"/>
          <w:iCs w:val="1"/>
          <w:color w:val="auto"/>
        </w:rPr>
        <w:t>Resignation and Removal; Appointment of Successor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320" w:right="20" w:firstLine="867"/>
        <w:spacing w:after="0" w:line="261" w:lineRule="auto"/>
        <w:tabs>
          <w:tab w:leader="none" w:pos="76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resign at any time by written notice to Gem.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62" w:lineRule="exact"/>
        <w:rPr>
          <w:rFonts w:ascii="Times New Roman" w:cs="Times New Roman" w:eastAsia="Times New Roman" w:hAnsi="Times New Roman"/>
          <w:sz w:val="16"/>
          <w:szCs w:val="16"/>
          <w:color w:val="auto"/>
        </w:rPr>
      </w:pPr>
    </w:p>
    <w:p>
      <w:pPr>
        <w:ind w:left="-320" w:right="260" w:firstLine="867"/>
        <w:spacing w:after="0" w:line="261" w:lineRule="auto"/>
        <w:tabs>
          <w:tab w:leader="none" w:pos="77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62" w:lineRule="exact"/>
        <w:rPr>
          <w:rFonts w:ascii="Times New Roman" w:cs="Times New Roman" w:eastAsia="Times New Roman" w:hAnsi="Times New Roman"/>
          <w:sz w:val="16"/>
          <w:szCs w:val="16"/>
          <w:color w:val="auto"/>
        </w:rPr>
      </w:pPr>
    </w:p>
    <w:p>
      <w:pPr>
        <w:ind w:left="-320" w:right="20" w:firstLine="867"/>
        <w:spacing w:after="0" w:line="254" w:lineRule="auto"/>
        <w:tabs>
          <w:tab w:leader="none" w:pos="76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Rights Agent resigns, is removed or becomes incapable of acting, Gem will promptly appoint a qualified successor Rights Agent. Notwithstanding the foregoing, if Gem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become the Rights Agent for all purposes hereunder.</w:t>
      </w:r>
    </w:p>
    <w:p>
      <w:pPr>
        <w:sectPr>
          <w:pgSz w:w="11900" w:h="16838" w:orient="portrait"/>
          <w:cols w:equalWidth="0" w:num="1">
            <w:col w:w="9320"/>
          </w:cols>
          <w:pgMar w:left="1440" w:top="253" w:right="1139" w:bottom="1440" w:gutter="0" w:footer="0" w:header="0"/>
        </w:sectPr>
      </w:pPr>
    </w:p>
    <w:bookmarkStart w:id="188" w:name="page189"/>
    <w:bookmarkEnd w:id="188"/>
    <w:p>
      <w:pPr>
        <w:jc w:val="both"/>
        <w:ind w:right="260" w:firstLine="867"/>
        <w:spacing w:after="0" w:line="256" w:lineRule="auto"/>
        <w:tabs>
          <w:tab w:leader="none" w:pos="109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Gem will give notice to the Holders of each resignation or removal of the Rights Agent and each appointment of a successor Rights Agent in accordance with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Each notice will include the name and address of the successor Rights Agent. If Gem fails to send such notice within ten (10) Business Days after acceptance of appointment by a successor Rights Agent, the successor Rights Agent will cause the notice to be mailed at the expense of Gem.</w:t>
      </w:r>
    </w:p>
    <w:p>
      <w:pPr>
        <w:spacing w:after="0" w:line="161" w:lineRule="exact"/>
        <w:rPr>
          <w:rFonts w:ascii="Times New Roman" w:cs="Times New Roman" w:eastAsia="Times New Roman" w:hAnsi="Times New Roman"/>
          <w:sz w:val="16"/>
          <w:szCs w:val="16"/>
          <w:color w:val="auto"/>
        </w:rPr>
      </w:pPr>
    </w:p>
    <w:p>
      <w:pPr>
        <w:ind w:right="20" w:firstLine="867"/>
        <w:spacing w:after="0" w:line="261" w:lineRule="auto"/>
        <w:tabs>
          <w:tab w:leader="none" w:pos="1083"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unless consented to in writing by the Acting Holders, Gem will not appoint as a successor Rights Agent any Person that is not a stock transfer agent of national reputation or the corporate trust department of a commercial bank.</w:t>
      </w:r>
    </w:p>
    <w:p>
      <w:pPr>
        <w:spacing w:after="0" w:line="156" w:lineRule="exact"/>
        <w:rPr>
          <w:rFonts w:ascii="Times New Roman" w:cs="Times New Roman" w:eastAsia="Times New Roman" w:hAnsi="Times New Roman"/>
          <w:sz w:val="16"/>
          <w:szCs w:val="16"/>
          <w:color w:val="auto"/>
        </w:rPr>
      </w:pPr>
    </w:p>
    <w:p>
      <w:pPr>
        <w:ind w:firstLine="867"/>
        <w:spacing w:after="0" w:line="256" w:lineRule="auto"/>
        <w:tabs>
          <w:tab w:leader="none" w:pos="1065"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reasonably cooperate with Gem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i w:val="1"/>
          <w:iCs w:val="1"/>
          <w:color w:val="auto"/>
        </w:rPr>
        <w:t>Acceptance of Appointment by Successor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 xml:space="preserve">Every successor Rights Agent appointed hereunder will, at or prior to such appointment, execute, acknowledge and deliver to Gem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upon the request of Gem or the successor Rights Agent, such resigning or removed Rights Agent will execute and deliver an instrument transferring to such successor Rights Agent all the rights, powers and trusts of such resigning or removed Rights Agent.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i w:val="1"/>
          <w:iCs w:val="1"/>
          <w:color w:val="auto"/>
        </w:rPr>
        <w:t>List of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Gem will furnish or cause to be furnished to the Rights Agent, in such form as Gem receives from Gem’s transfer agent (or other agent performing similar services for Gem), the names and addresses of the Holders within fifteen (15) Business Days following the Closing Date.</w:t>
      </w:r>
    </w:p>
    <w:p>
      <w:pPr>
        <w:sectPr>
          <w:pgSz w:w="11900" w:h="16838" w:orient="portrait"/>
          <w:cols w:equalWidth="0" w:num="1">
            <w:col w:w="9640"/>
          </w:cols>
          <w:pgMar w:left="1120" w:top="253" w:right="1139" w:bottom="1440" w:gutter="0" w:footer="0" w:header="0"/>
        </w:sectPr>
      </w:pPr>
    </w:p>
    <w:bookmarkStart w:id="189" w:name="page190"/>
    <w:bookmarkEnd w:id="189"/>
    <w:p>
      <w:pPr>
        <w:ind w:left="38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4.2 </w:t>
      </w:r>
      <w:r>
        <w:rPr>
          <w:rFonts w:ascii="Times New Roman" w:cs="Times New Roman" w:eastAsia="Times New Roman" w:hAnsi="Times New Roman"/>
          <w:sz w:val="16"/>
          <w:szCs w:val="16"/>
          <w:i w:val="1"/>
          <w:iCs w:val="1"/>
          <w:color w:val="auto"/>
        </w:rPr>
        <w:t>CVR Committee; Efforts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right="140" w:firstLine="867"/>
        <w:spacing w:after="0" w:line="211" w:lineRule="auto"/>
        <w:tabs>
          <w:tab w:leader="none" w:pos="1084"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has delegated, to a special committee of the Gem Board comprised exclusively of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the sole responsibility, authority and discretion during the Disposition Period with respect to (i) managing the Potentially Transferable Assets, and</w:t>
      </w:r>
    </w:p>
    <w:p>
      <w:pPr>
        <w:spacing w:after="0" w:line="1" w:lineRule="exact"/>
        <w:rPr>
          <w:rFonts w:ascii="Times New Roman" w:cs="Times New Roman" w:eastAsia="Times New Roman" w:hAnsi="Times New Roman"/>
          <w:sz w:val="16"/>
          <w:szCs w:val="16"/>
          <w:color w:val="auto"/>
        </w:rPr>
      </w:pPr>
    </w:p>
    <w:p>
      <w:pPr>
        <w:ind w:left="1" w:right="100" w:hanging="1"/>
        <w:spacing w:after="0" w:line="249" w:lineRule="auto"/>
        <w:tabs>
          <w:tab w:leader="none" w:pos="23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any sale or transfer process (including engagement of advisors) with respect to a Disposition during the Disposition Period. The Special Committee shall also be empowered with the authority to authorize and direct any officer of Gem to negotiate, execute and deliver a definitive written agreement with respect to a Disposition (a “</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in the name and on behalf of Gem, as well as to identify and retain advisers and consultants.</w:t>
      </w:r>
    </w:p>
    <w:p>
      <w:pPr>
        <w:spacing w:after="0" w:line="165" w:lineRule="exact"/>
        <w:rPr>
          <w:rFonts w:ascii="Times New Roman" w:cs="Times New Roman" w:eastAsia="Times New Roman" w:hAnsi="Times New Roman"/>
          <w:sz w:val="16"/>
          <w:szCs w:val="16"/>
          <w:color w:val="auto"/>
        </w:rPr>
      </w:pPr>
    </w:p>
    <w:p>
      <w:pPr>
        <w:ind w:left="1" w:right="40" w:firstLine="867"/>
        <w:spacing w:after="0" w:line="254" w:lineRule="auto"/>
        <w:tabs>
          <w:tab w:leader="none" w:pos="1093"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delegation of responsibility and authority to the Special Committee set forth in Section 4.2(a) shall not be revoked or modified at any time during the Disposition Period. The Special Committee and the Gem Board shall not have any liability to the Holders for any actions taken or not taken in connection with the matters set forth herein. No provision of this Agreement shall require the Special Committee or any members thereof to expend or risk its, his or her own funds or otherwise incur any financial liability in the performance of any duties hereunder or in the exercise of any rights or powers.</w:t>
      </w:r>
    </w:p>
    <w:p>
      <w:pPr>
        <w:spacing w:after="0" w:line="161" w:lineRule="exact"/>
        <w:rPr>
          <w:rFonts w:ascii="Times New Roman" w:cs="Times New Roman" w:eastAsia="Times New Roman" w:hAnsi="Times New Roman"/>
          <w:sz w:val="16"/>
          <w:szCs w:val="16"/>
          <w:color w:val="auto"/>
        </w:rPr>
      </w:pPr>
    </w:p>
    <w:p>
      <w:pPr>
        <w:jc w:val="both"/>
        <w:ind w:left="1" w:right="80" w:firstLine="867"/>
        <w:spacing w:after="0" w:line="256" w:lineRule="auto"/>
        <w:tabs>
          <w:tab w:leader="none" w:pos="1084"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shall be intended third-party beneficiaries of the provisions of this Agreement and shall be entitled to specifically enforce the terms hereof; provided, that under no circumstances shall the rights of Holders as third-party beneficiaries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be enforceable by such Holders or any other Person acting for or on their behalf other than the Special Committee. The Special Committee has the sole power and authority to act on behalf of the Holders in enforcing any of their rights hereunder.</w:t>
      </w:r>
    </w:p>
    <w:p>
      <w:pPr>
        <w:spacing w:after="0" w:line="161" w:lineRule="exact"/>
        <w:rPr>
          <w:rFonts w:ascii="Times New Roman" w:cs="Times New Roman" w:eastAsia="Times New Roman" w:hAnsi="Times New Roman"/>
          <w:sz w:val="16"/>
          <w:szCs w:val="16"/>
          <w:color w:val="auto"/>
        </w:rPr>
      </w:pPr>
    </w:p>
    <w:p>
      <w:pPr>
        <w:ind w:left="1" w:right="100" w:firstLine="867"/>
        <w:spacing w:after="0" w:line="254" w:lineRule="auto"/>
        <w:tabs>
          <w:tab w:leader="none" w:pos="1093"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Disposition Period, Gem will, and will cause its Subsidiaries to, use commercially reasonable efforts (i) to utilize the CVR Expenditure Amount to maintain the Potentially Transferable Assets unless otherwise approved by the Special Committee, and (ii) effectuate a Disposition of the Potentially Transferable Assets, at the direction of the Special Committee, including the negotiation and execution of a Sale Agreement and completion of the transactions contemplated thereby. Further, Gem will not take any actions for the primary purpose of frustrating the payment of CVR Proceeds.</w:t>
      </w:r>
    </w:p>
    <w:p>
      <w:pPr>
        <w:spacing w:after="0" w:line="161" w:lineRule="exact"/>
        <w:rPr>
          <w:rFonts w:ascii="Times New Roman" w:cs="Times New Roman" w:eastAsia="Times New Roman" w:hAnsi="Times New Roman"/>
          <w:sz w:val="16"/>
          <w:szCs w:val="16"/>
          <w:color w:val="auto"/>
        </w:rPr>
      </w:pPr>
    </w:p>
    <w:p>
      <w:pPr>
        <w:ind w:left="1" w:firstLine="867"/>
        <w:spacing w:after="0" w:line="251" w:lineRule="auto"/>
        <w:tabs>
          <w:tab w:leader="none" w:pos="1084"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foregoing clause (d), (i) the Holders acknowledge that Gem has a fiduciary obligation to operate its business in the best interests of its stockholders, and any potential obligation to pay CVR Proceeds will not create any express or implied obligation to operate its business in any particular manner in order to maximize such CVR Proceeds, (ii) except as expressly set forth in this Agreement, the Holders are not relying on any representation of Gem or any other Person with regard to any Disposition or other action involving the Potentially Transferrable Assets following the Closing, and neither Gem nor any other Person has provided, or can provide, any assurance to the Holders that any CVR Proceeds will in fact be earned and paid, and (iii) none of Gem or any of its Subsidiaries, officers or directors shall have any obligation or liability whatsoever to any Person relating to or in connection with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7564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54" w:lineRule="exact"/>
        <w:rPr>
          <w:sz w:val="20"/>
          <w:szCs w:val="20"/>
          <w:color w:val="auto"/>
        </w:rPr>
      </w:pPr>
    </w:p>
    <w:p>
      <w:pPr>
        <w:ind w:left="381" w:hanging="381"/>
        <w:spacing w:after="0"/>
        <w:tabs>
          <w:tab w:leader="none" w:pos="381" w:val="left"/>
        </w:tabs>
        <w:numPr>
          <w:ilvl w:val="0"/>
          <w:numId w:val="2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comprised of the independent continuing director(s) of Gem.</w:t>
      </w:r>
    </w:p>
    <w:p>
      <w:pPr>
        <w:sectPr>
          <w:pgSz w:w="11900" w:h="16838" w:orient="portrait"/>
          <w:cols w:equalWidth="0" w:num="1">
            <w:col w:w="9641"/>
          </w:cols>
          <w:pgMar w:left="1119" w:top="251" w:right="1139" w:bottom="1440" w:gutter="0" w:footer="0" w:header="0"/>
        </w:sectPr>
      </w:pPr>
    </w:p>
    <w:bookmarkStart w:id="190" w:name="page191"/>
    <w:bookmarkEnd w:id="190"/>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or failure to act, with respect to the sale of Potentially Transferable Assets. Gem and its Affiliates will not be required to expend any out-of-pocket amounts in excess of the CVR Expenditure Amount during the Disposition Period, but, for clarity, any amounts which are or will become payable upon consummation of the Disposition and/or the payment of CVR Proceeds and which constitute Permitted Deductions shall be disregarded for purposes of the first clause of this sentence.</w:t>
      </w:r>
    </w:p>
    <w:p>
      <w:pPr>
        <w:spacing w:after="0" w:line="161" w:lineRule="exact"/>
        <w:rPr>
          <w:sz w:val="20"/>
          <w:szCs w:val="20"/>
          <w:color w:val="auto"/>
        </w:rPr>
      </w:pPr>
    </w:p>
    <w:p>
      <w:pPr>
        <w:ind w:firstLine="867"/>
        <w:spacing w:after="0" w:line="276" w:lineRule="auto"/>
        <w:tabs>
          <w:tab w:leader="none" w:pos="1065"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Disposition Period, Gem shall be permitted to take any action in respect of the Potentially Transferable Assets in order to satisfy any wind-down and termination Liabilities of the Potentially Transferable Assets.</w:t>
      </w:r>
    </w:p>
    <w:p>
      <w:pPr>
        <w:spacing w:after="0" w:line="143" w:lineRule="exact"/>
        <w:rPr>
          <w:sz w:val="20"/>
          <w:szCs w:val="20"/>
          <w:color w:val="auto"/>
        </w:rPr>
      </w:pPr>
    </w:p>
    <w:p>
      <w:pPr>
        <w:ind w:right="60" w:firstLine="386"/>
        <w:spacing w:after="0" w:line="257"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i w:val="1"/>
          <w:iCs w:val="1"/>
          <w:color w:val="auto"/>
        </w:rPr>
        <w:t>Prohibited Actions</w:t>
      </w:r>
      <w:r>
        <w:rPr>
          <w:rFonts w:ascii="Times New Roman" w:cs="Times New Roman" w:eastAsia="Times New Roman" w:hAnsi="Times New Roman"/>
          <w:sz w:val="16"/>
          <w:szCs w:val="16"/>
          <w:color w:val="auto"/>
        </w:rPr>
        <w:t>. Unless approved by written consent or resolution by the Special Committee, prior to the end of the Disposition Period, (a) Gem shall not grant any lien, security interest, pledge or similar interest in, or otherwise sell or Transfer, any Potentially Transferable Assets or any CVR Proceeds, and (b) Gem shall not, and shall not permit its Affiliates to, grant, assign, transfer or otherwise convey any Potentially Transferable Assets (including any option to obtain rights) to any third party.</w:t>
      </w:r>
    </w:p>
    <w:p>
      <w:pPr>
        <w:spacing w:after="0" w:line="158" w:lineRule="exact"/>
        <w:rPr>
          <w:sz w:val="20"/>
          <w:szCs w:val="20"/>
          <w:color w:val="auto"/>
        </w:rPr>
      </w:pPr>
    </w:p>
    <w:p>
      <w:pPr>
        <w:ind w:right="280" w:firstLine="386"/>
        <w:spacing w:after="0" w:line="313" w:lineRule="auto"/>
        <w:rPr>
          <w:sz w:val="20"/>
          <w:szCs w:val="20"/>
          <w:color w:val="auto"/>
        </w:rPr>
      </w:pPr>
      <w:r>
        <w:rPr>
          <w:rFonts w:ascii="Times New Roman" w:cs="Times New Roman" w:eastAsia="Times New Roman" w:hAnsi="Times New Roman"/>
          <w:sz w:val="15"/>
          <w:szCs w:val="15"/>
          <w:i w:val="1"/>
          <w:iCs w:val="1"/>
          <w:color w:val="auto"/>
        </w:rPr>
        <w:t xml:space="preserve">Section 4.4 Books and Records. </w:t>
      </w:r>
      <w:r>
        <w:rPr>
          <w:rFonts w:ascii="Times New Roman" w:cs="Times New Roman" w:eastAsia="Times New Roman" w:hAnsi="Times New Roman"/>
          <w:sz w:val="15"/>
          <w:szCs w:val="15"/>
          <w:color w:val="auto"/>
        </w:rPr>
        <w:t>Until the end of the CVR Period, Gem shall, and shall cause its Affiliates to, keep true, complete and accurate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records in sufficient detail to support the applicable CVR Payments payable hereunder in accordance with the terms specified in this Agreement.</w:t>
      </w:r>
    </w:p>
    <w:p>
      <w:pPr>
        <w:spacing w:after="0" w:line="118" w:lineRule="exact"/>
        <w:rPr>
          <w:sz w:val="20"/>
          <w:szCs w:val="20"/>
          <w:color w:val="auto"/>
        </w:rPr>
      </w:pPr>
    </w:p>
    <w:p>
      <w:pPr>
        <w:ind w:right="160" w:firstLine="386"/>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Section 4.5 Audits. </w:t>
      </w:r>
      <w:r>
        <w:rPr>
          <w:rFonts w:ascii="Times New Roman" w:cs="Times New Roman" w:eastAsia="Times New Roman" w:hAnsi="Times New Roman"/>
          <w:sz w:val="16"/>
          <w:szCs w:val="16"/>
          <w:color w:val="auto"/>
        </w:rPr>
        <w:t>Gem agrees to maintain, for at least two years after the last possible CVR Payment, all books and records relevant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calculation of the Permitted Deductions. Subject to reasonable advance written notice from the Acting Holders and prior execution and delivery by it and an independent accounting firm of national reputation chosen by the Acting Holders (the “</w:t>
      </w:r>
      <w:r>
        <w:rPr>
          <w:rFonts w:ascii="Times New Roman" w:cs="Times New Roman" w:eastAsia="Times New Roman" w:hAnsi="Times New Roman"/>
          <w:sz w:val="16"/>
          <w:szCs w:val="16"/>
          <w:u w:val="single" w:color="auto"/>
          <w:color w:val="auto"/>
        </w:rPr>
        <w:t>Accountant</w:t>
      </w:r>
      <w:r>
        <w:rPr>
          <w:rFonts w:ascii="Times New Roman" w:cs="Times New Roman" w:eastAsia="Times New Roman" w:hAnsi="Times New Roman"/>
          <w:sz w:val="16"/>
          <w:szCs w:val="16"/>
          <w:color w:val="auto"/>
        </w:rPr>
        <w:t>”) of a reasonable and customary confidentiality/nonuse agreement, which confidentiality/nonuse agreement shall not prohibit the Acting Holders from communicating any such information with the Holders who have a need to know such information, provided that any such recipients are subject to confidentiality obligations with respect thereto, Gem shall permit the Acting Holders and the Accountant, acting as agent of the Acting Holders, to have access during normal business hours to the books and records of Gem as may be reasonably necessary to audit the calculation of the CVR Payment and the Permitted Deductions. Notwithstanding anything in this Agreement to the contrary, in no event shall Gem be required to provide any tax returns or any other tax information it deems confidential to the Acting Holders or any other party pursuant to this Agreement.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i w:val="1"/>
          <w:iCs w:val="1"/>
          <w:color w:val="auto"/>
        </w:rPr>
        <w:t>Amendments Without Consent of Holders or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867"/>
        <w:spacing w:after="0" w:line="261" w:lineRule="auto"/>
        <w:tabs>
          <w:tab w:leader="none" w:pos="1083"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at any time and from time to time, may (without the consent of any Person, other than the Rights Agent, with such consent not to be unreasonably withheld, conditioned or delayed) enter into one or more amendments to this Agreement for any of the following purposes, without the consent of any of the Holders,</w:t>
      </w:r>
    </w:p>
    <w:p>
      <w:pPr>
        <w:sectPr>
          <w:pgSz w:w="11900" w:h="16838" w:orient="portrait"/>
          <w:cols w:equalWidth="0" w:num="1">
            <w:col w:w="9620"/>
          </w:cols>
          <w:pgMar w:left="1120" w:top="253" w:right="1159" w:bottom="1440" w:gutter="0" w:footer="0" w:header="0"/>
        </w:sectPr>
      </w:pPr>
    </w:p>
    <w:bookmarkStart w:id="191" w:name="page192"/>
    <w:bookmarkEnd w:id="191"/>
    <w:p>
      <w:pPr>
        <w:ind w:left="1" w:right="60" w:firstLine="1253"/>
        <w:spacing w:after="0" w:line="276" w:lineRule="auto"/>
        <w:tabs>
          <w:tab w:leader="none" w:pos="1444"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evidence the appointment of another Person as a successor Rights Agent and the assumption by any successor Rights Agent of the covenants and obligations of the Rights Agent herein in accordance with the provisions hereof;</w:t>
      </w:r>
    </w:p>
    <w:p>
      <w:pPr>
        <w:spacing w:after="0" w:line="144"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488"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6.1, to evidence the succession of another person to Gem and the assumption of any such successor of the covenants of Gem outlined herein in a transaction contemplated by Section 6.1;</w:t>
      </w:r>
    </w:p>
    <w:p>
      <w:pPr>
        <w:spacing w:after="0" w:line="144" w:lineRule="exact"/>
        <w:rPr>
          <w:rFonts w:ascii="Times New Roman" w:cs="Times New Roman" w:eastAsia="Times New Roman" w:hAnsi="Times New Roman"/>
          <w:sz w:val="16"/>
          <w:szCs w:val="16"/>
          <w:color w:val="auto"/>
        </w:rPr>
      </w:pPr>
    </w:p>
    <w:p>
      <w:pPr>
        <w:jc w:val="both"/>
        <w:ind w:left="1" w:right="100" w:firstLine="1253"/>
        <w:spacing w:after="0" w:line="261" w:lineRule="auto"/>
        <w:tabs>
          <w:tab w:leader="none" w:pos="1532"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156"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523"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is not required to produce a prospectus or an admission document in order to comply with applicable Law;</w:t>
      </w:r>
    </w:p>
    <w:p>
      <w:pPr>
        <w:spacing w:after="0" w:line="144" w:lineRule="exact"/>
        <w:rPr>
          <w:rFonts w:ascii="Times New Roman" w:cs="Times New Roman" w:eastAsia="Times New Roman" w:hAnsi="Times New Roman"/>
          <w:sz w:val="16"/>
          <w:szCs w:val="16"/>
          <w:color w:val="auto"/>
        </w:rPr>
      </w:pPr>
    </w:p>
    <w:p>
      <w:pPr>
        <w:ind w:left="1" w:right="460" w:firstLine="1253"/>
        <w:spacing w:after="0" w:line="276" w:lineRule="auto"/>
        <w:tabs>
          <w:tab w:leader="none" w:pos="1479"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cancel CVRs (i) in the event that any Holder has abandoned its rights in accordance with Section 2.6, or (ii) following a transfer of such CVRs to Gem or its Affiliates in accordance with Section 2.2 or Section 2.3; or</w:t>
      </w:r>
    </w:p>
    <w:p>
      <w:pPr>
        <w:spacing w:after="0" w:line="144" w:lineRule="exact"/>
        <w:rPr>
          <w:rFonts w:ascii="Times New Roman" w:cs="Times New Roman" w:eastAsia="Times New Roman" w:hAnsi="Times New Roman"/>
          <w:sz w:val="16"/>
          <w:szCs w:val="16"/>
          <w:color w:val="auto"/>
        </w:rPr>
      </w:pPr>
    </w:p>
    <w:p>
      <w:pPr>
        <w:ind w:left="1521" w:hanging="267"/>
        <w:spacing w:after="0"/>
        <w:tabs>
          <w:tab w:leader="none" w:pos="1521"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complies with applicable Law.</w:t>
      </w:r>
    </w:p>
    <w:p>
      <w:pPr>
        <w:spacing w:after="0" w:line="194" w:lineRule="exact"/>
        <w:rPr>
          <w:sz w:val="20"/>
          <w:szCs w:val="20"/>
          <w:color w:val="auto"/>
        </w:rPr>
      </w:pPr>
    </w:p>
    <w:p>
      <w:pPr>
        <w:ind w:left="1" w:right="20" w:hanging="1"/>
        <w:spacing w:after="0" w:line="276" w:lineRule="auto"/>
        <w:tabs>
          <w:tab w:leader="none" w:pos="224"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execution by Gem of any amendment pursuant to this Section 5.1, Gem will (or will cause the Rights Agent to) notify the Holders in general terms of the substance of such amendment in accordance with Section 7.2.</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i w:val="1"/>
          <w:iCs w:val="1"/>
          <w:color w:val="auto"/>
        </w:rPr>
        <w:t>Effect of Amendments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2" w:lineRule="auto"/>
        <w:rPr>
          <w:sz w:val="20"/>
          <w:szCs w:val="20"/>
          <w:color w:val="auto"/>
        </w:rPr>
      </w:pPr>
      <w:r>
        <w:rPr>
          <w:rFonts w:ascii="Times New Roman" w:cs="Times New Roman" w:eastAsia="Times New Roman" w:hAnsi="Times New Roman"/>
          <w:sz w:val="16"/>
          <w:szCs w:val="16"/>
          <w:color w:val="auto"/>
        </w:rPr>
        <w:t xml:space="preserve">Upon the execution of any amendment under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this Agreement will be modified in accordance therewith, such amendment will form a part of this Agreement for all purposes and every Holder will be bound thereby. Upon the delivery of a certificate from an appropriate officer of Gem which states that the proposed supplement or amendment is in compliance with the terms of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ectPr>
          <w:pgSz w:w="11900" w:h="16838" w:orient="portrait"/>
          <w:cols w:equalWidth="0" w:num="1">
            <w:col w:w="9641"/>
          </w:cols>
          <w:pgMar w:left="1119" w:top="253" w:right="1139" w:bottom="1440" w:gutter="0" w:footer="0" w:header="0"/>
        </w:sectPr>
      </w:pPr>
    </w:p>
    <w:bookmarkStart w:id="192" w:name="page193"/>
    <w:bookmarkEnd w:id="192"/>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ARTICLE 6</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CONSOLIDATION, MERGER, SALE OR CONVEYANCE</w:t>
      </w:r>
    </w:p>
    <w:p>
      <w:pPr>
        <w:spacing w:after="0" w:line="175" w:lineRule="exact"/>
        <w:rPr>
          <w:sz w:val="20"/>
          <w:szCs w:val="20"/>
          <w:color w:val="auto"/>
        </w:rPr>
      </w:pPr>
    </w:p>
    <w:p>
      <w:pPr>
        <w:ind w:left="1" w:right="540" w:firstLine="386"/>
        <w:spacing w:after="0" w:line="278"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i w:val="1"/>
          <w:iCs w:val="1"/>
          <w:color w:val="auto"/>
        </w:rPr>
        <w:t>Gem May Not Consolidate, Etc</w:t>
      </w:r>
      <w:r>
        <w:rPr>
          <w:rFonts w:ascii="Times New Roman" w:cs="Times New Roman" w:eastAsia="Times New Roman" w:hAnsi="Times New Roman"/>
          <w:sz w:val="16"/>
          <w:szCs w:val="16"/>
          <w:color w:val="auto"/>
        </w:rPr>
        <w:t>. Gem shall not consolidate with or merge into any other Person or convey, transfer or lease its properties and assets substantially as an entirety to any Person or transfer all or substantially all of its business to any Person, unless:</w:t>
      </w:r>
    </w:p>
    <w:p>
      <w:pPr>
        <w:spacing w:after="0" w:line="143" w:lineRule="exact"/>
        <w:rPr>
          <w:sz w:val="20"/>
          <w:szCs w:val="20"/>
          <w:color w:val="auto"/>
        </w:rPr>
      </w:pPr>
    </w:p>
    <w:p>
      <w:pPr>
        <w:ind w:left="1" w:right="280" w:firstLine="867"/>
        <w:spacing w:after="0" w:line="256" w:lineRule="auto"/>
        <w:tabs>
          <w:tab w:leader="none" w:pos="1084"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formed by such consolidation or into which Gem is merged, the Person that acquires the properties and assets of Gem substantially as an entirety or the Person that acquires by conveyance or transfer, or that leases, the Gem substantially as an entirety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expressly assume payment of amounts on all CVRs and the performance of every duty and covenant of this Agreement on the part of Gem to be performed or observed; and</w:t>
      </w:r>
    </w:p>
    <w:p>
      <w:pPr>
        <w:spacing w:after="0" w:line="161" w:lineRule="exact"/>
        <w:rPr>
          <w:rFonts w:ascii="Times New Roman" w:cs="Times New Roman" w:eastAsia="Times New Roman" w:hAnsi="Times New Roman"/>
          <w:sz w:val="16"/>
          <w:szCs w:val="16"/>
          <w:color w:val="auto"/>
        </w:rPr>
      </w:pPr>
    </w:p>
    <w:p>
      <w:pPr>
        <w:ind w:left="1" w:right="140" w:firstLine="867"/>
        <w:spacing w:after="0" w:line="276" w:lineRule="auto"/>
        <w:tabs>
          <w:tab w:leader="none" w:pos="1093"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has delivered to the Rights Agent an Officer’s Certificate, stating that such consolidation, merger, conveyance, transfer or lease complies with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and that all conditions precedent herein provided for relating to such transaction have been complied with.</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i w:val="1"/>
          <w:iCs w:val="1"/>
          <w:color w:val="auto"/>
        </w:rPr>
        <w:t>Successor Substituted</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6" w:lineRule="auto"/>
        <w:rPr>
          <w:sz w:val="20"/>
          <w:szCs w:val="20"/>
          <w:color w:val="auto"/>
        </w:rPr>
      </w:pPr>
      <w:r>
        <w:rPr>
          <w:rFonts w:ascii="Times New Roman" w:cs="Times New Roman" w:eastAsia="Times New Roman" w:hAnsi="Times New Roman"/>
          <w:sz w:val="16"/>
          <w:szCs w:val="16"/>
          <w:color w:val="auto"/>
        </w:rPr>
        <w:t xml:space="preserve">Upon any consolidation of or merger by Gem with or into any other Person, or any conveyance, transfer or lease of the properties and assets substantially as an entirety to any Person in accordance with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the Surviving Person shall succeed to, and be substituted for, and may exercise every right and power of, and shall assume all of the obligations of Gem under this Agreement with the same effect as if the Surviving Person had been named as Gem herein.</w:t>
      </w: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i w:val="1"/>
          <w:iCs w:val="1"/>
          <w:color w:val="auto"/>
        </w:rPr>
        <w:t>Notices to Rights Agent and to Gem</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All notices, requests and other communications (each, a “</w:t>
      </w: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to any party hereunder shall be in writing. Such Notice shall be deemed given</w:t>
      </w:r>
    </w:p>
    <w:p>
      <w:pPr>
        <w:spacing w:after="0" w:line="34" w:lineRule="exact"/>
        <w:rPr>
          <w:sz w:val="20"/>
          <w:szCs w:val="20"/>
          <w:color w:val="auto"/>
        </w:rPr>
      </w:pPr>
    </w:p>
    <w:p>
      <w:pPr>
        <w:ind w:left="1" w:right="120" w:hanging="1"/>
        <w:spacing w:after="0" w:line="249" w:lineRule="auto"/>
        <w:tabs>
          <w:tab w:leader="none" w:pos="216"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of delivery, if delivered in person, by Fedex or other internationally recognized overnight courier service or, (except with respect to any Person other than the Rights Agent),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16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if to the Rights Agent, to:</w:t>
      </w:r>
    </w:p>
    <w:p>
      <w:pPr>
        <w:spacing w:after="0" w:line="194"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601"/>
          </w:cols>
          <w:pgMar w:left="1119" w:top="251" w:right="1179" w:bottom="1440" w:gutter="0" w:footer="0" w:header="0"/>
        </w:sectPr>
      </w:pPr>
    </w:p>
    <w:bookmarkStart w:id="193" w:name="page194"/>
    <w:bookmarkEnd w:id="19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to Gem, to:</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or facsimile number as such party may hereafter specify for the purpose by notice to the other parties 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i w:val="1"/>
          <w:iCs w:val="1"/>
          <w:color w:val="auto"/>
        </w:rPr>
        <w:t>Notice to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60" w:firstLine="386"/>
        <w:spacing w:after="0" w:line="261" w:lineRule="auto"/>
        <w:rPr>
          <w:sz w:val="20"/>
          <w:szCs w:val="20"/>
          <w:color w:val="auto"/>
        </w:rPr>
      </w:pPr>
      <w:r>
        <w:rPr>
          <w:rFonts w:ascii="Times New Roman" w:cs="Times New Roman" w:eastAsia="Times New Roman" w:hAnsi="Times New Roman"/>
          <w:sz w:val="16"/>
          <w:szCs w:val="16"/>
          <w:color w:val="auto"/>
        </w:rPr>
        <w:t>As between Gem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i w:val="1"/>
          <w:iCs w:val="1"/>
          <w:color w:val="auto"/>
        </w:rPr>
        <w:t>Merger or Consolidation or Change of Name of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2" w:lineRule="auto"/>
        <w:rPr>
          <w:sz w:val="20"/>
          <w:szCs w:val="20"/>
          <w:color w:val="auto"/>
        </w:rPr>
      </w:pPr>
      <w:r>
        <w:rPr>
          <w:rFonts w:ascii="Times New Roman" w:cs="Times New Roman" w:eastAsia="Times New Roman" w:hAnsi="Times New Roman"/>
          <w:sz w:val="16"/>
          <w:szCs w:val="16"/>
          <w:color w:val="auto"/>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The purchase of the Rights Agent’s assets employed in the performance of transfer agent activities shall be deemed a merger or consolidation for purposes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6" w:lineRule="auto"/>
        <w:rPr>
          <w:sz w:val="20"/>
          <w:szCs w:val="20"/>
          <w:color w:val="auto"/>
        </w:rPr>
      </w:pPr>
      <w:r>
        <w:rPr>
          <w:rFonts w:ascii="Times New Roman" w:cs="Times New Roman" w:eastAsia="Times New Roman" w:hAnsi="Times New Roman"/>
          <w:sz w:val="16"/>
          <w:szCs w:val="16"/>
          <w:color w:val="auto"/>
        </w:rPr>
        <w:t xml:space="preserve">This Agreement will be binding upon, and will be enforceable by and inure solely to the benefit of, the Holders, Gem and the Rights Agent and their respective successors and assigns. Except for assignments pursuant to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the Rights Agent may not assign this Agreement without Gem’s prior written consent. Gem or an Assignee may not otherwise assign this Agreement without the prior consent of the Majority of Holders. Any attempted assignment of this Agreement in violation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will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effect.</w:t>
      </w:r>
    </w:p>
    <w:p>
      <w:pPr>
        <w:sectPr>
          <w:pgSz w:w="11900" w:h="16838" w:orient="portrait"/>
          <w:cols w:equalWidth="0" w:num="1">
            <w:col w:w="9600"/>
          </w:cols>
          <w:pgMar w:left="1120" w:top="253" w:right="1179" w:bottom="1440" w:gutter="0" w:footer="0" w:header="0"/>
        </w:sectPr>
      </w:pPr>
    </w:p>
    <w:bookmarkStart w:id="194" w:name="page195"/>
    <w:bookmarkEnd w:id="19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7.6 </w:t>
      </w:r>
      <w:r>
        <w:rPr>
          <w:rFonts w:ascii="Times New Roman" w:cs="Times New Roman" w:eastAsia="Times New Roman" w:hAnsi="Times New Roman"/>
          <w:sz w:val="16"/>
          <w:szCs w:val="16"/>
          <w:i w:val="1"/>
          <w:iCs w:val="1"/>
          <w:color w:val="auto"/>
        </w:rPr>
        <w:t>Benefits of Agreement; Action by Acting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Nothing in this Agreement, express or implied, will give to any Person (other than Gem,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Gem, the Rights Agent, the Holders and their permitted successors and assigns. The Holders will have no rights hereunder except as are expressly set forth herein. Except for the rights of the Rights Agent set forth herein, the Acting Holders and/or Acting Holders, in accordance with this agreement and as the case may be,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This Agreement and the CVRs will be governed by, and construed in accordance with, the laws of the State of Delaware without regard to the conflicts of law rules of such state.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i w:val="1"/>
          <w:iCs w:val="1"/>
          <w:color w:val="auto"/>
        </w:rPr>
        <w:t>Jurisdiction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0" w:lineRule="auto"/>
        <w:rPr>
          <w:sz w:val="20"/>
          <w:szCs w:val="20"/>
          <w:color w:val="auto"/>
        </w:rPr>
      </w:pPr>
      <w:r>
        <w:rPr>
          <w:rFonts w:ascii="Times New Roman" w:cs="Times New Roman" w:eastAsia="Times New Roman" w:hAnsi="Times New Roman"/>
          <w:sz w:val="16"/>
          <w:szCs w:val="16"/>
          <w:color w:val="auto"/>
        </w:rPr>
        <w:t xml:space="preserve">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w:t>
      </w:r>
    </w:p>
    <w:p>
      <w:pPr>
        <w:spacing w:after="0"/>
        <w:rPr>
          <w:sz w:val="20"/>
          <w:szCs w:val="20"/>
          <w:color w:val="auto"/>
        </w:rPr>
      </w:pPr>
      <w:r>
        <w:rPr>
          <w:rFonts w:ascii="Times New Roman" w:cs="Times New Roman" w:eastAsia="Times New Roman" w:hAnsi="Times New Roman"/>
          <w:sz w:val="16"/>
          <w:szCs w:val="16"/>
          <w:color w:val="auto"/>
        </w:rPr>
        <w:t xml:space="preserve">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of this Agreement.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80" w:firstLine="386"/>
        <w:spacing w:after="0" w:line="257" w:lineRule="auto"/>
        <w:rPr>
          <w:sz w:val="20"/>
          <w:szCs w:val="20"/>
          <w:color w:val="auto"/>
        </w:rPr>
      </w:pPr>
      <w:r>
        <w:rPr>
          <w:rFonts w:ascii="Times New Roman" w:cs="Times New Roman" w:eastAsia="Times New Roman" w:hAnsi="Times New Roman"/>
          <w:sz w:val="16"/>
          <w:szCs w:val="16"/>
          <w:b w:val="1"/>
          <w:bCs w:val="1"/>
          <w:color w:val="auto"/>
        </w:rPr>
        <w:t>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w:t>
      </w:r>
    </w:p>
    <w:p>
      <w:pPr>
        <w:sectPr>
          <w:pgSz w:w="11900" w:h="16838" w:orient="portrait"/>
          <w:cols w:equalWidth="0" w:num="1">
            <w:col w:w="9600"/>
          </w:cols>
          <w:pgMar w:left="1120" w:top="251" w:right="1179" w:bottom="1440" w:gutter="0" w:footer="0" w:header="0"/>
        </w:sectPr>
      </w:pPr>
    </w:p>
    <w:bookmarkStart w:id="195" w:name="page196"/>
    <w:bookmarkEnd w:id="195"/>
    <w:p>
      <w:pPr>
        <w:ind w:right="80"/>
        <w:spacing w:after="0" w:line="25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7.9</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Severability Clause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1" w:lineRule="auto"/>
        <w:rPr>
          <w:sz w:val="20"/>
          <w:szCs w:val="20"/>
          <w:color w:val="auto"/>
        </w:rPr>
      </w:pPr>
      <w:r>
        <w:rPr>
          <w:rFonts w:ascii="Times New Roman" w:cs="Times New Roman" w:eastAsia="Times New Roman" w:hAnsi="Times New Roman"/>
          <w:sz w:val="16"/>
          <w:szCs w:val="16"/>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immediately upon written notice to Gem.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Counterparts; Effectiveness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2" w:lineRule="auto"/>
        <w:rPr>
          <w:sz w:val="20"/>
          <w:szCs w:val="20"/>
          <w:color w:val="auto"/>
        </w:rPr>
      </w:pPr>
      <w:r>
        <w:rPr>
          <w:rFonts w:ascii="Times New Roman" w:cs="Times New Roman" w:eastAsia="Times New Roman" w:hAnsi="Times New Roman"/>
          <w:sz w:val="16"/>
          <w:szCs w:val="16"/>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80" w:firstLine="386"/>
        <w:spacing w:after="0" w:line="279" w:lineRule="auto"/>
        <w:rPr>
          <w:sz w:val="20"/>
          <w:szCs w:val="20"/>
          <w:color w:val="auto"/>
        </w:rPr>
      </w:pPr>
      <w:r>
        <w:rPr>
          <w:rFonts w:ascii="Times New Roman" w:cs="Times New Roman" w:eastAsia="Times New Roman" w:hAnsi="Times New Roman"/>
          <w:sz w:val="15"/>
          <w:szCs w:val="15"/>
          <w:color w:val="auto"/>
        </w:rPr>
        <w:t xml:space="preserve">This Agreement will automatically terminate and be of no further force or effect and, except as provided in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the parties hereto will have no further liability hereunder, and the CVRs will expire without any consideration or compensation therefor, upon the expiration of the CVR Period. The termination of this Agreement will not affect or limit the right of Holders to receive the CVR Payments under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to the extent earned prior to the termination of this Agreement, and the provisions applicable thereto will survive the expiration or termination of this Agreement.</w:t>
      </w:r>
    </w:p>
    <w:p>
      <w:pPr>
        <w:sectPr>
          <w:pgSz w:w="11900" w:h="16838" w:orient="portrait"/>
          <w:cols w:equalWidth="0" w:num="1">
            <w:col w:w="9640"/>
          </w:cols>
          <w:pgMar w:left="1120" w:top="251" w:right="1139" w:bottom="1440" w:gutter="0" w:footer="0" w:header="0"/>
        </w:sectPr>
      </w:pPr>
    </w:p>
    <w:bookmarkStart w:id="196" w:name="page197"/>
    <w:bookmarkEnd w:id="19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7.13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Notwithstanding anything to the contrary contained herein, none of the Rights Agent, Gem or any of its Subsidiaries (except as it relates to the obligations of the Company under Article 3) will be liable for any delays or failures in performance resulting from acts beyond its reasonable control including acts of God, pandemics (including COVID-19),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40" w:firstLine="867"/>
        <w:spacing w:after="0" w:line="261" w:lineRule="auto"/>
        <w:tabs>
          <w:tab w:leader="none" w:pos="108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56" w:lineRule="exact"/>
        <w:rPr>
          <w:rFonts w:ascii="Times New Roman" w:cs="Times New Roman" w:eastAsia="Times New Roman" w:hAnsi="Times New Roman"/>
          <w:sz w:val="16"/>
          <w:szCs w:val="16"/>
          <w:color w:val="auto"/>
        </w:rPr>
      </w:pPr>
    </w:p>
    <w:p>
      <w:pPr>
        <w:ind w:right="160" w:firstLine="867"/>
        <w:spacing w:after="0" w:line="276" w:lineRule="auto"/>
        <w:tabs>
          <w:tab w:leader="none" w:pos="1092"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words “include” and “including,” and variations thereof, will not be deemed to be terms of limitation, but rather will be deemed to be followed by the words “without limitation.”</w:t>
      </w:r>
    </w:p>
    <w:p>
      <w:pPr>
        <w:spacing w:after="0" w:line="144" w:lineRule="exact"/>
        <w:rPr>
          <w:rFonts w:ascii="Times New Roman" w:cs="Times New Roman" w:eastAsia="Times New Roman" w:hAnsi="Times New Roman"/>
          <w:sz w:val="16"/>
          <w:szCs w:val="16"/>
          <w:color w:val="auto"/>
        </w:rPr>
      </w:pPr>
    </w:p>
    <w:p>
      <w:pPr>
        <w:ind w:right="40" w:firstLine="867"/>
        <w:spacing w:after="0" w:line="276" w:lineRule="auto"/>
        <w:tabs>
          <w:tab w:leader="none" w:pos="108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44" w:lineRule="exact"/>
        <w:rPr>
          <w:rFonts w:ascii="Times New Roman" w:cs="Times New Roman" w:eastAsia="Times New Roman" w:hAnsi="Times New Roman"/>
          <w:sz w:val="16"/>
          <w:szCs w:val="16"/>
          <w:color w:val="auto"/>
        </w:rPr>
      </w:pPr>
    </w:p>
    <w:p>
      <w:pPr>
        <w:ind w:firstLine="867"/>
        <w:spacing w:after="0" w:line="256" w:lineRule="auto"/>
        <w:tabs>
          <w:tab w:leader="none" w:pos="1092"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date or time shall be deemed to be such date or time in New York City, United States, unless otherwise specified. The parties hereto and Gem have participated jointly in the negotiation and drafting of this Agreement. In the event an ambiguity or question of intent or interpretation arises, this Agreement shall be construed as if drafted jointly by the parties and Gem and no presumption or burden of proof shall arise favoring or disfavoring any Person by virtue of the authorship of any provision of this Agreement.</w:t>
      </w:r>
    </w:p>
    <w:p>
      <w:pPr>
        <w:spacing w:after="0" w:line="161"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herein to “$” are to United States Dollars.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ectPr>
          <w:pgSz w:w="11900" w:h="16838" w:orient="portrait"/>
          <w:cols w:equalWidth="0" w:num="1">
            <w:col w:w="9640"/>
          </w:cols>
          <w:pgMar w:left="1120" w:top="251" w:right="1139"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each of the parties has caused this Agreement to be executed as of the day and year first above written.</w:t>
      </w:r>
    </w:p>
    <w:p>
      <w:pPr>
        <w:sectPr>
          <w:pgSz w:w="11900" w:h="16838" w:orient="portrait"/>
          <w:cols w:equalWidth="0" w:num="1">
            <w:col w:w="9019"/>
          </w:cols>
          <w:pgMar w:left="1440" w:top="253" w:right="1440" w:bottom="1440" w:gutter="0" w:footer="0" w:header="0"/>
        </w:sectPr>
      </w:pPr>
    </w:p>
    <w:p>
      <w:pPr>
        <w:spacing w:after="0" w:line="2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[GEM]</w:t>
      </w:r>
    </w:p>
    <w:p>
      <w:pPr>
        <w:spacing w:after="0" w:line="1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[AGENT]</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253" w:right="1440" w:bottom="1440" w:gutter="0" w:footer="0" w:header="0"/>
          <w:type w:val="continuous"/>
        </w:sectPr>
      </w:pPr>
    </w:p>
    <w:bookmarkStart w:id="198" w:name="page199"/>
    <w:bookmarkEnd w:id="19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10.1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COMPANY STOCKHOLDER SUPPORT AGREEMENT</w:t>
      </w:r>
    </w:p>
    <w:p>
      <w:pPr>
        <w:spacing w:after="0" w:line="196" w:lineRule="exact"/>
        <w:rPr>
          <w:sz w:val="20"/>
          <w:szCs w:val="20"/>
          <w:color w:val="auto"/>
        </w:rPr>
      </w:pPr>
    </w:p>
    <w:p>
      <w:pPr>
        <w:ind w:right="80" w:firstLine="386"/>
        <w:spacing w:after="0" w:line="256" w:lineRule="auto"/>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Gemini Therapeutics, Inc.,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the Company. Capitalized terms used herein but not otherwise defined shall have the respective meanings ascribed to such terms in the Merger Agreement (as defined below).</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right="100"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Gemstone Merger Sub, Inc., a Delaware corporation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right="16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200"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Gem to enter into the Merger Agreement, Gem has required that Stockholder enter into this Agreement.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right="40" w:firstLine="385"/>
        <w:spacing w:after="0" w:line="276" w:lineRule="auto"/>
        <w:tabs>
          <w:tab w:leader="none" w:pos="543"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right="320" w:firstLine="867"/>
        <w:spacing w:after="0" w:line="256" w:lineRule="auto"/>
        <w:tabs>
          <w:tab w:leader="none" w:pos="1083"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right="80" w:firstLine="867"/>
        <w:spacing w:after="0" w:line="261" w:lineRule="auto"/>
        <w:tabs>
          <w:tab w:leader="none" w:pos="1092"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40"/>
          </w:cols>
          <w:pgMar w:left="1120" w:top="251" w:right="1139" w:bottom="1440" w:gutter="0" w:footer="0" w:header="0"/>
        </w:sectPr>
      </w:pPr>
    </w:p>
    <w:bookmarkStart w:id="199" w:name="page200"/>
    <w:bookmarkEnd w:id="199"/>
    <w:p>
      <w:pPr>
        <w:ind w:left="-40" w:firstLine="867"/>
        <w:spacing w:after="0" w:line="251" w:lineRule="auto"/>
        <w:tabs>
          <w:tab w:leader="none" w:pos="104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w:t>
      </w:r>
    </w:p>
    <w:p>
      <w:pPr>
        <w:spacing w:after="0" w:line="166"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Gem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70" w:lineRule="auto"/>
        <w:tabs>
          <w:tab w:leader="none" w:pos="1052"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the Amended and Restated Voting Agreement of the Company, dated as of August 23, 2021 (the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w:t>
      </w:r>
    </w:p>
    <w:p>
      <w:pPr>
        <w:spacing w:after="0" w:line="55" w:lineRule="exact"/>
        <w:rPr>
          <w:rFonts w:ascii="Times New Roman" w:cs="Times New Roman" w:eastAsia="Times New Roman" w:hAnsi="Times New Roman"/>
          <w:sz w:val="15"/>
          <w:szCs w:val="15"/>
          <w:color w:val="auto"/>
        </w:rPr>
      </w:pPr>
    </w:p>
    <w:p>
      <w:pPr>
        <w:ind w:left="-40" w:firstLine="867"/>
        <w:spacing w:after="0" w:line="268" w:lineRule="auto"/>
        <w:tabs>
          <w:tab w:leader="none" w:pos="1043"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200" w:name="page201"/>
    <w:bookmarkEnd w:id="200"/>
    <w:p>
      <w:pPr>
        <w:ind w:left="540" w:hanging="155"/>
        <w:spacing w:after="0"/>
        <w:tabs>
          <w:tab w:leader="none" w:pos="54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firstLine="867"/>
        <w:spacing w:after="0" w:line="256" w:lineRule="auto"/>
        <w:tabs>
          <w:tab w:leader="none" w:pos="1083"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and (C) against any Acquisition Proposal.</w:t>
      </w:r>
    </w:p>
    <w:p>
      <w:pPr>
        <w:spacing w:after="0" w:line="66"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6"/>
          <w:szCs w:val="16"/>
          <w:u w:val="single" w:color="auto"/>
          <w:color w:val="auto"/>
        </w:rPr>
        <w:t>Section 3.</w:t>
      </w:r>
    </w:p>
    <w:p>
      <w:pPr>
        <w:spacing w:after="0" w:line="49" w:lineRule="exact"/>
        <w:rPr>
          <w:rFonts w:ascii="Times New Roman" w:cs="Times New Roman" w:eastAsia="Times New Roman" w:hAnsi="Times New Roman"/>
          <w:sz w:val="16"/>
          <w:szCs w:val="16"/>
          <w:color w:val="auto"/>
        </w:rPr>
      </w:pPr>
    </w:p>
    <w:p>
      <w:pPr>
        <w:ind w:right="20" w:firstLine="867"/>
        <w:spacing w:after="0" w:line="256" w:lineRule="auto"/>
        <w:tabs>
          <w:tab w:leader="none" w:pos="1083"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right="160" w:firstLine="385"/>
        <w:spacing w:after="0" w:line="261" w:lineRule="auto"/>
        <w:tabs>
          <w:tab w:leader="none" w:pos="54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the beneficial owner of its Shares and not in the Stockholder’s capacity as a director or officer of the Company. Nothing herein shall limit or affect the Stockholder’s ability to act as an officer or director of the Company.</w:t>
      </w:r>
    </w:p>
    <w:p>
      <w:pPr>
        <w:spacing w:after="0" w:line="62" w:lineRule="exact"/>
        <w:rPr>
          <w:rFonts w:ascii="Times New Roman" w:cs="Times New Roman" w:eastAsia="Times New Roman" w:hAnsi="Times New Roman"/>
          <w:sz w:val="16"/>
          <w:szCs w:val="16"/>
          <w:color w:val="auto"/>
        </w:rPr>
      </w:pPr>
    </w:p>
    <w:p>
      <w:pPr>
        <w:ind w:firstLine="385"/>
        <w:spacing w:after="0" w:line="249" w:lineRule="auto"/>
        <w:tabs>
          <w:tab w:leader="none" w:pos="54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Irrevocable Proxy</w:t>
      </w:r>
      <w:r>
        <w:rPr>
          <w:rFonts w:ascii="Times New Roman" w:cs="Times New Roman" w:eastAsia="Times New Roman" w:hAnsi="Times New Roman"/>
          <w:sz w:val="16"/>
          <w:szCs w:val="16"/>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0"/>
          </w:cols>
          <w:pgMar w:left="1120" w:top="253" w:right="1139" w:bottom="1440" w:gutter="0" w:footer="0" w:header="0"/>
        </w:sectPr>
      </w:pPr>
    </w:p>
    <w:bookmarkStart w:id="201" w:name="page202"/>
    <w:bookmarkEnd w:id="201"/>
    <w:p>
      <w:pPr>
        <w:ind w:firstLine="385"/>
        <w:spacing w:after="0" w:line="251" w:lineRule="auto"/>
        <w:tabs>
          <w:tab w:leader="none" w:pos="54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Acquisition Inquiry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0" w:firstLine="385"/>
        <w:spacing w:after="0" w:line="268" w:lineRule="auto"/>
        <w:tabs>
          <w:tab w:leader="none" w:pos="543"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Exercise of Appraisal Rights; Waivers</w:t>
      </w:r>
      <w:r>
        <w:rPr>
          <w:rFonts w:ascii="Times New Roman" w:cs="Times New Roman" w:eastAsia="Times New Roman" w:hAnsi="Times New Roman"/>
          <w:sz w:val="15"/>
          <w:szCs w:val="15"/>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such Stockholder has (or may be alleged to have) to the Company or to the other Company stockholders; provided,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57" w:lineRule="exact"/>
        <w:rPr>
          <w:rFonts w:ascii="Times New Roman" w:cs="Times New Roman" w:eastAsia="Times New Roman" w:hAnsi="Times New Roman"/>
          <w:sz w:val="15"/>
          <w:szCs w:val="15"/>
          <w:color w:val="auto"/>
        </w:rPr>
      </w:pPr>
    </w:p>
    <w:p>
      <w:pPr>
        <w:ind w:left="540" w:hanging="155"/>
        <w:spacing w:after="0"/>
        <w:tabs>
          <w:tab w:leader="none" w:pos="54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owner of the shares of Company Capital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free and clear of any and all Encumbrances (except for any Encumbrance that may be imposed pursuant to this Agreement, the Voting Agreement, the Amended and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202" w:name="page203"/>
    <w:bookmarkEnd w:id="202"/>
    <w:p>
      <w:pPr>
        <w:ind w:right="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Restated Investors’ Rights Agreement of the Company, dated as of August 23, 2021 (the “</w:t>
      </w:r>
      <w:r>
        <w:rPr>
          <w:rFonts w:ascii="Times New Roman" w:cs="Times New Roman" w:eastAsia="Times New Roman" w:hAnsi="Times New Roman"/>
          <w:sz w:val="16"/>
          <w:szCs w:val="16"/>
          <w:u w:val="single" w:color="auto"/>
          <w:color w:val="auto"/>
        </w:rPr>
        <w:t>Investor’s Rights Agreement</w:t>
      </w:r>
      <w:r>
        <w:rPr>
          <w:rFonts w:ascii="Times New Roman" w:cs="Times New Roman" w:eastAsia="Times New Roman" w:hAnsi="Times New Roman"/>
          <w:sz w:val="16"/>
          <w:szCs w:val="16"/>
          <w:color w:val="auto"/>
        </w:rPr>
        <w:t xml:space="preserve">”), or any lock-up agreement entered into by and between the Stockholder, the Company and Gem); and (ii) the Stockholder does not beneficially own any securities of the Company other than the shares of Company Capital Stock and rights to purchase shares Company Capital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right="20" w:firstLine="867"/>
        <w:spacing w:after="0" w:line="251" w:lineRule="auto"/>
        <w:tabs>
          <w:tab w:leader="none" w:pos="109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56" w:lineRule="auto"/>
        <w:tabs>
          <w:tab w:leader="none" w:pos="109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8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203" w:name="page204"/>
    <w:bookmarkEnd w:id="203"/>
    <w:p>
      <w:pPr>
        <w:jc w:val="both"/>
        <w:ind w:right="60" w:firstLine="867"/>
        <w:spacing w:after="0" w:line="256" w:lineRule="auto"/>
        <w:tabs>
          <w:tab w:leader="none" w:pos="1065"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right="40" w:firstLine="385"/>
        <w:spacing w:after="0" w:line="252" w:lineRule="auto"/>
        <w:tabs>
          <w:tab w:leader="none" w:pos="622"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and shall cease to be of any further force or effect as of the earliest of (a) such date and time as the Merger Agreement shall have been terminated pursuant to the terms thereof as in effect on the date of this Agreement (and without giving effect to any amendments thereto unless consented to by the Stockholder), (b) the Effective Time and (c) the time this Agreement is terminated upon the written agreement of the Stockholder, the Company and Gem (the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70" w:lineRule="exact"/>
        <w:rPr>
          <w:rFonts w:ascii="Times New Roman" w:cs="Times New Roman" w:eastAsia="Times New Roman" w:hAnsi="Times New Roman"/>
          <w:sz w:val="16"/>
          <w:szCs w:val="16"/>
          <w:color w:val="auto"/>
        </w:rPr>
      </w:pPr>
    </w:p>
    <w:p>
      <w:pPr>
        <w:ind w:left="620" w:hanging="235"/>
        <w:spacing w:after="0"/>
        <w:tabs>
          <w:tab w:leader="none" w:pos="6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right="100" w:firstLine="867"/>
        <w:spacing w:after="0" w:line="276" w:lineRule="auto"/>
        <w:tabs>
          <w:tab w:leader="none" w:pos="1083"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right="320" w:firstLine="867"/>
        <w:spacing w:after="0" w:line="276" w:lineRule="auto"/>
        <w:tabs>
          <w:tab w:leader="none" w:pos="1092"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0"/>
          </w:cols>
          <w:pgMar w:left="1120" w:top="253" w:right="1139" w:bottom="1440" w:gutter="0" w:footer="0" w:header="0"/>
        </w:sectPr>
      </w:pPr>
    </w:p>
    <w:bookmarkStart w:id="204" w:name="page205"/>
    <w:bookmarkEnd w:id="204"/>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11(d),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11(j) OF THIS AGREEMENT AND (F) IRREVOCABLY WAIVES THE RIGHT TO TRIAL BY JURY.</w:t>
      </w:r>
    </w:p>
    <w:p>
      <w:pPr>
        <w:spacing w:after="0" w:line="72" w:lineRule="exact"/>
        <w:rPr>
          <w:sz w:val="20"/>
          <w:szCs w:val="20"/>
          <w:color w:val="auto"/>
        </w:rPr>
      </w:pPr>
    </w:p>
    <w:p>
      <w:pPr>
        <w:ind w:right="80" w:firstLine="867"/>
        <w:spacing w:after="0" w:line="254" w:lineRule="auto"/>
        <w:tabs>
          <w:tab w:leader="none" w:pos="1083"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right="300" w:firstLine="867"/>
        <w:spacing w:after="0" w:line="254" w:lineRule="auto"/>
        <w:tabs>
          <w:tab w:leader="none" w:pos="1065"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right="20" w:firstLine="867"/>
        <w:spacing w:after="0" w:line="250" w:lineRule="auto"/>
        <w:tabs>
          <w:tab w:leader="none" w:pos="109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0"/>
          </w:cols>
          <w:pgMar w:left="1120" w:top="253" w:right="1139" w:bottom="1440" w:gutter="0" w:footer="0" w:header="0"/>
        </w:sectPr>
      </w:pPr>
    </w:p>
    <w:bookmarkStart w:id="205" w:name="page206"/>
    <w:bookmarkEnd w:id="205"/>
    <w:p>
      <w:pPr>
        <w:ind w:left="-20" w:firstLine="867"/>
        <w:spacing w:after="0" w:line="256" w:lineRule="auto"/>
        <w:tabs>
          <w:tab w:leader="none" w:pos="103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03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to have been duly delivered and received hereunder (i) three Business Days after being sent by registered or certified mail, return receipt requested, postage prepaid, (ii) one Business Day after being sent for next Business Day delivery, fees prepaid, via a reputable overnight courier service, (iii) upon delivery, in the case of delivery by hand, or (iv) on the date delivered in the place of delivery if sent by electronic mail or facsimile (with written or electronic confirmation of delivery) prior to 6:00 p.m., New York City time, otherwise on the next succeeding Business Day, in each case to the intended recipient as follows: (A) if to the Company or Gem, to the address, electronic mail address or facsimile provided in the Merger Agreement, including to the persons designated therein to receive copies; and/or (B) if to the Stockholder, to the Stockholder’s address, electronic mail address or facsimile shown below Stockholder’s signature to this Agreement.</w:t>
      </w:r>
    </w:p>
    <w:p>
      <w:pPr>
        <w:spacing w:after="0" w:line="69" w:lineRule="exact"/>
        <w:rPr>
          <w:rFonts w:ascii="Times New Roman" w:cs="Times New Roman" w:eastAsia="Times New Roman" w:hAnsi="Times New Roman"/>
          <w:sz w:val="16"/>
          <w:szCs w:val="16"/>
          <w:color w:val="auto"/>
        </w:rPr>
      </w:pPr>
    </w:p>
    <w:p>
      <w:pPr>
        <w:ind w:left="-20" w:firstLine="867"/>
        <w:spacing w:after="0" w:line="254" w:lineRule="auto"/>
        <w:tabs>
          <w:tab w:leader="none" w:pos="107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right="120" w:firstLine="867"/>
        <w:spacing w:after="0" w:line="249" w:lineRule="auto"/>
        <w:tabs>
          <w:tab w:leader="none" w:pos="103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3.4 of the Investors’ Rights Agreement.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206" w:name="page207"/>
    <w:bookmarkEnd w:id="206"/>
    <w:p>
      <w:pPr>
        <w:ind w:left="-40" w:firstLine="867"/>
        <w:spacing w:after="0" w:line="251" w:lineRule="auto"/>
        <w:tabs>
          <w:tab w:leader="none" w:pos="109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560"/>
          </w:cols>
          <w:pgMar w:left="1160" w:top="253" w:right="1179" w:bottom="1440" w:gutter="0" w:footer="0" w:header="0"/>
        </w:sectPr>
      </w:pPr>
    </w:p>
    <w:bookmarkStart w:id="207" w:name="page208"/>
    <w:bookmarkEnd w:id="20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704850</wp:posOffset>
            </wp:positionV>
            <wp:extent cx="244792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9339"/>
          </w:cols>
          <w:pgMar w:left="1120" w:top="253" w:right="1440"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10.2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GEM STOCKHOLDER SUPPORT AGREEMENT</w:t>
      </w:r>
    </w:p>
    <w:p>
      <w:pPr>
        <w:spacing w:after="0" w:line="196" w:lineRule="exact"/>
        <w:rPr>
          <w:sz w:val="20"/>
          <w:szCs w:val="20"/>
          <w:color w:val="auto"/>
        </w:rPr>
      </w:pPr>
    </w:p>
    <w:p>
      <w:pPr>
        <w:ind w:left="1" w:right="80" w:firstLine="386"/>
        <w:spacing w:after="0" w:line="256" w:lineRule="auto"/>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Gemini Therapeutics, Inc.,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Gem. Capitalized terms used herein but not otherwise defined shall have the respective meanings ascribed to such terms in the Merger Agreement (as defined below).</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left="1" w:right="100"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Gemstone Merger Sub, Inc., a Delaware corporation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left="1" w:right="16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Gem Common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1" w:right="20"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the Company to enter into the Merger Agreement, the Company has required that Stockholder enter into this Agreement.</w:t>
      </w:r>
    </w:p>
    <w:p>
      <w:pPr>
        <w:spacing w:after="0" w:line="14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left="1" w:right="40" w:firstLine="385"/>
        <w:spacing w:after="0" w:line="276" w:lineRule="auto"/>
        <w:tabs>
          <w:tab w:leader="none" w:pos="545"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left="1" w:right="320" w:firstLine="867"/>
        <w:spacing w:after="0" w:line="256" w:lineRule="auto"/>
        <w:tabs>
          <w:tab w:leader="none" w:pos="1084" w:val="left"/>
        </w:tabs>
        <w:numPr>
          <w:ilvl w:val="2"/>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left="1101" w:hanging="233"/>
        <w:spacing w:after="0"/>
        <w:tabs>
          <w:tab w:leader="none" w:pos="1101" w:val="left"/>
        </w:tabs>
        <w:numPr>
          <w:ilvl w:val="2"/>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Gem Common Stock owned, beneficially or of record, by the Stockholder as of the date hereof, and</w:t>
      </w:r>
    </w:p>
    <w:p>
      <w:pPr>
        <w:spacing w:after="0" w:line="22" w:lineRule="exact"/>
        <w:rPr>
          <w:rFonts w:ascii="Times New Roman" w:cs="Times New Roman" w:eastAsia="Times New Roman" w:hAnsi="Times New Roman"/>
          <w:sz w:val="16"/>
          <w:szCs w:val="16"/>
          <w:color w:val="auto"/>
        </w:rPr>
      </w:pPr>
    </w:p>
    <w:p>
      <w:pPr>
        <w:ind w:left="1" w:right="620" w:hanging="1"/>
        <w:spacing w:after="0" w:line="253" w:lineRule="auto"/>
        <w:tabs>
          <w:tab w:leader="none" w:pos="233"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additional shares of Gem Common Stock acquired by the Stockholder, beneficially or of record, during the period commencing with the execution and delivery of this Agreement and expiring on the Closing Date.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41"/>
          </w:cols>
          <w:pgMar w:left="1119" w:top="251" w:right="1139" w:bottom="1440" w:gutter="0" w:footer="0" w:header="0"/>
        </w:sectPr>
      </w:pPr>
    </w:p>
    <w:bookmarkStart w:id="210" w:name="page211"/>
    <w:bookmarkEnd w:id="210"/>
    <w:p>
      <w:pPr>
        <w:ind w:left="-40" w:firstLine="867"/>
        <w:spacing w:after="0" w:line="251" w:lineRule="auto"/>
        <w:tabs>
          <w:tab w:leader="none" w:pos="1043"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72"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51" w:lineRule="auto"/>
        <w:tabs>
          <w:tab w:leader="none" w:pos="1052"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this Agreement or otherwise permitted or required or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Gem Stockholder Matters.</w:t>
      </w:r>
    </w:p>
    <w:p>
      <w:pPr>
        <w:spacing w:after="0" w:line="69" w:lineRule="exact"/>
        <w:rPr>
          <w:rFonts w:ascii="Times New Roman" w:cs="Times New Roman" w:eastAsia="Times New Roman" w:hAnsi="Times New Roman"/>
          <w:sz w:val="16"/>
          <w:szCs w:val="16"/>
          <w:color w:val="auto"/>
        </w:rPr>
      </w:pPr>
    </w:p>
    <w:p>
      <w:pPr>
        <w:ind w:left="-40" w:firstLine="867"/>
        <w:spacing w:after="0" w:line="268" w:lineRule="auto"/>
        <w:tabs>
          <w:tab w:leader="none" w:pos="1043"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211" w:name="page212"/>
    <w:bookmarkEnd w:id="211"/>
    <w:p>
      <w:pPr>
        <w:ind w:left="541" w:hanging="155"/>
        <w:spacing w:after="0"/>
        <w:tabs>
          <w:tab w:leader="none" w:pos="541"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jc w:val="both"/>
        <w:ind w:left="1" w:right="100" w:firstLine="867"/>
        <w:spacing w:after="0" w:line="271" w:lineRule="auto"/>
        <w:tabs>
          <w:tab w:leader="none" w:pos="1084" w:val="left"/>
        </w:tabs>
        <w:numPr>
          <w:ilvl w:val="2"/>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the Expiration Date (as defined below), at any meeting of the stockholders of Gem, however called, and at every adjournment or postponement thereof, and on every action or approval by written consent of the stockholders of Gem, the Stockholder shall be present (in person or by proxy) and vote, or exercise its right to consent with respect to, all Shares held by the Stockholder (A) in favor of the Gem Stockholder Matters and</w:t>
      </w:r>
    </w:p>
    <w:p>
      <w:pPr>
        <w:ind w:left="241" w:hanging="241"/>
        <w:spacing w:after="0"/>
        <w:tabs>
          <w:tab w:leader="none" w:pos="241"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Acquisition Proposal.</w:t>
      </w:r>
    </w:p>
    <w:p>
      <w:pPr>
        <w:spacing w:after="0" w:line="82" w:lineRule="exact"/>
        <w:rPr>
          <w:rFonts w:ascii="Times New Roman" w:cs="Times New Roman" w:eastAsia="Times New Roman" w:hAnsi="Times New Roman"/>
          <w:sz w:val="16"/>
          <w:szCs w:val="16"/>
          <w:color w:val="auto"/>
        </w:rPr>
      </w:pPr>
    </w:p>
    <w:p>
      <w:pPr>
        <w:ind w:left="1" w:right="100" w:firstLine="867"/>
        <w:spacing w:after="0" w:line="310" w:lineRule="auto"/>
        <w:tabs>
          <w:tab w:leader="none" w:pos="1093" w:val="left"/>
        </w:tabs>
        <w:numPr>
          <w:ilvl w:val="2"/>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5"/>
          <w:szCs w:val="15"/>
          <w:u w:val="single" w:color="auto"/>
          <w:color w:val="auto"/>
        </w:rPr>
        <w:t>Section 3.</w:t>
      </w:r>
    </w:p>
    <w:p>
      <w:pPr>
        <w:spacing w:after="0" w:line="27" w:lineRule="exact"/>
        <w:rPr>
          <w:rFonts w:ascii="Times New Roman" w:cs="Times New Roman" w:eastAsia="Times New Roman" w:hAnsi="Times New Roman"/>
          <w:sz w:val="15"/>
          <w:szCs w:val="15"/>
          <w:color w:val="auto"/>
        </w:rPr>
      </w:pPr>
    </w:p>
    <w:p>
      <w:pPr>
        <w:ind w:left="1" w:right="60" w:firstLine="867"/>
        <w:spacing w:after="0" w:line="256" w:lineRule="auto"/>
        <w:tabs>
          <w:tab w:leader="none" w:pos="1084" w:val="left"/>
        </w:tabs>
        <w:numPr>
          <w:ilvl w:val="2"/>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Gem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left="1" w:right="180" w:firstLine="385"/>
        <w:spacing w:after="0" w:line="261" w:lineRule="auto"/>
        <w:tabs>
          <w:tab w:leader="none" w:pos="545"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a record holder and beneficial owner, as applicable, of its Shares and not in the Stockholder’s capacity as a director or officer of Gem. Nothing herein shall limit or affect the Stockholder’s ability to act as an officer or director of Gem.</w:t>
      </w:r>
    </w:p>
    <w:p>
      <w:pPr>
        <w:spacing w:after="0" w:line="62" w:lineRule="exact"/>
        <w:rPr>
          <w:rFonts w:ascii="Times New Roman" w:cs="Times New Roman" w:eastAsia="Times New Roman" w:hAnsi="Times New Roman"/>
          <w:sz w:val="16"/>
          <w:szCs w:val="16"/>
          <w:color w:val="auto"/>
        </w:rPr>
      </w:pPr>
    </w:p>
    <w:p>
      <w:pPr>
        <w:ind w:left="1" w:firstLine="385"/>
        <w:spacing w:after="0" w:line="268" w:lineRule="auto"/>
        <w:tabs>
          <w:tab w:leader="none" w:pos="545" w:val="left"/>
        </w:tabs>
        <w:numPr>
          <w:ilvl w:val="1"/>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Irrevocable Proxy</w:t>
      </w:r>
      <w:r>
        <w:rPr>
          <w:rFonts w:ascii="Times New Roman" w:cs="Times New Roman" w:eastAsia="Times New Roman" w:hAnsi="Times New Roman"/>
          <w:sz w:val="15"/>
          <w:szCs w:val="15"/>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at any applicable meeting of the stockholders of Gem or pursuant to any applicable written consent of the stockholders of Gem,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Gem stockholders or at any meeting of the Gem stockholders called with respect to any of the matters specified in, and in accordance and consistent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of this Agreement. Gem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1"/>
          </w:cols>
          <w:pgMar w:left="1119" w:top="253" w:right="1139" w:bottom="1440" w:gutter="0" w:footer="0" w:header="0"/>
        </w:sectPr>
      </w:pPr>
    </w:p>
    <w:bookmarkStart w:id="212" w:name="page213"/>
    <w:bookmarkEnd w:id="212"/>
    <w:p>
      <w:pPr>
        <w:ind w:firstLine="385"/>
        <w:spacing w:after="0" w:line="251" w:lineRule="auto"/>
        <w:tabs>
          <w:tab w:leader="none" w:pos="54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firstLine="385"/>
        <w:spacing w:after="0" w:line="250" w:lineRule="auto"/>
        <w:tabs>
          <w:tab w:leader="none" w:pos="54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Exercise of Appraisal Rights; Waivers</w:t>
      </w:r>
      <w:r>
        <w:rPr>
          <w:rFonts w:ascii="Times New Roman" w:cs="Times New Roman" w:eastAsia="Times New Roman" w:hAnsi="Times New Roman"/>
          <w:sz w:val="16"/>
          <w:szCs w:val="16"/>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Gem Board, breaches any fiduciary duty of the Gem Board or any member thereof; provided, that the Stockholder may defend against, contest or settle any such action, claim, suit or cause of action brought against the Stockholder that relates solely to the Stockholder’s capacity as a director, officer or securityholder of Gem.</w:t>
      </w:r>
    </w:p>
    <w:p>
      <w:pPr>
        <w:spacing w:after="0" w:line="72" w:lineRule="exact"/>
        <w:rPr>
          <w:rFonts w:ascii="Times New Roman" w:cs="Times New Roman" w:eastAsia="Times New Roman" w:hAnsi="Times New Roman"/>
          <w:sz w:val="16"/>
          <w:szCs w:val="16"/>
          <w:color w:val="auto"/>
        </w:rPr>
      </w:pPr>
    </w:p>
    <w:p>
      <w:pPr>
        <w:ind w:left="540" w:hanging="155"/>
        <w:spacing w:after="0"/>
        <w:tabs>
          <w:tab w:leader="none" w:pos="54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or record owner of the shares of Gem Common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free and clear of any and all Liens; and (ii) the Stockholder does not beneficially own any securities of Gem other than the shares of Gem Common Stock and rights to purchase shares Gem Common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213" w:name="page214"/>
    <w:bookmarkEnd w:id="213"/>
    <w:p>
      <w:pPr>
        <w:ind w:firstLine="867"/>
        <w:spacing w:after="0" w:line="251" w:lineRule="auto"/>
        <w:tabs>
          <w:tab w:leader="none" w:pos="109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61" w:lineRule="auto"/>
        <w:tabs>
          <w:tab w:leader="none" w:pos="109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the Stockholder’s legal counsel. The Stockholder understands and acknowledges that the Company is entering into the Merger Agreement in reliance upon the Stockholder’s execution, delivery and performance of this Agreement.</w:t>
      </w:r>
    </w:p>
    <w:p>
      <w:pPr>
        <w:spacing w:after="0" w:line="62"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65"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214" w:name="page215"/>
    <w:bookmarkEnd w:id="214"/>
    <w:p>
      <w:pPr>
        <w:jc w:val="both"/>
        <w:ind w:left="1" w:right="60" w:firstLine="867"/>
        <w:spacing w:after="0" w:line="256" w:lineRule="auto"/>
        <w:tabs>
          <w:tab w:leader="none" w:pos="1093" w:val="left"/>
        </w:tabs>
        <w:numPr>
          <w:ilvl w:val="2"/>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left="1" w:firstLine="385"/>
        <w:spacing w:after="0" w:line="275" w:lineRule="auto"/>
        <w:tabs>
          <w:tab w:leader="none" w:pos="623" w:val="left"/>
        </w:tabs>
        <w:numPr>
          <w:ilvl w:val="1"/>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that</w:t>
      </w:r>
    </w:p>
    <w:p>
      <w:pPr>
        <w:ind w:left="1" w:right="340" w:hanging="1"/>
        <w:spacing w:after="0" w:line="253" w:lineRule="auto"/>
        <w:tabs>
          <w:tab w:leader="none" w:pos="189"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67" w:lineRule="exact"/>
        <w:rPr>
          <w:rFonts w:ascii="Times New Roman" w:cs="Times New Roman" w:eastAsia="Times New Roman" w:hAnsi="Times New Roman"/>
          <w:sz w:val="16"/>
          <w:szCs w:val="16"/>
          <w:color w:val="auto"/>
        </w:rPr>
      </w:pPr>
    </w:p>
    <w:p>
      <w:pPr>
        <w:ind w:left="621" w:hanging="235"/>
        <w:spacing w:after="0"/>
        <w:tabs>
          <w:tab w:leader="none" w:pos="621"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1" w:right="100" w:firstLine="867"/>
        <w:spacing w:after="0" w:line="276" w:lineRule="auto"/>
        <w:tabs>
          <w:tab w:leader="none" w:pos="1084"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left="1" w:right="320" w:firstLine="867"/>
        <w:spacing w:after="0" w:line="276" w:lineRule="auto"/>
        <w:tabs>
          <w:tab w:leader="none" w:pos="1093"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left="1" w:right="80" w:firstLine="867"/>
        <w:spacing w:after="0" w:line="256" w:lineRule="auto"/>
        <w:tabs>
          <w:tab w:leader="none" w:pos="1084"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left="1" w:firstLine="867"/>
        <w:spacing w:after="0" w:line="250" w:lineRule="auto"/>
        <w:tabs>
          <w:tab w:leader="none" w:pos="1093"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xml:space="preserve">. Each of the parties to this Agreement (i)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party with respect thereto. Any party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6"/>
          <w:szCs w:val="16"/>
          <w:u w:val="single" w:color="auto"/>
          <w:color w:val="auto"/>
        </w:rPr>
        <w:t>Section 11(j)</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11(d)</w:t>
      </w:r>
      <w:r>
        <w:rPr>
          <w:rFonts w:ascii="Times New Roman" w:cs="Times New Roman" w:eastAsia="Times New Roman" w:hAnsi="Times New Roman"/>
          <w:sz w:val="16"/>
          <w:szCs w:val="16"/>
          <w:color w:val="auto"/>
        </w:rPr>
        <w:t>, however, shall affect the right of any party to serve legal process in any other manner permitted by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1"/>
          </w:cols>
          <w:pgMar w:left="1119" w:top="253" w:right="1139" w:bottom="1440" w:gutter="0" w:footer="0" w:header="0"/>
        </w:sectPr>
      </w:pPr>
    </w:p>
    <w:bookmarkStart w:id="215" w:name="page216"/>
    <w:bookmarkEnd w:id="215"/>
    <w:p>
      <w:pPr>
        <w:ind w:left="1" w:right="80" w:firstLine="867"/>
        <w:spacing w:after="0" w:line="254" w:lineRule="auto"/>
        <w:tabs>
          <w:tab w:leader="none" w:pos="1084"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left="1" w:right="300" w:firstLine="867"/>
        <w:spacing w:after="0" w:line="254" w:lineRule="auto"/>
        <w:tabs>
          <w:tab w:leader="none" w:pos="1067"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left="1" w:firstLine="867"/>
        <w:spacing w:after="0" w:line="276" w:lineRule="auto"/>
        <w:tabs>
          <w:tab w:leader="none" w:pos="1093"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left="1" w:right="20" w:firstLine="867"/>
        <w:spacing w:after="0" w:line="250" w:lineRule="auto"/>
        <w:tabs>
          <w:tab w:leader="none" w:pos="1093"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72" w:lineRule="exact"/>
        <w:rPr>
          <w:rFonts w:ascii="Times New Roman" w:cs="Times New Roman" w:eastAsia="Times New Roman" w:hAnsi="Times New Roman"/>
          <w:sz w:val="16"/>
          <w:szCs w:val="16"/>
          <w:color w:val="auto"/>
        </w:rPr>
      </w:pPr>
    </w:p>
    <w:p>
      <w:pPr>
        <w:ind w:left="1" w:right="20" w:firstLine="867"/>
        <w:spacing w:after="0" w:line="256" w:lineRule="auto"/>
        <w:tabs>
          <w:tab w:leader="none" w:pos="1058"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1" w:firstLine="867"/>
        <w:spacing w:after="0" w:line="269" w:lineRule="auto"/>
        <w:tabs>
          <w:tab w:leader="none" w:pos="1058"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hereunder shall be in writing and shall be deemed duly delivered (i) three Business Days after being sent by registered or certified mail, return receipt requested, postage prepaid, or (ii) one Business Day after being sent for next Business Day delivery, fees prepaid, via a reputable overnight courier service, in each case to the intended recipient as follows: (A) if to the Company or Gem, to the address, electronic mail address or facsimile provided in the Merger Agreement, including to the persons designated therein to receive copies; and/or</w:t>
      </w:r>
    </w:p>
    <w:p>
      <w:pPr>
        <w:ind w:left="241" w:hanging="241"/>
        <w:spacing w:after="0"/>
        <w:tabs>
          <w:tab w:leader="none" w:pos="241"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Stockholder, to the Stockholder’s address, electronic mail address or facsimile shown below Stockholder’s signature 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1"/>
          </w:cols>
          <w:pgMar w:left="1119" w:top="253" w:right="1139" w:bottom="1440" w:gutter="0" w:footer="0" w:header="0"/>
        </w:sectPr>
      </w:pPr>
    </w:p>
    <w:bookmarkStart w:id="216" w:name="page217"/>
    <w:bookmarkEnd w:id="216"/>
    <w:p>
      <w:pPr>
        <w:ind w:left="-20" w:firstLine="867"/>
        <w:spacing w:after="0" w:line="254" w:lineRule="auto"/>
        <w:tabs>
          <w:tab w:leader="none" w:pos="107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firstLine="867"/>
        <w:spacing w:after="0" w:line="250" w:lineRule="auto"/>
        <w:tabs>
          <w:tab w:leader="none" w:pos="1037"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Gem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Gem,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115"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217" w:name="page218"/>
    <w:bookmarkEnd w:id="21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764540</wp:posOffset>
            </wp:positionV>
            <wp:extent cx="244792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339"/>
          </w:cols>
          <w:pgMar w:left="1120" w:top="253" w:right="144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10.3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297 Boston Post Road #248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Wayland, MA 01778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0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The undersigned signatory of this lock-up agreement (this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understands that Gemini Therapeutics, Inc.,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has entered into an Agreement and Plan of Merger and Reorganization, dated as of [•], 2022 (as the same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Gemstone Merger Sub, Inc., a Delaware corporation and a wholly owned subsidiary of Gem, and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otherwise defined herein shall have the respective meanings ascribed to such terms in the Merger Agreement.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As a condition and inducement to Gem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Gem, the undersigned will not, during the period commencing upon the Closing and ending on the date that is 180 days after the Closing Date (the “</w:t>
      </w:r>
      <w:r>
        <w:rPr>
          <w:rFonts w:ascii="Times New Roman" w:cs="Times New Roman" w:eastAsia="Times New Roman" w:hAnsi="Times New Roman"/>
          <w:sz w:val="16"/>
          <w:szCs w:val="16"/>
          <w:u w:val="single" w:color="auto"/>
          <w:color w:val="auto"/>
        </w:rPr>
        <w:t>Restricted Period</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385"/>
        <w:spacing w:after="0" w:line="252" w:lineRule="auto"/>
        <w:tabs>
          <w:tab w:leader="none" w:pos="60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Gem Common Stock or any securities convertible into or exercisable or exchangeable for shares of Gem Common Stock (including without limitation, shares of Gem Common Stock or such other securities which may be deemed to be beneficially owned by the undersigned in accordance with the rules and regulations of the SEC and securities of Gem which may be issued upon exercise of an option to purchase shares of Gem Common Stock or a warrant to purchase shares of Gem Common Stock) that are currently or hereafter owned by the undersigned, except as set forth below (collectively, the “</w:t>
      </w:r>
      <w:r>
        <w:rPr>
          <w:rFonts w:ascii="Times New Roman" w:cs="Times New Roman" w:eastAsia="Times New Roman" w:hAnsi="Times New Roman"/>
          <w:sz w:val="16"/>
          <w:szCs w:val="16"/>
          <w:u w:val="single" w:color="auto"/>
          <w:color w:val="auto"/>
        </w:rPr>
        <w:t>Undersigned’s Shares</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40" w:firstLine="385"/>
        <w:spacing w:after="0" w:line="261" w:lineRule="auto"/>
        <w:tabs>
          <w:tab w:leader="none" w:pos="60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Gem Common Stock or other securities, in cash or otherwise;</w:t>
      </w:r>
    </w:p>
    <w:p>
      <w:pPr>
        <w:spacing w:after="0" w:line="156" w:lineRule="exact"/>
        <w:rPr>
          <w:rFonts w:ascii="Times New Roman" w:cs="Times New Roman" w:eastAsia="Times New Roman" w:hAnsi="Times New Roman"/>
          <w:sz w:val="16"/>
          <w:szCs w:val="16"/>
          <w:color w:val="auto"/>
        </w:rPr>
      </w:pPr>
    </w:p>
    <w:p>
      <w:pPr>
        <w:ind w:right="160" w:firstLine="385"/>
        <w:spacing w:after="0" w:line="276" w:lineRule="auto"/>
        <w:tabs>
          <w:tab w:leader="none" w:pos="60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demand for, or exercise any right with respect to, the registration of any shares of Gem Common Stock or any security convertible into or exercisable or exchangeable for shares of Gem Common Stock (other than such rights set forth in the Merger Agreement); or</w:t>
      </w:r>
    </w:p>
    <w:p>
      <w:pPr>
        <w:spacing w:after="0" w:line="144"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disclose the intention to do any of the foregoing.</w:t>
      </w:r>
    </w:p>
    <w:p>
      <w:pPr>
        <w:sectPr>
          <w:pgSz w:w="11900" w:h="16838" w:orient="portrait"/>
          <w:cols w:equalWidth="0" w:num="1">
            <w:col w:w="9640"/>
          </w:cols>
          <w:pgMar w:left="1120" w:top="251" w:right="11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restrictions and obligations contemplated by this Lock-Up Agreement shall not apply to:</w:t>
      </w:r>
    </w:p>
    <w:p>
      <w:pPr>
        <w:spacing w:after="0" w:line="194" w:lineRule="exact"/>
        <w:rPr>
          <w:sz w:val="20"/>
          <w:szCs w:val="20"/>
          <w:color w:val="auto"/>
        </w:rPr>
      </w:pPr>
    </w:p>
    <w:p>
      <w:pPr>
        <w:ind w:left="600" w:hanging="215"/>
        <w:spacing w:after="0"/>
        <w:tabs>
          <w:tab w:leader="none" w:pos="6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the Undersigned’s Shares:</w:t>
      </w:r>
    </w:p>
    <w:p>
      <w:pPr>
        <w:spacing w:after="0" w:line="194" w:lineRule="exact"/>
        <w:rPr>
          <w:rFonts w:ascii="Times New Roman" w:cs="Times New Roman" w:eastAsia="Times New Roman" w:hAnsi="Times New Roman"/>
          <w:sz w:val="16"/>
          <w:szCs w:val="16"/>
          <w:color w:val="auto"/>
        </w:rPr>
      </w:pPr>
    </w:p>
    <w:p>
      <w:pPr>
        <w:ind w:firstLine="867"/>
        <w:spacing w:after="0" w:line="252" w:lineRule="auto"/>
        <w:tabs>
          <w:tab w:leader="none" w:pos="1092"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 any person related to the undersigned (or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65" w:lineRule="exact"/>
        <w:rPr>
          <w:rFonts w:ascii="Times New Roman" w:cs="Times New Roman" w:eastAsia="Times New Roman" w:hAnsi="Times New Roman"/>
          <w:sz w:val="16"/>
          <w:szCs w:val="16"/>
          <w:color w:val="auto"/>
        </w:rPr>
      </w:pPr>
    </w:p>
    <w:p>
      <w:pPr>
        <w:ind w:right="40" w:firstLine="867"/>
        <w:spacing w:after="0" w:line="251" w:lineRule="auto"/>
        <w:tabs>
          <w:tab w:leader="none" w:pos="1092"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corporation, partnership, limited liability company or other entity</w:t>
      </w:r>
      <w:r>
        <w:rPr>
          <w:rFonts w:ascii="Times New Roman" w:cs="Times New Roman" w:eastAsia="Times New Roman" w:hAnsi="Times New Roman"/>
          <w:sz w:val="16"/>
          <w:szCs w:val="16"/>
          <w:color w:val="auto"/>
        </w:rPr>
        <w:t>,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163"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trust</w:t>
      </w:r>
      <w:r>
        <w:rPr>
          <w:rFonts w:ascii="Times New Roman" w:cs="Times New Roman" w:eastAsia="Times New Roman" w:hAnsi="Times New Roman"/>
          <w:sz w:val="16"/>
          <w:szCs w:val="16"/>
          <w:color w:val="auto"/>
        </w:rPr>
        <w:t>, to any grantors or beneficiaries of the trust;</w:t>
      </w:r>
    </w:p>
    <w:p>
      <w:pPr>
        <w:spacing w:after="0" w:line="194"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case of any transfer or distribution pursuant to this clause (a), such transfer is not for value (other than transfers pursuant to 1(A), 1(E) or 2(A)) and each donee, heir, beneficiary or other transferee or distributee shall sign and deliver to Gem a lock-up agreement in the form of this Lock-Up Agreement with respect to the shares of Gem Common Stock or such other securities that have been so transferred or distributed;</w:t>
      </w:r>
    </w:p>
    <w:p>
      <w:pPr>
        <w:spacing w:after="0" w:line="140" w:lineRule="exact"/>
        <w:rPr>
          <w:sz w:val="20"/>
          <w:szCs w:val="20"/>
          <w:color w:val="auto"/>
        </w:rPr>
      </w:pPr>
    </w:p>
    <w:p>
      <w:pPr>
        <w:ind w:right="60" w:firstLine="385"/>
        <w:spacing w:after="0" w:line="254" w:lineRule="auto"/>
        <w:tabs>
          <w:tab w:leader="none" w:pos="60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exercise of an option to purchase shares of Gem Common Stock (including a net or cashless exercise of an option to purchase shares of Gem Common Stock ), and any related transfer of shares of Gem Common Stock to Gem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pacing w:after="0" w:line="161" w:lineRule="exact"/>
        <w:rPr>
          <w:rFonts w:ascii="Times New Roman" w:cs="Times New Roman" w:eastAsia="Times New Roman" w:hAnsi="Times New Roman"/>
          <w:sz w:val="16"/>
          <w:szCs w:val="16"/>
          <w:color w:val="auto"/>
        </w:rPr>
      </w:pPr>
    </w:p>
    <w:p>
      <w:pPr>
        <w:ind w:right="20" w:firstLine="385"/>
        <w:spacing w:after="0" w:line="261" w:lineRule="auto"/>
        <w:tabs>
          <w:tab w:leader="none" w:pos="6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transfers to Gem in connection with the net settlement of any other equity award that represents the right to receive in the future shares of Gem Common Stock, settled in shares of Gem Common Stock, to pay any tax withholding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ectPr>
          <w:pgSz w:w="11900" w:h="16838" w:orient="portrait"/>
          <w:cols w:equalWidth="0" w:num="1">
            <w:col w:w="9640"/>
          </w:cols>
          <w:pgMar w:left="1120" w:top="253" w:right="1139" w:bottom="1440" w:gutter="0" w:footer="0" w:header="0"/>
        </w:sectPr>
      </w:pPr>
    </w:p>
    <w:bookmarkStart w:id="221" w:name="page222"/>
    <w:bookmarkEnd w:id="221"/>
    <w:p>
      <w:pPr>
        <w:ind w:right="520" w:firstLine="385"/>
        <w:spacing w:after="0" w:line="276" w:lineRule="auto"/>
        <w:tabs>
          <w:tab w:leader="none" w:pos="609"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the establishment of a trading plan pursuant to Rule 10b5-1 under the Exchange Act for the transfer of shares of Gem Common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plan does not provide for any transfers of shares of Gem Common Stock during the Restricted Period;</w:t>
      </w:r>
    </w:p>
    <w:p>
      <w:pPr>
        <w:spacing w:after="0" w:line="144" w:lineRule="exact"/>
        <w:rPr>
          <w:rFonts w:ascii="Times New Roman" w:cs="Times New Roman" w:eastAsia="Times New Roman" w:hAnsi="Times New Roman"/>
          <w:sz w:val="16"/>
          <w:szCs w:val="16"/>
          <w:color w:val="auto"/>
        </w:rPr>
      </w:pPr>
    </w:p>
    <w:p>
      <w:pPr>
        <w:ind w:right="280" w:firstLine="385"/>
        <w:spacing w:after="0" w:line="276" w:lineRule="auto"/>
        <w:tabs>
          <w:tab w:leader="none" w:pos="60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purchased by the undersigned on the open market or in a public offering by Gem, in each case following the date of the Merger Agreement;</w:t>
      </w:r>
    </w:p>
    <w:p>
      <w:pPr>
        <w:spacing w:after="0" w:line="144" w:lineRule="exact"/>
        <w:rPr>
          <w:rFonts w:ascii="Times New Roman" w:cs="Times New Roman" w:eastAsia="Times New Roman" w:hAnsi="Times New Roman"/>
          <w:sz w:val="16"/>
          <w:szCs w:val="16"/>
          <w:color w:val="auto"/>
        </w:rPr>
      </w:pPr>
    </w:p>
    <w:p>
      <w:pPr>
        <w:ind w:firstLine="385"/>
        <w:spacing w:after="0" w:line="261" w:lineRule="auto"/>
        <w:tabs>
          <w:tab w:leader="none" w:pos="583"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a bona-fide third party tender offer, merger, consolidation or other similar transaction made to all holders of Gem’s capital stock involving a change of control of Gem,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156"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order of a court or regulatory agency; or</w:t>
      </w:r>
    </w:p>
    <w:p>
      <w:pPr>
        <w:spacing w:after="0" w:line="194" w:lineRule="exact"/>
        <w:rPr>
          <w:rFonts w:ascii="Times New Roman" w:cs="Times New Roman" w:eastAsia="Times New Roman" w:hAnsi="Times New Roman"/>
          <w:sz w:val="16"/>
          <w:szCs w:val="16"/>
          <w:color w:val="auto"/>
        </w:rPr>
      </w:pPr>
    </w:p>
    <w:p>
      <w:pPr>
        <w:ind w:right="80" w:firstLine="385"/>
        <w:spacing w:after="0" w:line="276" w:lineRule="auto"/>
        <w:tabs>
          <w:tab w:leader="none" w:pos="609"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issued pursuant to the Merger Agreement in respect of shares of the Company, if any, purchased from the Company on or about the Closing Date but prior to the Closing.</w:t>
      </w:r>
    </w:p>
    <w:p>
      <w:pPr>
        <w:spacing w:after="0" w:line="14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Gem Common Stock or any securities convertible into or exercisable or exchangeable for Gem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Gem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For purposes of this Lock-Up Agreement, “change of control” shall mean the transfer (whether by tender offer, merger, consolidation or other similar transaction), in one transaction or a series of related transactions, to a person or group of affiliated persons,, of the Company’s voting securities if, after such transfer, the Company’s stockholders as of immediately prior to such transfer do not hold a majority of the outstanding voting securities of the Company (or the surviving entity).</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Gem. In furtherance of the foregoing, the undersigned agrees that Gem and any duly appointed transfer agent for the registration or transfer of the securities described herein are</w:t>
      </w:r>
    </w:p>
    <w:p>
      <w:pPr>
        <w:sectPr>
          <w:pgSz w:w="11900" w:h="16838" w:orient="portrait"/>
          <w:cols w:equalWidth="0" w:num="1">
            <w:col w:w="9600"/>
          </w:cols>
          <w:pgMar w:left="1120" w:top="253" w:right="1179" w:bottom="1440" w:gutter="0" w:footer="0" w:header="0"/>
        </w:sectPr>
      </w:pPr>
    </w:p>
    <w:bookmarkStart w:id="222" w:name="page223"/>
    <w:bookmarkEnd w:id="222"/>
    <w:p>
      <w:pPr>
        <w:ind w:right="1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hereby authorized to decline to make any transfer of securities if such transfer would constitute a violation or breach of this Lock-Up Agreement. Gem may cause the legend set forth below, or a legend substantially equivalent thereto, to be placed upon any certificate(s) or other documents, ledgers or instruments evidencing the undersigned’s ownership of Gem Common Stock:</w:t>
      </w:r>
    </w:p>
    <w:p>
      <w:pPr>
        <w:spacing w:after="0" w:line="62" w:lineRule="exact"/>
        <w:rPr>
          <w:sz w:val="20"/>
          <w:szCs w:val="20"/>
          <w:color w:val="auto"/>
        </w:rPr>
      </w:pPr>
    </w:p>
    <w:p>
      <w:pPr>
        <w:ind w:left="860" w:right="540"/>
        <w:spacing w:after="0" w:line="261" w:lineRule="auto"/>
        <w:rPr>
          <w:sz w:val="20"/>
          <w:szCs w:val="20"/>
          <w:color w:val="auto"/>
        </w:rPr>
      </w:pPr>
      <w:r>
        <w:rPr>
          <w:rFonts w:ascii="Times New Roman" w:cs="Times New Roman" w:eastAsia="Times New Roman" w:hAnsi="Times New Roman"/>
          <w:sz w:val="16"/>
          <w:szCs w:val="16"/>
          <w:color w:val="auto"/>
        </w:rPr>
        <w:t>THE SHARES REPRESENTED BY THIS CERTIFICATE ARE SUBJECT TO AND MAY ONLY BE TRANSFERRED IN COMPLIANCE WITH A LOCK-UP AGREEMENT, A COPY OF WHICH IS ON FILE AT THE PRINCIPAL OFFICE OF THE COMPANY.</w:t>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undersigned understands that if the Merger Agreement is terminated for any reason, the undersigned shall be released from all obligations under this Lock-Up Agreement. The undersigned understands that Gem is proceeding with the transactions contemplated by the Merger Agreement in reliance upon this Lock-Up Agreement.</w:t>
      </w:r>
    </w:p>
    <w:p>
      <w:pPr>
        <w:spacing w:after="0" w:line="15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Any and all remedies herein expressly conferred upon Gem will be deemed cumulative with and not exclusive of any other remedy conferred hereby, or by Law or equity, and the exercise by Gem of any one remedy will not preclude the exercise of any other remedy. The undersigned agrees that irreparable damage would occur to Gem in the event that any provision of this Lock-Up Agreement was not performed in accordance with its specific terms or were otherwise breached. It is accordingly agreed that Gem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Gem is entitled at Law or in equity, and the undersigned waives any bond, surety or other security that might be required of Gem with respect thereto.</w:t>
      </w:r>
    </w:p>
    <w:p>
      <w:pPr>
        <w:spacing w:after="0" w:line="16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In the event that any holder of Gem’s securities that are subject to a substantially similar agreement entered into by such holder, other than the undersigned, is permitted by Gem to sell or otherwise transfer or dispose of shares of Gem Common Stock for value other than as permitted by this or a substantially similar agreement entered into by such holder (whether in one or multiple releases or waivers), the same percentage of shares of Gem Common Stock held by the undersigned on the date of such release or waiver as the percentage of the total number of outstanding shares of Gem Common Stock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6"/>
          <w:szCs w:val="16"/>
          <w:u w:val="single" w:color="auto"/>
          <w:color w:val="auto"/>
        </w:rPr>
        <w:t>Pro-Rata Release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Pro-Rata Release shall not be applied unless and until permission has been granted by Gem to an equity holder or equity holders to sell or otherwise transfer or dispose of all or a portion of such equity holders shares of Gem Common Stock in an aggregate amount in excess of 1% of the number of shares of Gem Common Stock subject to a substantially similar agreement.</w:t>
      </w:r>
    </w:p>
    <w:p>
      <w:pPr>
        <w:sectPr>
          <w:pgSz w:w="11900" w:h="16838" w:orient="portrait"/>
          <w:cols w:equalWidth="0" w:num="1">
            <w:col w:w="9640"/>
          </w:cols>
          <w:pgMar w:left="1120" w:top="253" w:right="1139" w:bottom="1440" w:gutter="0" w:footer="0" w:header="0"/>
        </w:sectPr>
      </w:pPr>
    </w:p>
    <w:bookmarkStart w:id="223" w:name="page224"/>
    <w:bookmarkEnd w:id="223"/>
    <w:p>
      <w:pPr>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Upon the release of any of the Undersigned’s Shares from this Lock-Up Agreement, Gem will promptly cooperate with the undersigned to facilitate the timely preparation and delivery of certificates representing the Undersigned Shares without the restrictive legend above or the withdrawal of any stop transfer instructions by virtue of this Lock-Up Agreement.</w:t>
      </w:r>
    </w:p>
    <w:p>
      <w:pPr>
        <w:spacing w:after="0" w:line="1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Gem and the undersigned by facsimile or electronic transmission in .pdf format shall be sufficient to bind such parties to the terms and conditions of this Lock-Up Agreement.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580"/>
          </w:cols>
          <w:pgMar w:left="1120" w:top="253" w:right="1199" w:bottom="1440" w:gutter="0" w:footer="0" w:header="0"/>
        </w:sectPr>
      </w:pPr>
    </w:p>
    <w:bookmarkStart w:id="224" w:name="page225"/>
    <w:bookmarkEnd w:id="224"/>
    <w:p>
      <w:pPr>
        <w:ind w:left="6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Very truly yours,</w:t>
      </w:r>
    </w:p>
    <w:p>
      <w:pPr>
        <w:spacing w:after="0" w:line="1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6"/>
          <w:szCs w:val="16"/>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Signature (for entities):</w:t>
      </w:r>
    </w:p>
    <w:p>
      <w:pPr>
        <w:spacing w:after="0" w:line="19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13970</wp:posOffset>
            </wp:positionV>
            <wp:extent cx="154686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6860" cy="7620"/>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Lock-Up Agreement]</w:t>
      </w:r>
    </w:p>
    <w:p>
      <w:pPr>
        <w:sectPr>
          <w:pgSz w:w="11900" w:h="16838" w:orient="portrait"/>
          <w:cols w:equalWidth="0" w:num="1">
            <w:col w:w="9019"/>
          </w:cols>
          <w:pgMar w:left="1440" w:top="253"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Accepted and Agreed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Gemini Therapeutics,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13970</wp:posOffset>
            </wp:positionV>
            <wp:extent cx="224536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i w:val="1"/>
          <w:iCs w:val="1"/>
          <w:color w:val="auto"/>
        </w:rPr>
        <w:t>[Signature Page to Lock-Up Agreement]</w:t>
      </w:r>
    </w:p>
    <w:p>
      <w:pPr>
        <w:sectPr>
          <w:pgSz w:w="11900" w:h="16838" w:orient="portrait"/>
          <w:cols w:equalWidth="0" w:num="1">
            <w:col w:w="9339"/>
          </w:cols>
          <w:pgMar w:left="1120" w:top="253" w:right="1440"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10.4</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FORM OF CONTINGENT VALUE RIGHTS AGREEMENT</w:t>
      </w: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BETWEEN</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[______________]</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Dated as of [•]</w:t>
      </w:r>
    </w:p>
    <w:p>
      <w:pPr>
        <w:sectPr>
          <w:pgSz w:w="11900" w:h="16838" w:orient="portrait"/>
          <w:cols w:equalWidth="0" w:num="1">
            <w:col w:w="9320"/>
          </w:cols>
          <w:pgMar w:left="1440" w:top="251" w:right="1139" w:bottom="1440" w:gutter="0" w:footer="0" w:header="0"/>
        </w:sectPr>
      </w:pPr>
    </w:p>
    <w:bookmarkStart w:id="227" w:name="page228"/>
    <w:bookmarkEnd w:id="22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FORM OF</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94" w:lineRule="exact"/>
        <w:rPr>
          <w:sz w:val="20"/>
          <w:szCs w:val="20"/>
          <w:color w:val="auto"/>
        </w:rPr>
      </w:pPr>
    </w:p>
    <w:p>
      <w:pPr>
        <w:jc w:val="both"/>
        <w:ind w:right="780" w:firstLine="386"/>
        <w:spacing w:after="0" w:line="313" w:lineRule="auto"/>
        <w:rPr>
          <w:sz w:val="20"/>
          <w:szCs w:val="20"/>
          <w:color w:val="auto"/>
        </w:rPr>
      </w:pPr>
      <w:r>
        <w:rPr>
          <w:rFonts w:ascii="Times New Roman" w:cs="Times New Roman" w:eastAsia="Times New Roman" w:hAnsi="Times New Roman"/>
          <w:sz w:val="15"/>
          <w:szCs w:val="15"/>
          <w:b w:val="1"/>
          <w:bCs w:val="1"/>
          <w:color w:val="auto"/>
        </w:rPr>
        <w:t xml:space="preserve">THIS CONTINGENT VALUE RIGHTS AGREEMENT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 is entered into by and among Gemini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Therapeutics, Inc. a Delaware corporation (“</w:t>
      </w:r>
      <w:r>
        <w:rPr>
          <w:rFonts w:ascii="Times New Roman" w:cs="Times New Roman" w:eastAsia="Times New Roman" w:hAnsi="Times New Roman"/>
          <w:sz w:val="15"/>
          <w:szCs w:val="15"/>
          <w:u w:val="single" w:color="auto"/>
          <w:color w:val="auto"/>
        </w:rPr>
        <w:t>Gem</w:t>
      </w:r>
      <w:r>
        <w:rPr>
          <w:rFonts w:ascii="Times New Roman" w:cs="Times New Roman" w:eastAsia="Times New Roman" w:hAnsi="Times New Roman"/>
          <w:sz w:val="15"/>
          <w:szCs w:val="15"/>
          <w:color w:val="auto"/>
        </w:rPr>
        <w:t>”), [[___], as Holder’s Representative,] and [•], as initial Rights Agent (as defined herein).</w:t>
      </w: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PREAMBLE</w:t>
      </w:r>
    </w:p>
    <w:p>
      <w:pPr>
        <w:spacing w:after="0" w:line="196" w:lineRule="exact"/>
        <w:rPr>
          <w:sz w:val="20"/>
          <w:szCs w:val="20"/>
          <w:color w:val="auto"/>
        </w:rPr>
      </w:pPr>
    </w:p>
    <w:p>
      <w:pPr>
        <w:ind w:firstLine="386"/>
        <w:spacing w:after="0" w:line="256" w:lineRule="auto"/>
        <w:rPr>
          <w:sz w:val="20"/>
          <w:szCs w:val="20"/>
          <w:color w:val="auto"/>
        </w:rPr>
      </w:pPr>
      <w:r>
        <w:rPr>
          <w:rFonts w:ascii="Times New Roman" w:cs="Times New Roman" w:eastAsia="Times New Roman" w:hAnsi="Times New Roman"/>
          <w:sz w:val="16"/>
          <w:szCs w:val="16"/>
          <w:color w:val="auto"/>
        </w:rPr>
        <w:t>WHEREAS, Gem, Gemstone Merger Sub, Inc., a Delaware corporation and wholly-owned subsidiary of Gem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have entered into an Agreement and Plan of Merger and Reorganization, dated as of [•], 2022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wholly-owned subsidiary of Gem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t>WHEREAS, pursuant to the Merger Agreement, and in accordance with the terms and conditions thereof, Gem has agreed to provide to the Holders (as defined herein), who shall initially be Persons who are stockholders of Gem as of immediately prior to the Effective Time, contingent value rights as hereinafter described, by way of a dividend or distribution consistent with the Merger Agreement; and</w:t>
      </w:r>
    </w:p>
    <w:p>
      <w:pPr>
        <w:spacing w:after="0" w:line="157" w:lineRule="exact"/>
        <w:rPr>
          <w:sz w:val="20"/>
          <w:szCs w:val="20"/>
          <w:color w:val="auto"/>
        </w:rPr>
      </w:pPr>
    </w:p>
    <w:p>
      <w:pPr>
        <w:ind w:right="160" w:firstLine="386"/>
        <w:spacing w:after="0" w:line="276" w:lineRule="auto"/>
        <w:rPr>
          <w:sz w:val="20"/>
          <w:szCs w:val="20"/>
          <w:color w:val="auto"/>
        </w:rPr>
      </w:pPr>
      <w:r>
        <w:rPr>
          <w:rFonts w:ascii="Times New Roman" w:cs="Times New Roman" w:eastAsia="Times New Roman" w:hAnsi="Times New Roman"/>
          <w:sz w:val="16"/>
          <w:szCs w:val="16"/>
          <w:color w:val="auto"/>
        </w:rPr>
        <w:t>WHEREAS, the parties have done all things necessary to make the contingent value rights, when issued pursuant to the Merger Agreement and hereunder, the valid obligations of Gem and to make this Agreement a valid and binding agreement of Gem, in accordance with its terms.</w:t>
      </w:r>
    </w:p>
    <w:p>
      <w:pPr>
        <w:spacing w:after="0" w:line="145" w:lineRule="exact"/>
        <w:rPr>
          <w:sz w:val="20"/>
          <w:szCs w:val="20"/>
          <w:color w:val="auto"/>
        </w:rPr>
      </w:pPr>
    </w:p>
    <w:p>
      <w:pPr>
        <w:ind w:right="40" w:firstLine="386"/>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premises and the consummation of the transactions referred to above, it is mutually covenanted and agreed, for the proportionate benefit of all Holders, as follows:</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80" w:firstLine="386"/>
        <w:spacing w:after="0" w:line="276" w:lineRule="auto"/>
        <w:rPr>
          <w:sz w:val="20"/>
          <w:szCs w:val="20"/>
          <w:color w:val="auto"/>
        </w:rPr>
      </w:pPr>
      <w:r>
        <w:rPr>
          <w:rFonts w:ascii="Times New Roman" w:cs="Times New Roman" w:eastAsia="Times New Roman" w:hAnsi="Times New Roman"/>
          <w:sz w:val="16"/>
          <w:szCs w:val="16"/>
          <w:color w:val="auto"/>
        </w:rPr>
        <w:t>Capitalized terms used but not otherwise defined herein have the meanings ascribed thereto in the Merger Agreement. The following terms have the meanings ascribed to them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Acting Holders</w:t>
      </w:r>
      <w:r>
        <w:rPr>
          <w:rFonts w:ascii="Times New Roman" w:cs="Times New Roman" w:eastAsia="Times New Roman" w:hAnsi="Times New Roman"/>
          <w:sz w:val="16"/>
          <w:szCs w:val="16"/>
          <w:color w:val="auto"/>
        </w:rPr>
        <w:t>” means, at the time of determination, Holders of at least 25% of the outstanding CVRs as set forth on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w:t>
      </w:r>
    </w:p>
    <w:p>
      <w:pPr>
        <w:sectPr>
          <w:pgSz w:w="11900" w:h="16838" w:orient="portrait"/>
          <w:cols w:equalWidth="0" w:num="1">
            <w:col w:w="9580"/>
          </w:cols>
          <w:pgMar w:left="1120" w:top="251" w:right="1199" w:bottom="1440" w:gutter="0" w:footer="0" w:header="0"/>
        </w:sectPr>
      </w:pPr>
    </w:p>
    <w:bookmarkStart w:id="228" w:name="page229"/>
    <w:bookmarkEnd w:id="228"/>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Calendar Quarter</w:t>
      </w:r>
      <w:r>
        <w:rPr>
          <w:rFonts w:ascii="Times New Roman" w:cs="Times New Roman" w:eastAsia="Times New Roman" w:hAnsi="Times New Roman"/>
          <w:sz w:val="16"/>
          <w:szCs w:val="16"/>
          <w:color w:val="auto"/>
        </w:rPr>
        <w:t>” means the successive periods of three (3) consecutive calendar months ending on March 31, June 30, September 30 or December 31, for so long as this Agreement is in effect; provided, however that (a) the first Calendar Quarter shall commence on the date of this Agreement and shall end on the first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6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means a contingent contractual right of Holders to receive CVR Payments pursuant to the Merger Agreement and this Agreement.</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Payment</w:t>
      </w:r>
      <w:r>
        <w:rPr>
          <w:rFonts w:ascii="Times New Roman" w:cs="Times New Roman" w:eastAsia="Times New Roman" w:hAnsi="Times New Roman"/>
          <w:sz w:val="15"/>
          <w:szCs w:val="15"/>
          <w:color w:val="auto"/>
        </w:rPr>
        <w:t>” means a number of shares of Gem Common Stock equal to (i) the CVR Proceeds for an applicable Calendar Quarter, divided by</w:t>
      </w:r>
    </w:p>
    <w:p>
      <w:pPr>
        <w:spacing w:after="0" w:line="34" w:lineRule="exact"/>
        <w:rPr>
          <w:sz w:val="20"/>
          <w:szCs w:val="20"/>
          <w:color w:val="auto"/>
        </w:rPr>
      </w:pPr>
    </w:p>
    <w:p>
      <w:pPr>
        <w:ind w:left="1" w:right="120" w:hanging="1"/>
        <w:spacing w:after="0" w:line="253" w:lineRule="auto"/>
        <w:tabs>
          <w:tab w:leader="none" w:pos="233"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weighted average of their closing market prices for the five (5) trading days ending the day prior to the date of issuance pursuant to this Agreement.</w:t>
      </w:r>
    </w:p>
    <w:p>
      <w:pPr>
        <w:spacing w:after="0" w:line="16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Period</w:t>
      </w:r>
      <w:r>
        <w:rPr>
          <w:rFonts w:ascii="Times New Roman" w:cs="Times New Roman" w:eastAsia="Times New Roman" w:hAnsi="Times New Roman"/>
          <w:sz w:val="16"/>
          <w:szCs w:val="16"/>
          <w:color w:val="auto"/>
        </w:rPr>
        <w:t>” means the period beginning immediately following the Effective Time and ending on the tenth anniversary of the Closing Date.</w:t>
      </w:r>
    </w:p>
    <w:p>
      <w:pPr>
        <w:spacing w:after="0" w:line="194" w:lineRule="exact"/>
        <w:rPr>
          <w:sz w:val="20"/>
          <w:szCs w:val="20"/>
          <w:color w:val="auto"/>
        </w:rPr>
      </w:pPr>
    </w:p>
    <w:p>
      <w:pPr>
        <w:jc w:val="both"/>
        <w:ind w:left="1" w:right="2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Proceeds</w:t>
      </w:r>
      <w:r>
        <w:rPr>
          <w:rFonts w:ascii="Times New Roman" w:cs="Times New Roman" w:eastAsia="Times New Roman" w:hAnsi="Times New Roman"/>
          <w:sz w:val="16"/>
          <w:szCs w:val="16"/>
          <w:color w:val="auto"/>
        </w:rPr>
        <w:t>” means the amount of Gross Proceeds received by Gem during an applicable Calendar Quarter, less the applicable accrued and reasonably documented Permitted Deductions, in each case as calculated in accordance with GAAP using the policies, methodologies, processes and procedures used to prepare Gem’s most recent year-end financial statements prior to the commencement of such Calendar Quarter.</w:t>
      </w:r>
    </w:p>
    <w:p>
      <w:pPr>
        <w:spacing w:after="0" w:line="157"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the sale, license, transfer, disposition or other monetizing event of any Potentially Transferable Asset (including any such sale or disposition or monetizing event of equity securities in any Subsidiary established by Gem during the Disposition Period to hold any right, title or interest in or to any Potentially Transferable Asset), in each case during the Disposition Period.</w:t>
      </w:r>
    </w:p>
    <w:p>
      <w:pPr>
        <w:spacing w:after="0" w:line="157" w:lineRule="exact"/>
        <w:rPr>
          <w:sz w:val="20"/>
          <w:szCs w:val="20"/>
          <w:color w:val="auto"/>
        </w:rPr>
      </w:pPr>
    </w:p>
    <w:p>
      <w:pPr>
        <w:ind w:left="1" w:right="74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 Period</w:t>
      </w:r>
      <w:r>
        <w:rPr>
          <w:rFonts w:ascii="Times New Roman" w:cs="Times New Roman" w:eastAsia="Times New Roman" w:hAnsi="Times New Roman"/>
          <w:sz w:val="16"/>
          <w:szCs w:val="16"/>
          <w:color w:val="auto"/>
        </w:rPr>
        <w:t>” means the period beginning on the execution date of the Merger Agreement and ending on the date that is twelve-months after the Closing Date.</w:t>
      </w:r>
    </w:p>
    <w:p>
      <w:pPr>
        <w:spacing w:after="0" w:line="145" w:lineRule="exact"/>
        <w:rPr>
          <w:sz w:val="20"/>
          <w:szCs w:val="20"/>
          <w:color w:val="auto"/>
        </w:rPr>
      </w:pPr>
    </w:p>
    <w:p>
      <w:pPr>
        <w:ind w:left="1" w:right="2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Gross Proceeds</w:t>
      </w:r>
      <w:r>
        <w:rPr>
          <w:rFonts w:ascii="Times New Roman" w:cs="Times New Roman" w:eastAsia="Times New Roman" w:hAnsi="Times New Roman"/>
          <w:sz w:val="16"/>
          <w:szCs w:val="16"/>
          <w:color w:val="auto"/>
        </w:rPr>
        <w:t>” means, without duplication, any and all consideration of any kind that is paid to Gem, or is received by, Gem or any of its Affiliates during the CVR Period in respect of a Disposition.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date of payment to, or receipt by, Gem or its relevant Affiliate, and (B) the value of securities that have no established public market and the value of consideration that consists of other non-cash property, shall be the fair market value thereof as of the date of payment to, or receipt by, Gem or its relevant Affiliate.</w:t>
      </w:r>
    </w:p>
    <w:p>
      <w:pPr>
        <w:sectPr>
          <w:pgSz w:w="11900" w:h="16838" w:orient="portrait"/>
          <w:cols w:equalWidth="0" w:num="1">
            <w:col w:w="9641"/>
          </w:cols>
          <w:pgMar w:left="1119" w:top="253" w:right="1139" w:bottom="1440" w:gutter="0" w:footer="0" w:header="0"/>
        </w:sectPr>
      </w:pPr>
    </w:p>
    <w:bookmarkStart w:id="229" w:name="page230"/>
    <w:bookmarkEnd w:id="22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at the relevant time, a Person in whose name CVRs are registered in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of Holders</w:t>
      </w:r>
      <w:r>
        <w:rPr>
          <w:rFonts w:ascii="Times New Roman" w:cs="Times New Roman" w:eastAsia="Times New Roman" w:hAnsi="Times New Roman"/>
          <w:sz w:val="16"/>
          <w:szCs w:val="16"/>
          <w:color w:val="auto"/>
        </w:rPr>
        <w:t>” means, at any time, the registered Holder or Holders of more than 50% of the total number of CVRs registered at such time, as set forth on the CVR Register.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means a certificate signed by the chief executive officer and the chief financial officer of Gem, in their respective official capacities.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Deductions</w:t>
      </w:r>
      <w:r>
        <w:rPr>
          <w:rFonts w:ascii="Times New Roman" w:cs="Times New Roman" w:eastAsia="Times New Roman" w:hAnsi="Times New Roman"/>
          <w:sz w:val="16"/>
          <w:szCs w:val="16"/>
          <w:color w:val="auto"/>
        </w:rPr>
        <w:t>” means the following costs or expenses, without duplication:</w:t>
      </w:r>
    </w:p>
    <w:p>
      <w:pPr>
        <w:spacing w:after="0" w:line="100" w:lineRule="exact"/>
        <w:rPr>
          <w:sz w:val="20"/>
          <w:szCs w:val="20"/>
          <w:color w:val="auto"/>
        </w:rPr>
      </w:pPr>
    </w:p>
    <w:p>
      <w:pPr>
        <w:ind w:right="20" w:firstLine="867"/>
        <w:spacing w:after="0" w:line="250" w:lineRule="auto"/>
        <w:tabs>
          <w:tab w:leader="none" w:pos="108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Tax (including any unreimbursed applicable value added or sales taxes) imposed on Gross Proceeds and payable by Gem, the Company or any of their respective Affiliates (regardless of whether the due date for such Taxes arises during or after the Disposition Period) to any tax authority and, without duplication, any income or other similar Taxes payable by Gem, the Company or any of their respective Affiliates that would not have been incurred by Gem, the Company or any of their respective Affiliates but for the Gross Proceeds; provided that, for purposes of calculating income Taxes incurred by Gem, the Company or any of their respective Affiliates in respect of the Gross Proceeds, any such income Taxes shall be computed after taking into account any net operating loss carryforwards or other Tax attributes (including Tax credits) of Gem, the Company or any of their respective Affiliates as of the Closing Date that are available to offset such gain after taking into account any limits of the usability of such attributes, including under Section 382 of the Code (as defined herein) as reasonably determined by a nationally recognized tax advisor (and for the sake of clarity such income taxes shall be calculated without taking into account any net operating losses or other Tax attributes generated by Gem, the Company or any of their respective Affiliates after the Closing Date);</w:t>
      </w:r>
    </w:p>
    <w:p>
      <w:pPr>
        <w:spacing w:after="0" w:line="70"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by Gem or any of its Affiliates in respect of its performance of this Agreement following the Closing Date or in respect of its performance of any agreement in connection with any Potentially Transferable Asset, including any costs related to the prosecution, maintenance or enforcement by Gem or any of its Subsidiaries of the intellectual property rights of any such Potentially Transferable Asset (but excluding any costs related to a breach of this Agreement, including costs incurred in litigation in respect of the same);</w:t>
      </w:r>
    </w:p>
    <w:p>
      <w:pPr>
        <w:spacing w:after="0" w:line="67" w:lineRule="exact"/>
        <w:rPr>
          <w:rFonts w:ascii="Times New Roman" w:cs="Times New Roman" w:eastAsia="Times New Roman" w:hAnsi="Times New Roman"/>
          <w:sz w:val="16"/>
          <w:szCs w:val="16"/>
          <w:color w:val="auto"/>
        </w:rPr>
      </w:pPr>
    </w:p>
    <w:p>
      <w:pPr>
        <w:ind w:right="160" w:firstLine="867"/>
        <w:spacing w:after="0" w:line="256" w:lineRule="auto"/>
        <w:tabs>
          <w:tab w:leader="none" w:pos="108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or accrued by Gem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acting on behalf of Gem or its Affiliates in relation thereto;</w:t>
      </w:r>
    </w:p>
    <w:p>
      <w:pPr>
        <w:sectPr>
          <w:pgSz w:w="11900" w:h="16838" w:orient="portrait"/>
          <w:cols w:equalWidth="0" w:num="1">
            <w:col w:w="9640"/>
          </w:cols>
          <w:pgMar w:left="1120" w:top="253" w:right="1139" w:bottom="1440" w:gutter="0" w:footer="0" w:header="0"/>
        </w:sectPr>
      </w:pPr>
    </w:p>
    <w:bookmarkStart w:id="230" w:name="page231"/>
    <w:bookmarkEnd w:id="230"/>
    <w:p>
      <w:pPr>
        <w:ind w:right="40" w:firstLine="867"/>
        <w:spacing w:after="0" w:line="261" w:lineRule="auto"/>
        <w:tabs>
          <w:tab w:leader="none" w:pos="109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Losses incurred and paid by Gem or any of its Affiliates arising out of any third party claims, demands, actions or other proceedings relating to or in connection with any Disposition, including Losses actually incurred or paid (or reasonably expected to be actually incurred or paid) in connection with indemnification obligations of Gem or any of its Affiliates set forth in any Sale Agreement;</w:t>
      </w:r>
    </w:p>
    <w:p>
      <w:pPr>
        <w:spacing w:after="0" w:line="62" w:lineRule="exact"/>
        <w:rPr>
          <w:rFonts w:ascii="Times New Roman" w:cs="Times New Roman" w:eastAsia="Times New Roman" w:hAnsi="Times New Roman"/>
          <w:sz w:val="16"/>
          <w:szCs w:val="16"/>
          <w:color w:val="auto"/>
        </w:rPr>
      </w:pPr>
    </w:p>
    <w:p>
      <w:pPr>
        <w:ind w:right="220" w:firstLine="867"/>
        <w:spacing w:after="0" w:line="261" w:lineRule="auto"/>
        <w:tabs>
          <w:tab w:leader="none" w:pos="1083"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borne by Gem or any of its Affiliates pursuant to Contracts related to Potentially Transferable Assets, including costs arising from the termination thereof (in each case only to the extent not included in the calculation of Gem Net Cash (as defined in the Merger Agreement); and</w:t>
      </w:r>
    </w:p>
    <w:p>
      <w:pPr>
        <w:spacing w:after="0" w:line="62" w:lineRule="exact"/>
        <w:rPr>
          <w:rFonts w:ascii="Times New Roman" w:cs="Times New Roman" w:eastAsia="Times New Roman" w:hAnsi="Times New Roman"/>
          <w:sz w:val="16"/>
          <w:szCs w:val="16"/>
          <w:color w:val="auto"/>
        </w:rPr>
      </w:pPr>
    </w:p>
    <w:p>
      <w:pPr>
        <w:ind w:firstLine="867"/>
        <w:spacing w:after="0" w:line="254" w:lineRule="auto"/>
        <w:tabs>
          <w:tab w:leader="none" w:pos="1065"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which Gem reasonably and in good faith determines (with the approval of the Special Committee) should have been, but were not, deducted from “Gem Net Cash” (as defined in the Merger Agreement) pursuant to clause (B) of such definition, in connection with the Closing of the Merger, to the extent that deduction of such Liabilities would have resulted in a change in the Exchange Ratio under the Merger Agreement were such amounts properly deducted (including after giving effect to the Higher Gem Net Cash Amount and the Lower Gem Net Cash Amount);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provided that (a) no Permitted Deductions shall be deducted until the aggregate amount of Permitted Deductions exceeds the CVR Expenditure Amount and (b) no Permitted Deductions shall be deducted if they are otherwise deducted from the calculation of Gem Net Cash (as defined in the Merger Agreement).</w:t>
      </w:r>
    </w:p>
    <w:p>
      <w:pPr>
        <w:spacing w:after="0" w:line="155"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means a Transfer of one or more CVRs (i) upon death of a Holder by will or intestacy; (ii) by instrument to an </w:t>
      </w:r>
      <w:r>
        <w:rPr>
          <w:rFonts w:ascii="Times New Roman" w:cs="Times New Roman" w:eastAsia="Times New Roman" w:hAnsi="Times New Roman"/>
          <w:sz w:val="16"/>
          <w:szCs w:val="16"/>
          <w:i w:val="1"/>
          <w:iCs w:val="1"/>
          <w:color w:val="auto"/>
        </w:rPr>
        <w:t>inter vivos</w:t>
      </w:r>
      <w:r>
        <w:rPr>
          <w:rFonts w:ascii="Times New Roman" w:cs="Times New Roman" w:eastAsia="Times New Roman" w:hAnsi="Times New Roman"/>
          <w:sz w:val="16"/>
          <w:szCs w:val="16"/>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if the Holder is a partnership or limited liability company, a distribution by the transferring partnership or limited liability company to its partners or members, as applicable (v) made by operation of law (including a consolidation or merger) or without consideration in connection with the dissolution, liquidation or termination of any corporation, limited liability company, partnership or other entity;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xml:space="preserve">”); (vii) to Gem or its Affiliates; or (viii) as provided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5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45" w:lineRule="exact"/>
        <w:rPr>
          <w:sz w:val="20"/>
          <w:szCs w:val="20"/>
          <w:color w:val="auto"/>
        </w:rPr>
      </w:pPr>
    </w:p>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Potentially Transferrable Asset</w:t>
      </w:r>
      <w:r>
        <w:rPr>
          <w:rFonts w:ascii="Times New Roman" w:cs="Times New Roman" w:eastAsia="Times New Roman" w:hAnsi="Times New Roman"/>
          <w:sz w:val="16"/>
          <w:szCs w:val="16"/>
          <w:color w:val="auto"/>
        </w:rPr>
        <w:t>” means any and all assets, tangible and intangible, including, without limitation, patents, patent applications, know-how, trade secrets and other intellectual property rights, data, documentation, agreements and licenses, inventory related to drug products and raw materials, and biological materials, which Gem or any of its Subsidiaries owned or had rights to, as of immediately prior to the Effective Time.</w:t>
      </w:r>
    </w:p>
    <w:p>
      <w:pPr>
        <w:sectPr>
          <w:pgSz w:w="11900" w:h="16838" w:orient="portrait"/>
          <w:cols w:equalWidth="0" w:num="1">
            <w:col w:w="9620"/>
          </w:cols>
          <w:pgMar w:left="1120" w:top="253" w:right="1159" w:bottom="1440" w:gutter="0" w:footer="0" w:header="0"/>
        </w:sectPr>
      </w:pPr>
    </w:p>
    <w:bookmarkStart w:id="231" w:name="page232"/>
    <w:bookmarkEnd w:id="231"/>
    <w:p>
      <w:pPr>
        <w:ind w:right="80"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right="2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VALUE RIGHTS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i w:val="1"/>
          <w:iCs w:val="1"/>
          <w:color w:val="auto"/>
        </w:rPr>
        <w:t>Holders of CVRs; Appointment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right="160" w:firstLine="867"/>
        <w:spacing w:after="0" w:line="261" w:lineRule="auto"/>
        <w:tabs>
          <w:tab w:leader="none" w:pos="1083"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issued and distributed by Gem in the form of a dividend, in connection with the Merger, to the Persons who as of immediately prior to the Effective Time are stockholders of record of Gem or have the right to receive Gem Common Stock as of immediately prior to the Effective Time, as contemplated by the Merger Agreement.</w:t>
      </w:r>
    </w:p>
    <w:p>
      <w:pPr>
        <w:spacing w:after="0" w:line="62" w:lineRule="exact"/>
        <w:rPr>
          <w:rFonts w:ascii="Times New Roman" w:cs="Times New Roman" w:eastAsia="Times New Roman" w:hAnsi="Times New Roman"/>
          <w:sz w:val="16"/>
          <w:szCs w:val="16"/>
          <w:color w:val="auto"/>
        </w:rPr>
      </w:pPr>
    </w:p>
    <w:p>
      <w:pPr>
        <w:ind w:right="140" w:firstLine="867"/>
        <w:spacing w:after="0" w:line="276" w:lineRule="auto"/>
        <w:tabs>
          <w:tab w:leader="none" w:pos="109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hereby appoints the Rights Agent to act as rights agent for Gem in accordance with the express terms and conditions set forth in this Agreement, and the Rights Agent hereby accepts such appointment.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i w:val="1"/>
          <w:iCs w:val="1"/>
          <w:color w:val="auto"/>
        </w:rPr>
        <w:t>Non-transferable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86"/>
        <w:spacing w:after="0" w:line="310" w:lineRule="auto"/>
        <w:rPr>
          <w:sz w:val="20"/>
          <w:szCs w:val="20"/>
          <w:color w:val="auto"/>
        </w:rPr>
      </w:pPr>
      <w:r>
        <w:rPr>
          <w:rFonts w:ascii="Times New Roman" w:cs="Times New Roman" w:eastAsia="Times New Roman" w:hAnsi="Times New Roman"/>
          <w:sz w:val="15"/>
          <w:szCs w:val="15"/>
          <w:color w:val="auto"/>
        </w:rPr>
        <w:t xml:space="preserve">A Holder may not at any time Transfer CVRs, other than pursuant to a Permitted Transfer. Any attempted Transfer that is not a Permitted Transfer, in whole or in part, will be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xml:space="preserve"> and of no effect. The CVRs will not be listed on any quotation system or traded on any securities exchange.</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i w:val="1"/>
          <w:iCs w:val="1"/>
          <w:color w:val="auto"/>
        </w:rPr>
        <w:t>No Certificate; Registration; Registration of Transfer; Change of Address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0" w:hanging="213"/>
        <w:spacing w:after="0"/>
        <w:tabs>
          <w:tab w:leader="none" w:pos="10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rights and obligations in respect of CVRs derive solely from this Agreement; CVRs will not be evidenced by a certificate or</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instrument.</w:t>
      </w:r>
    </w:p>
    <w:p>
      <w:pPr>
        <w:sectPr>
          <w:pgSz w:w="11900" w:h="16838" w:orient="portrait"/>
          <w:cols w:equalWidth="0" w:num="1">
            <w:col w:w="9640"/>
          </w:cols>
          <w:pgMar w:left="1120" w:top="253" w:right="1139" w:bottom="1440" w:gutter="0" w:footer="0" w:header="0"/>
        </w:sectPr>
      </w:pPr>
    </w:p>
    <w:bookmarkStart w:id="232" w:name="page233"/>
    <w:bookmarkEnd w:id="232"/>
    <w:p>
      <w:pPr>
        <w:ind w:left="1101" w:hanging="233"/>
        <w:spacing w:after="0"/>
        <w:tabs>
          <w:tab w:leader="none" w:pos="1101"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Rights Agent will maintain an up-to-date register (the “</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for the purposes of (i) identifying the Holders of CVRs,</w:t>
      </w:r>
    </w:p>
    <w:p>
      <w:pPr>
        <w:spacing w:after="0" w:line="22" w:lineRule="exact"/>
        <w:rPr>
          <w:rFonts w:ascii="Times New Roman" w:cs="Times New Roman" w:eastAsia="Times New Roman" w:hAnsi="Times New Roman"/>
          <w:sz w:val="16"/>
          <w:szCs w:val="16"/>
          <w:color w:val="auto"/>
        </w:rPr>
      </w:pPr>
    </w:p>
    <w:p>
      <w:pPr>
        <w:ind w:left="1" w:right="60" w:hanging="1"/>
        <w:spacing w:after="0" w:line="248" w:lineRule="auto"/>
        <w:tabs>
          <w:tab w:leader="none" w:pos="233"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Holders’ entitlement to CVRs and (iii) registering the CVRs and Permitted Transfers thereof. The CVR Register will initially show one position for the Rights Agent representing all of the CVRs provided to the holders of shares of Gem Common Stock held immediately prior to Closing. Gem and the Rights Agent may require evidence of payment of a sum sufficient to cover any stamp, documentary, registration, or other tax or governmental charge that is imposed in connection with (and would not have been imposed in connection with (and would have been imposed but for)) any such registration of transfer (or evidence that such taxes and charges are not applicable).</w:t>
      </w:r>
    </w:p>
    <w:p>
      <w:pPr>
        <w:spacing w:after="0" w:line="72" w:lineRule="exact"/>
        <w:rPr>
          <w:rFonts w:ascii="Times New Roman" w:cs="Times New Roman" w:eastAsia="Times New Roman" w:hAnsi="Times New Roman"/>
          <w:sz w:val="16"/>
          <w:szCs w:val="16"/>
          <w:color w:val="auto"/>
        </w:rPr>
      </w:pPr>
    </w:p>
    <w:p>
      <w:pPr>
        <w:ind w:left="1" w:right="20" w:firstLine="867"/>
        <w:spacing w:after="0" w:line="249" w:lineRule="auto"/>
        <w:tabs>
          <w:tab w:leader="none" w:pos="1084"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 on transferability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Gem, evidencing the same right, and entitling the transferee to the same benefits and rights under this Agreement, as those held by the transferor. No transfer of CVRs shall be valid until registered in the CVR Register and any transfer not duly registered in the CVR Register shall be void. Gem shall not be responsible for any costs and expenses related to any transfer or assignment of the CVRs (including the cost of any transfer tax).</w:t>
      </w:r>
    </w:p>
    <w:p>
      <w:pPr>
        <w:spacing w:after="0" w:line="74" w:lineRule="exact"/>
        <w:rPr>
          <w:rFonts w:ascii="Times New Roman" w:cs="Times New Roman" w:eastAsia="Times New Roman" w:hAnsi="Times New Roman"/>
          <w:sz w:val="16"/>
          <w:szCs w:val="16"/>
          <w:color w:val="auto"/>
        </w:rPr>
      </w:pPr>
    </w:p>
    <w:p>
      <w:pPr>
        <w:ind w:left="1" w:right="20" w:firstLine="867"/>
        <w:spacing w:after="0" w:line="261" w:lineRule="auto"/>
        <w:tabs>
          <w:tab w:leader="none" w:pos="1093"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5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i w:val="1"/>
          <w:iCs w:val="1"/>
          <w:color w:val="auto"/>
        </w:rPr>
        <w:t>Payment Procedures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 w:right="40" w:firstLine="867"/>
        <w:spacing w:after="0" w:line="275" w:lineRule="auto"/>
        <w:tabs>
          <w:tab w:leader="none" w:pos="1084" w:val="left"/>
        </w:tabs>
        <w:numPr>
          <w:ilvl w:val="1"/>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later than forty-five (45) days following the end of each Calendar Quarter following the Closing, Gem shall (i) deliver to the Rights Agent, a certificate (each, a “</w:t>
      </w:r>
      <w:r>
        <w:rPr>
          <w:rFonts w:ascii="Times New Roman" w:cs="Times New Roman" w:eastAsia="Times New Roman" w:hAnsi="Times New Roman"/>
          <w:sz w:val="15"/>
          <w:szCs w:val="15"/>
          <w:u w:val="single" w:color="auto"/>
          <w:color w:val="auto"/>
        </w:rPr>
        <w:t>CVR Certificate</w:t>
      </w:r>
      <w:r>
        <w:rPr>
          <w:rFonts w:ascii="Times New Roman" w:cs="Times New Roman" w:eastAsia="Times New Roman" w:hAnsi="Times New Roman"/>
          <w:sz w:val="15"/>
          <w:szCs w:val="15"/>
          <w:color w:val="auto"/>
        </w:rPr>
        <w:t>”) certifying to and specifying in reasonable detail, for such Calendar Quarter, the aggregate amount of</w:t>
      </w:r>
    </w:p>
    <w:p>
      <w:pPr>
        <w:ind w:left="1" w:hanging="1"/>
        <w:spacing w:after="0" w:line="248" w:lineRule="auto"/>
        <w:tabs>
          <w:tab w:leader="none" w:pos="259"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 Proceeds received by Gem or its Affiliates during such fiscal quarter (or, in the case of the first delivery of a CVR Certificate hereunder, all CVR Proceeds received through the end of such Calendar Quarter); (B) the Permitted Deductions reflected in such CVR Proceeds; and (C) the CVR Payment payable to Holders, if any, in respect of such CVR Proceeds and (ii) deliver to the Rights Agent, or as the Rights Agent directs, the aggregate CVR Payment (if any). With respect to each Holder, the Rights Agent shall deliver, or cause to be delivered, a number of shares equal to the product determined by multiplying (i) the quotient determined by dividing (A) the number of shares representing the aggregate CVR Payment by (B) the total number of CVRs registered in the CVR Register at such time, by</w:t>
      </w:r>
    </w:p>
    <w:p>
      <w:pPr>
        <w:sectPr>
          <w:pgSz w:w="11900" w:h="16838" w:orient="portrait"/>
          <w:cols w:equalWidth="0" w:num="1">
            <w:col w:w="9641"/>
          </w:cols>
          <w:pgMar w:left="1119" w:top="253" w:right="1139" w:bottom="1440" w:gutter="0" w:footer="0" w:header="0"/>
        </w:sectPr>
      </w:pPr>
    </w:p>
    <w:bookmarkStart w:id="233" w:name="page234"/>
    <w:bookmarkEnd w:id="233"/>
    <w:p>
      <w:pPr>
        <w:ind w:left="1" w:right="120" w:hanging="1"/>
        <w:spacing w:after="0" w:line="261" w:lineRule="auto"/>
        <w:tabs>
          <w:tab w:leader="none" w:pos="23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number of CVRs registered to such Holder in the CVR Register at such time. For the avoidance of doubt Gem shall have no further liability in respect of the relevant CVR Payment upon delivery of such CVR Payment in accordance with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and the satisfaction of each of Gem’s obligations set forth in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w:t>
      </w:r>
    </w:p>
    <w:p>
      <w:pPr>
        <w:spacing w:after="0" w:line="62" w:lineRule="exact"/>
        <w:rPr>
          <w:rFonts w:ascii="Times New Roman" w:cs="Times New Roman" w:eastAsia="Times New Roman" w:hAnsi="Times New Roman"/>
          <w:sz w:val="16"/>
          <w:szCs w:val="16"/>
          <w:color w:val="auto"/>
        </w:rPr>
      </w:pPr>
    </w:p>
    <w:p>
      <w:pPr>
        <w:jc w:val="both"/>
        <w:ind w:left="1" w:firstLine="867"/>
        <w:spacing w:after="0" w:line="256" w:lineRule="auto"/>
        <w:tabs>
          <w:tab w:leader="none" w:pos="1093"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to treat the distribution of the CVRs as constituting a nontaxable stock distribution under Section 305 of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the receipt of CVR Payments as a nontaxable exercise of the right to receive stock under the CVRs. The parties hereto will not take any position to the contrary on any Tax Return or for other Tax purposes except as required by a change in or clarification to applicable Law after the date hereof.</w:t>
      </w:r>
    </w:p>
    <w:p>
      <w:pPr>
        <w:spacing w:after="0" w:line="66" w:lineRule="exact"/>
        <w:rPr>
          <w:rFonts w:ascii="Times New Roman" w:cs="Times New Roman" w:eastAsia="Times New Roman" w:hAnsi="Times New Roman"/>
          <w:sz w:val="16"/>
          <w:szCs w:val="16"/>
          <w:color w:val="auto"/>
        </w:rPr>
      </w:pPr>
    </w:p>
    <w:p>
      <w:pPr>
        <w:ind w:left="1" w:firstLine="867"/>
        <w:spacing w:after="0" w:line="249" w:lineRule="auto"/>
        <w:tabs>
          <w:tab w:leader="none" w:pos="1084"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and the Rights Agent will be entitled to deduct and withhold, or cause to be deducted and withheld, from any CVR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The Rights Agent shall request from each Holder an IRS Form W-9 or applicable IRS Form W-8 at such time or times as is necessary to permit any payment under this Agreement to be made without U.S. federal backup withholding.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time period for payment of a CVR Payment by the Rights Agent set forth in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will be extended by a period equal to any delay caused by the Holder providing such forms,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further</w:t>
      </w:r>
      <w:r>
        <w:rPr>
          <w:rFonts w:ascii="Times New Roman" w:cs="Times New Roman" w:eastAsia="Times New Roman" w:hAnsi="Times New Roman"/>
          <w:sz w:val="16"/>
          <w:szCs w:val="16"/>
          <w:color w:val="auto"/>
        </w:rPr>
        <w:t>, that in no event shall such period be extended for more than ten (10) Business Days, unless otherwise requested by the Holder for the purpose of delivering such forms and agreed to by the Rights Agent.</w:t>
      </w:r>
    </w:p>
    <w:p>
      <w:pPr>
        <w:spacing w:after="0" w:line="74" w:lineRule="exact"/>
        <w:rPr>
          <w:rFonts w:ascii="Times New Roman" w:cs="Times New Roman" w:eastAsia="Times New Roman" w:hAnsi="Times New Roman"/>
          <w:sz w:val="16"/>
          <w:szCs w:val="16"/>
          <w:color w:val="auto"/>
        </w:rPr>
      </w:pPr>
    </w:p>
    <w:p>
      <w:pPr>
        <w:ind w:left="1" w:right="120" w:firstLine="867"/>
        <w:spacing w:after="0" w:line="256" w:lineRule="auto"/>
        <w:tabs>
          <w:tab w:leader="none" w:pos="1093"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portion of a CVR Payment that remains undistributed to the Holders six (6) months after the end of the applicable Calendar Quarter (including by means of invalid addresses on the CVR Register) will be delivered by the Rights Agent to Gem or a person nominated in writing by Gem (with written notice thereof from Gem to the Rights Agent), and any Holder will thereafter look only to Gem for payment of such CVR Payment (which shall be without interest).</w:t>
      </w:r>
    </w:p>
    <w:p>
      <w:pPr>
        <w:spacing w:after="0" w:line="159"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i w:val="1"/>
          <w:iCs w:val="1"/>
          <w:color w:val="auto"/>
        </w:rPr>
        <w:t>No Voting, Dividends or Interest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1" w:hanging="213"/>
        <w:spacing w:after="0"/>
        <w:tabs>
          <w:tab w:leader="none" w:pos="1081"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have any voting or dividend rights, and interest will not accrue on any amounts payable in respect of CVRs.</w:t>
      </w:r>
    </w:p>
    <w:p>
      <w:pPr>
        <w:spacing w:after="0" w:line="99" w:lineRule="exact"/>
        <w:rPr>
          <w:rFonts w:ascii="Times New Roman" w:cs="Times New Roman" w:eastAsia="Times New Roman" w:hAnsi="Times New Roman"/>
          <w:sz w:val="16"/>
          <w:szCs w:val="16"/>
          <w:color w:val="auto"/>
        </w:rPr>
      </w:pPr>
    </w:p>
    <w:p>
      <w:pPr>
        <w:ind w:left="1" w:right="140" w:firstLine="867"/>
        <w:spacing w:after="0" w:line="261" w:lineRule="auto"/>
        <w:tabs>
          <w:tab w:leader="none" w:pos="1093"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represent any equity or ownership interests in Gem or any of its Subsidiaries or in the Surviving Corporation. The sole right of the Holders to receive property hereunder is the right to receive CVR Payments, if any, in accordance with the terms hereof. It is hereby acknowledged and agreed that a CVR shall not constitute a security of Gem or any of its Subsidiaries or of the Surviving Corporation.</w:t>
      </w:r>
    </w:p>
    <w:p>
      <w:pPr>
        <w:sectPr>
          <w:pgSz w:w="11900" w:h="16838" w:orient="portrait"/>
          <w:cols w:equalWidth="0" w:num="1">
            <w:col w:w="9641"/>
          </w:cols>
          <w:pgMar w:left="1119" w:top="253" w:right="1139" w:bottom="1440" w:gutter="0" w:footer="0" w:header="0"/>
        </w:sectPr>
      </w:pPr>
    </w:p>
    <w:bookmarkStart w:id="234" w:name="page235"/>
    <w:bookmarkEnd w:id="234"/>
    <w:p>
      <w:pPr>
        <w:ind w:firstLine="867"/>
        <w:spacing w:after="0" w:line="269" w:lineRule="auto"/>
        <w:tabs>
          <w:tab w:leader="none" w:pos="108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By voting in favor of the adoption of the Merger Agreement, the approval of the principal terms of the Merger, and the consummation of the Merger or participating in the Merger and receiving the benefits thereof, including the right to receive CVRs and any consideration payable in connection with the CVRs, each Holder hereby acknowledges and agrees that the CVRs and the possibility of any payment hereunder with respect thereto are highly speculative and subject to numerous factors outside of Gem’s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It is further acknowledged and agreed that neither Gem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5"/>
          <w:szCs w:val="15"/>
          <w:u w:val="single" w:color="auto"/>
          <w:color w:val="auto"/>
        </w:rPr>
        <w:t>Section 2.5(b)</w:t>
      </w:r>
      <w:r>
        <w:rPr>
          <w:rFonts w:ascii="Times New Roman" w:cs="Times New Roman" w:eastAsia="Times New Roman" w:hAnsi="Times New Roman"/>
          <w:sz w:val="15"/>
          <w:szCs w:val="15"/>
          <w:color w:val="auto"/>
        </w:rPr>
        <w:t xml:space="preserve"> is an essential and material term of this Agreement.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i w:val="1"/>
          <w:iCs w:val="1"/>
          <w:color w:val="auto"/>
        </w:rPr>
        <w:t>Ability to Abandon CVR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A Holder may at any time, at such Holder’s option, abandon all of such Holder’s remaining rights represented by CVRs by transferring such CVR to Gem or a person nominated in writing by Gem (with written notice thereof from Gem to the Rights Agent) without consideration in compensation therefor, and such rights will be cancelled, with the Rights Agent being promptly notified in writing by Gem of such transfer and cancellation. Nothing in this Agreement is intended to prohibit Gem or its Affiliates from offering to acquire or acquiring CVRs, in private transactions or otherwise, for consideration in its sole discretion.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RIGHTS AGENT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i w:val="1"/>
          <w:iCs w:val="1"/>
          <w:color w:val="auto"/>
        </w:rPr>
        <w:t>Certain Duties and Responsibilities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80" w:firstLine="867"/>
        <w:spacing w:after="0" w:line="258" w:lineRule="auto"/>
        <w:tabs>
          <w:tab w:leader="none" w:pos="1083"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w:t>
      </w:r>
    </w:p>
    <w:p>
      <w:pPr>
        <w:ind w:right="12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final non-appealable judgment of court of competent jurisdiction). Notwithstanding anything in this Agreement to the contrary, any liability of the Rights Agent under this Agreement will be limited to the amount of annual fees paid by Gem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ectPr>
          <w:pgSz w:w="11900" w:h="16838" w:orient="portrait"/>
          <w:cols w:equalWidth="0" w:num="1">
            <w:col w:w="9620"/>
          </w:cols>
          <w:pgMar w:left="1120" w:top="253" w:right="1159" w:bottom="1440" w:gutter="0" w:footer="0" w:header="0"/>
        </w:sectPr>
      </w:pPr>
    </w:p>
    <w:bookmarkStart w:id="235" w:name="page236"/>
    <w:bookmarkEnd w:id="235"/>
    <w:p>
      <w:pPr>
        <w:ind w:right="140" w:firstLine="867"/>
        <w:spacing w:after="0" w:line="252" w:lineRule="auto"/>
        <w:tabs>
          <w:tab w:leader="none" w:pos="1092"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Gem or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i w:val="1"/>
          <w:iCs w:val="1"/>
          <w:color w:val="auto"/>
        </w:rPr>
        <w:t>Certain Rights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867"/>
        <w:spacing w:after="0" w:line="276" w:lineRule="auto"/>
        <w:tabs>
          <w:tab w:leader="none" w:pos="108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9" w:lineRule="exact"/>
        <w:rPr>
          <w:rFonts w:ascii="Times New Roman" w:cs="Times New Roman" w:eastAsia="Times New Roman" w:hAnsi="Times New Roman"/>
          <w:sz w:val="16"/>
          <w:szCs w:val="16"/>
          <w:color w:val="auto"/>
        </w:rPr>
      </w:pPr>
    </w:p>
    <w:p>
      <w:pPr>
        <w:ind w:right="20" w:firstLine="867"/>
        <w:spacing w:after="0" w:line="261" w:lineRule="auto"/>
        <w:tabs>
          <w:tab w:leader="none" w:pos="109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and will be protected by Gem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Gem.</w:t>
      </w:r>
    </w:p>
    <w:p>
      <w:pPr>
        <w:spacing w:after="0" w:line="62" w:lineRule="exact"/>
        <w:rPr>
          <w:rFonts w:ascii="Times New Roman" w:cs="Times New Roman" w:eastAsia="Times New Roman" w:hAnsi="Times New Roman"/>
          <w:sz w:val="16"/>
          <w:szCs w:val="16"/>
          <w:color w:val="auto"/>
        </w:rPr>
      </w:pPr>
    </w:p>
    <w:p>
      <w:pPr>
        <w:jc w:val="both"/>
        <w:ind w:right="140" w:firstLine="867"/>
        <w:spacing w:after="0" w:line="261" w:lineRule="auto"/>
        <w:tabs>
          <w:tab w:leader="none" w:pos="108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Rights Agent deems it desirable that a matter be proved or established prior to taking or omitting any action hereunder, the Rights Agent may (i) rely upon an Officer’s Certificate and (ii) incur no liability and be held harmless by Gem for or in respect of any action taken or omitted to be taken by it under the provisions of this Agreement in reliance upon such Officer’s Certificate.</w:t>
      </w:r>
    </w:p>
    <w:p>
      <w:pPr>
        <w:spacing w:after="0" w:line="62" w:lineRule="exact"/>
        <w:rPr>
          <w:rFonts w:ascii="Times New Roman" w:cs="Times New Roman" w:eastAsia="Times New Roman" w:hAnsi="Times New Roman"/>
          <w:sz w:val="16"/>
          <w:szCs w:val="16"/>
          <w:color w:val="auto"/>
        </w:rPr>
      </w:pPr>
    </w:p>
    <w:p>
      <w:pPr>
        <w:ind w:right="120" w:firstLine="867"/>
        <w:spacing w:after="0" w:line="256" w:lineRule="auto"/>
        <w:tabs>
          <w:tab w:leader="none" w:pos="109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66"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permissive rights of the Rights Agent hereunder will not be construed as a duty.</w:t>
      </w:r>
    </w:p>
    <w:p>
      <w:pPr>
        <w:spacing w:after="0" w:line="99" w:lineRule="exact"/>
        <w:rPr>
          <w:rFonts w:ascii="Times New Roman" w:cs="Times New Roman" w:eastAsia="Times New Roman" w:hAnsi="Times New Roman"/>
          <w:sz w:val="16"/>
          <w:szCs w:val="16"/>
          <w:color w:val="auto"/>
        </w:rPr>
      </w:pPr>
    </w:p>
    <w:p>
      <w:pPr>
        <w:ind w:left="1060" w:hanging="193"/>
        <w:spacing w:after="0"/>
        <w:tabs>
          <w:tab w:leader="none" w:pos="106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required to give any note or surety in respect of the execution of its powers or otherwise under this</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82"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w:t>
      </w:r>
    </w:p>
    <w:p>
      <w:pPr>
        <w:sectPr>
          <w:pgSz w:w="11900" w:h="16838" w:orient="portrait"/>
          <w:cols w:equalWidth="0" w:num="1">
            <w:col w:w="9640"/>
          </w:cols>
          <w:pgMar w:left="1120" w:top="253" w:right="1139" w:bottom="1440" w:gutter="0" w:footer="0" w:header="0"/>
        </w:sectPr>
      </w:pPr>
    </w:p>
    <w:bookmarkStart w:id="236" w:name="page237"/>
    <w:bookmarkEnd w:id="236"/>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w:t>
      </w:r>
    </w:p>
    <w:p>
      <w:pPr>
        <w:spacing w:after="0" w:line="62" w:lineRule="exact"/>
        <w:rPr>
          <w:sz w:val="20"/>
          <w:szCs w:val="20"/>
          <w:color w:val="auto"/>
        </w:rPr>
      </w:pPr>
    </w:p>
    <w:p>
      <w:pPr>
        <w:ind w:firstLine="867"/>
        <w:spacing w:after="0" w:line="250" w:lineRule="auto"/>
        <w:tabs>
          <w:tab w:leader="none" w:pos="109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indemnification provided under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Gem agrees (i) to pay the fees of the Rights Agent in connection with the Rights Agent’s performance of its obligations hereunder, as agreed upon in writing by the Rights Agent and Gem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Gem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if Gem is found by a court of competent jurisdiction to be liable to the Rights Agent or the Holders, as applicable in such suit.</w:t>
      </w:r>
    </w:p>
    <w:p>
      <w:pPr>
        <w:spacing w:after="0" w:line="72" w:lineRule="exact"/>
        <w:rPr>
          <w:rFonts w:ascii="Times New Roman" w:cs="Times New Roman" w:eastAsia="Times New Roman" w:hAnsi="Times New Roman"/>
          <w:sz w:val="16"/>
          <w:szCs w:val="16"/>
          <w:color w:val="auto"/>
        </w:rPr>
      </w:pPr>
    </w:p>
    <w:p>
      <w:pPr>
        <w:jc w:val="both"/>
        <w:ind w:right="60" w:firstLine="867"/>
        <w:spacing w:after="0" w:line="261" w:lineRule="auto"/>
        <w:tabs>
          <w:tab w:leader="none" w:pos="105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62" w:lineRule="exact"/>
        <w:rPr>
          <w:rFonts w:ascii="Times New Roman" w:cs="Times New Roman" w:eastAsia="Times New Roman" w:hAnsi="Times New Roman"/>
          <w:sz w:val="16"/>
          <w:szCs w:val="16"/>
          <w:color w:val="auto"/>
        </w:rPr>
      </w:pPr>
    </w:p>
    <w:p>
      <w:pPr>
        <w:ind w:right="40" w:firstLine="867"/>
        <w:spacing w:after="0" w:line="261" w:lineRule="auto"/>
        <w:tabs>
          <w:tab w:leader="none" w:pos="105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62"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Gem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67" w:lineRule="exact"/>
        <w:rPr>
          <w:rFonts w:ascii="Times New Roman" w:cs="Times New Roman" w:eastAsia="Times New Roman" w:hAnsi="Times New Roman"/>
          <w:sz w:val="16"/>
          <w:szCs w:val="16"/>
          <w:color w:val="auto"/>
        </w:rPr>
      </w:pPr>
    </w:p>
    <w:p>
      <w:pPr>
        <w:ind w:firstLine="867"/>
        <w:spacing w:after="0" w:line="261" w:lineRule="auto"/>
        <w:tabs>
          <w:tab w:leader="none" w:pos="105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ectPr>
          <w:pgSz w:w="11900" w:h="16838" w:orient="portrait"/>
          <w:cols w:equalWidth="0" w:num="1">
            <w:col w:w="9620"/>
          </w:cols>
          <w:pgMar w:left="1120" w:top="253" w:right="1159" w:bottom="1440" w:gutter="0" w:footer="0" w:header="0"/>
        </w:sectPr>
      </w:pPr>
    </w:p>
    <w:bookmarkStart w:id="237" w:name="page238"/>
    <w:bookmarkEnd w:id="237"/>
    <w:p>
      <w:pPr>
        <w:jc w:val="both"/>
        <w:ind w:left="-320" w:firstLine="867"/>
        <w:spacing w:after="0" w:line="310" w:lineRule="auto"/>
        <w:tabs>
          <w:tab w:leader="none" w:pos="816"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Gem only.</w:t>
      </w:r>
    </w:p>
    <w:p>
      <w:pPr>
        <w:spacing w:after="0" w:line="27" w:lineRule="exact"/>
        <w:rPr>
          <w:rFonts w:ascii="Times New Roman" w:cs="Times New Roman" w:eastAsia="Times New Roman" w:hAnsi="Times New Roman"/>
          <w:sz w:val="15"/>
          <w:szCs w:val="15"/>
          <w:color w:val="auto"/>
        </w:rPr>
      </w:pPr>
    </w:p>
    <w:p>
      <w:pPr>
        <w:ind w:left="-320" w:right="200" w:firstLine="867"/>
        <w:spacing w:after="0" w:line="256"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act hereunder solely as agent for Gem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Gem, including, without limiting the generality of the foregoing, any duty or responsibility to initiate or attempt to initiate any proceedings at law or otherwise or to make any demand upon Gem.</w:t>
      </w:r>
    </w:p>
    <w:p>
      <w:pPr>
        <w:spacing w:after="0" w:line="66" w:lineRule="exact"/>
        <w:rPr>
          <w:rFonts w:ascii="Times New Roman" w:cs="Times New Roman" w:eastAsia="Times New Roman" w:hAnsi="Times New Roman"/>
          <w:sz w:val="16"/>
          <w:szCs w:val="16"/>
          <w:color w:val="auto"/>
        </w:rPr>
      </w:pPr>
    </w:p>
    <w:p>
      <w:pPr>
        <w:ind w:left="-320" w:right="60" w:firstLine="867"/>
        <w:spacing w:after="0" w:line="256"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66" w:lineRule="exact"/>
        <w:rPr>
          <w:rFonts w:ascii="Times New Roman" w:cs="Times New Roman" w:eastAsia="Times New Roman" w:hAnsi="Times New Roman"/>
          <w:sz w:val="16"/>
          <w:szCs w:val="16"/>
          <w:color w:val="auto"/>
        </w:rPr>
      </w:pPr>
    </w:p>
    <w:p>
      <w:pPr>
        <w:ind w:left="-320" w:right="120" w:firstLine="867"/>
        <w:spacing w:after="0" w:line="261"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be liable or responsible for any failure of Gem to comply with any of its obligations relating to any registration statement filed with the Securities and Exchange Commission or this Agreement, including without limitation obligations under applicable regulation or law.</w:t>
      </w:r>
    </w:p>
    <w:p>
      <w:pPr>
        <w:spacing w:after="0" w:line="62" w:lineRule="exact"/>
        <w:rPr>
          <w:rFonts w:ascii="Times New Roman" w:cs="Times New Roman" w:eastAsia="Times New Roman" w:hAnsi="Times New Roman"/>
          <w:sz w:val="16"/>
          <w:szCs w:val="16"/>
          <w:color w:val="auto"/>
        </w:rPr>
      </w:pPr>
    </w:p>
    <w:p>
      <w:pPr>
        <w:ind w:left="-320" w:right="580" w:firstLine="867"/>
        <w:spacing w:after="0" w:line="276"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obligations of Gem and the rights of the Rights Agent under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shall survive the expiration of the CVRs and the termination of this Agreement and the resignation, replacement or removal of the Rights Agent.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i w:val="1"/>
          <w:iCs w:val="1"/>
          <w:color w:val="auto"/>
        </w:rPr>
        <w:t>Resignation and Removal; Appointment of Successor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320" w:right="20" w:firstLine="867"/>
        <w:spacing w:after="0" w:line="261" w:lineRule="auto"/>
        <w:tabs>
          <w:tab w:leader="none" w:pos="763"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resign at any time by written notice to Gem.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62" w:lineRule="exact"/>
        <w:rPr>
          <w:rFonts w:ascii="Times New Roman" w:cs="Times New Roman" w:eastAsia="Times New Roman" w:hAnsi="Times New Roman"/>
          <w:sz w:val="16"/>
          <w:szCs w:val="16"/>
          <w:color w:val="auto"/>
        </w:rPr>
      </w:pPr>
    </w:p>
    <w:p>
      <w:pPr>
        <w:ind w:left="-320" w:right="260" w:firstLine="867"/>
        <w:spacing w:after="0" w:line="261" w:lineRule="auto"/>
        <w:tabs>
          <w:tab w:leader="none" w:pos="772"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62" w:lineRule="exact"/>
        <w:rPr>
          <w:rFonts w:ascii="Times New Roman" w:cs="Times New Roman" w:eastAsia="Times New Roman" w:hAnsi="Times New Roman"/>
          <w:sz w:val="16"/>
          <w:szCs w:val="16"/>
          <w:color w:val="auto"/>
        </w:rPr>
      </w:pPr>
    </w:p>
    <w:p>
      <w:pPr>
        <w:ind w:left="-320" w:right="20" w:firstLine="867"/>
        <w:spacing w:after="0" w:line="254" w:lineRule="auto"/>
        <w:tabs>
          <w:tab w:leader="none" w:pos="763"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Rights Agent resigns, is removed or becomes incapable of acting, Gem will promptly appoint a qualified successor Rights Agent. Notwithstanding the foregoing, if Gem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become the Rights Agent for all purposes hereunder.</w:t>
      </w:r>
    </w:p>
    <w:p>
      <w:pPr>
        <w:sectPr>
          <w:pgSz w:w="11900" w:h="16838" w:orient="portrait"/>
          <w:cols w:equalWidth="0" w:num="1">
            <w:col w:w="9320"/>
          </w:cols>
          <w:pgMar w:left="1440" w:top="253" w:right="1139" w:bottom="1440" w:gutter="0" w:footer="0" w:header="0"/>
        </w:sectPr>
      </w:pPr>
    </w:p>
    <w:bookmarkStart w:id="238" w:name="page239"/>
    <w:bookmarkEnd w:id="238"/>
    <w:p>
      <w:pPr>
        <w:jc w:val="both"/>
        <w:ind w:right="260" w:firstLine="867"/>
        <w:spacing w:after="0" w:line="256" w:lineRule="auto"/>
        <w:tabs>
          <w:tab w:leader="none" w:pos="1092"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Gem will give notice to the Holders of each resignation or removal of the Rights Agent and each appointment of a successor Rights Agent in accordance with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Each notice will include the name and address of the successor Rights Agent. If Gem fails to send such notice within ten (10) Business Days after acceptance of appointment by a successor Rights Agent, the successor Rights Agent will cause the notice to be mailed at the expense of Gem.</w:t>
      </w:r>
    </w:p>
    <w:p>
      <w:pPr>
        <w:spacing w:after="0" w:line="161" w:lineRule="exact"/>
        <w:rPr>
          <w:rFonts w:ascii="Times New Roman" w:cs="Times New Roman" w:eastAsia="Times New Roman" w:hAnsi="Times New Roman"/>
          <w:sz w:val="16"/>
          <w:szCs w:val="16"/>
          <w:color w:val="auto"/>
        </w:rPr>
      </w:pPr>
    </w:p>
    <w:p>
      <w:pPr>
        <w:ind w:right="20" w:firstLine="867"/>
        <w:spacing w:after="0" w:line="261" w:lineRule="auto"/>
        <w:tabs>
          <w:tab w:leader="none" w:pos="1083"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unless consented to in writing by the Acting Holders, Gem will not appoint as a successor Rights Agent any Person that is not a stock transfer agent of national reputation or the corporate trust department of a commercial bank.</w:t>
      </w:r>
    </w:p>
    <w:p>
      <w:pPr>
        <w:spacing w:after="0" w:line="156" w:lineRule="exact"/>
        <w:rPr>
          <w:rFonts w:ascii="Times New Roman" w:cs="Times New Roman" w:eastAsia="Times New Roman" w:hAnsi="Times New Roman"/>
          <w:sz w:val="16"/>
          <w:szCs w:val="16"/>
          <w:color w:val="auto"/>
        </w:rPr>
      </w:pPr>
    </w:p>
    <w:p>
      <w:pPr>
        <w:ind w:firstLine="867"/>
        <w:spacing w:after="0" w:line="256" w:lineRule="auto"/>
        <w:tabs>
          <w:tab w:leader="none" w:pos="1065"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reasonably cooperate with Gem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i w:val="1"/>
          <w:iCs w:val="1"/>
          <w:color w:val="auto"/>
        </w:rPr>
        <w:t>Acceptance of Appointment by Successor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 xml:space="preserve">Every successor Rights Agent appointed hereunder will, at or prior to such appointment, execute, acknowledge and deliver to Gem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upon the request of Gem or the successor Rights Agent, such resigning or removed Rights Agent will execute and deliver an instrument transferring to such successor Rights Agent all the rights, powers and trusts of such resigning or removed Rights Agent.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i w:val="1"/>
          <w:iCs w:val="1"/>
          <w:color w:val="auto"/>
        </w:rPr>
        <w:t>List of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Gem will furnish or cause to be furnished to the Rights Agent, in such form as Gem receives from Gem’s transfer agent (or other agent performing similar services for Gem), the names and addresses of the Holders within fifteen (15) Business Days following the Closing Date.</w:t>
      </w:r>
    </w:p>
    <w:p>
      <w:pPr>
        <w:sectPr>
          <w:pgSz w:w="11900" w:h="16838" w:orient="portrait"/>
          <w:cols w:equalWidth="0" w:num="1">
            <w:col w:w="9640"/>
          </w:cols>
          <w:pgMar w:left="1120" w:top="253" w:right="1139" w:bottom="1440" w:gutter="0" w:footer="0" w:header="0"/>
        </w:sectPr>
      </w:pPr>
    </w:p>
    <w:bookmarkStart w:id="239" w:name="page240"/>
    <w:bookmarkEnd w:id="239"/>
    <w:p>
      <w:pPr>
        <w:ind w:left="38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4.2 </w:t>
      </w:r>
      <w:r>
        <w:rPr>
          <w:rFonts w:ascii="Times New Roman" w:cs="Times New Roman" w:eastAsia="Times New Roman" w:hAnsi="Times New Roman"/>
          <w:sz w:val="16"/>
          <w:szCs w:val="16"/>
          <w:i w:val="1"/>
          <w:iCs w:val="1"/>
          <w:color w:val="auto"/>
        </w:rPr>
        <w:t>CVR Committee; Efforts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right="140" w:firstLine="867"/>
        <w:spacing w:after="0" w:line="211" w:lineRule="auto"/>
        <w:tabs>
          <w:tab w:leader="none" w:pos="1084"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has delegated, to a special committee of the Gem Board comprised exclusively of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the sole responsibility, authority and discretion during the Disposition Period with respect to (i) managing the Potentially Transferable Assets, and</w:t>
      </w:r>
    </w:p>
    <w:p>
      <w:pPr>
        <w:spacing w:after="0" w:line="1" w:lineRule="exact"/>
        <w:rPr>
          <w:rFonts w:ascii="Times New Roman" w:cs="Times New Roman" w:eastAsia="Times New Roman" w:hAnsi="Times New Roman"/>
          <w:sz w:val="16"/>
          <w:szCs w:val="16"/>
          <w:color w:val="auto"/>
        </w:rPr>
      </w:pPr>
    </w:p>
    <w:p>
      <w:pPr>
        <w:ind w:left="1" w:right="100" w:hanging="1"/>
        <w:spacing w:after="0" w:line="249" w:lineRule="auto"/>
        <w:tabs>
          <w:tab w:leader="none" w:pos="233"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any sale or transfer process (including engagement of advisors) with respect to a Disposition during the Disposition Period. The Special Committee shall also be empowered with the authority to authorize and direct any officer of Gem to negotiate, execute and deliver a definitive written agreement with respect to a Disposition (a “</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in the name and on behalf of Gem, as well as to identify and retain advisers and consultants.</w:t>
      </w:r>
    </w:p>
    <w:p>
      <w:pPr>
        <w:spacing w:after="0" w:line="165" w:lineRule="exact"/>
        <w:rPr>
          <w:rFonts w:ascii="Times New Roman" w:cs="Times New Roman" w:eastAsia="Times New Roman" w:hAnsi="Times New Roman"/>
          <w:sz w:val="16"/>
          <w:szCs w:val="16"/>
          <w:color w:val="auto"/>
        </w:rPr>
      </w:pPr>
    </w:p>
    <w:p>
      <w:pPr>
        <w:ind w:left="1" w:right="40" w:firstLine="867"/>
        <w:spacing w:after="0" w:line="254" w:lineRule="auto"/>
        <w:tabs>
          <w:tab w:leader="none" w:pos="1093"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delegation of responsibility and authority to the Special Committee set forth in Section 4.2(a) shall not be revoked or modified at any time during the Disposition Period. The Special Committee and the Gem Board shall not have any liability to the Holders for any actions taken or not taken in connection with the matters set forth herein. No provision of this Agreement shall require the Special Committee or any members thereof to expend or risk its, his or her own funds or otherwise incur any financial liability in the performance of any duties hereunder or in the exercise of any rights or powers.</w:t>
      </w:r>
    </w:p>
    <w:p>
      <w:pPr>
        <w:spacing w:after="0" w:line="161" w:lineRule="exact"/>
        <w:rPr>
          <w:rFonts w:ascii="Times New Roman" w:cs="Times New Roman" w:eastAsia="Times New Roman" w:hAnsi="Times New Roman"/>
          <w:sz w:val="16"/>
          <w:szCs w:val="16"/>
          <w:color w:val="auto"/>
        </w:rPr>
      </w:pPr>
    </w:p>
    <w:p>
      <w:pPr>
        <w:jc w:val="both"/>
        <w:ind w:left="1" w:right="80" w:firstLine="867"/>
        <w:spacing w:after="0" w:line="256" w:lineRule="auto"/>
        <w:tabs>
          <w:tab w:leader="none" w:pos="1084"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shall be intended third-party beneficiaries of the provisions of this Agreement and shall be entitled to specifically enforce the terms hereof; provided, that under no circumstances shall the rights of Holders as third-party beneficiaries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be enforceable by such Holders or any other Person acting for or on their behalf other than the Special Committee. The Special Committee has the sole power and authority to act on behalf of the Holders in enforcing any of their rights hereunder.</w:t>
      </w:r>
    </w:p>
    <w:p>
      <w:pPr>
        <w:spacing w:after="0" w:line="161" w:lineRule="exact"/>
        <w:rPr>
          <w:rFonts w:ascii="Times New Roman" w:cs="Times New Roman" w:eastAsia="Times New Roman" w:hAnsi="Times New Roman"/>
          <w:sz w:val="16"/>
          <w:szCs w:val="16"/>
          <w:color w:val="auto"/>
        </w:rPr>
      </w:pPr>
    </w:p>
    <w:p>
      <w:pPr>
        <w:ind w:left="1" w:right="100" w:firstLine="867"/>
        <w:spacing w:after="0" w:line="254" w:lineRule="auto"/>
        <w:tabs>
          <w:tab w:leader="none" w:pos="1093"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Disposition Period, Gem will, and will cause its Subsidiaries to, use commercially reasonable efforts (i) to utilize the CVR Expenditure Amount to maintain the Potentially Transferable Assets unless otherwise approved by the Special Committee, and (ii) effectuate a Disposition of the Potentially Transferable Assets, at the direction of the Special Committee, including the negotiation and execution of a Sale Agreement and completion of the transactions contemplated thereby. Further, Gem will not take any actions for the primary purpose of frustrating the payment of CVR Proceeds.</w:t>
      </w:r>
    </w:p>
    <w:p>
      <w:pPr>
        <w:spacing w:after="0" w:line="161" w:lineRule="exact"/>
        <w:rPr>
          <w:rFonts w:ascii="Times New Roman" w:cs="Times New Roman" w:eastAsia="Times New Roman" w:hAnsi="Times New Roman"/>
          <w:sz w:val="16"/>
          <w:szCs w:val="16"/>
          <w:color w:val="auto"/>
        </w:rPr>
      </w:pPr>
    </w:p>
    <w:p>
      <w:pPr>
        <w:ind w:left="1" w:firstLine="867"/>
        <w:spacing w:after="0" w:line="251" w:lineRule="auto"/>
        <w:tabs>
          <w:tab w:leader="none" w:pos="1084"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foregoing clause (d), (i) the Holders acknowledge that Gem has a fiduciary obligation to operate its business in the best interests of its stockholders, and any potential obligation to pay CVR Proceeds will not create any express or implied obligation to operate its business in any particular manner in order to maximize such CVR Proceeds, (ii) except as expressly set forth in this Agreement, the Holders are not relying on any representation of Gem or any other Person with regard to any Disposition or other action involving the Potentially Transferrable Assets following the Closing, and neither Gem nor any other Person has provided, or can provide, any assurance to the Holders that any CVR Proceeds will in fact be earned and paid, and (iii) none of Gem or any of its Subsidiaries, officers or directors shall have any obligation or liability whatsoever to any Person relating to or in connection with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7564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54" w:lineRule="exact"/>
        <w:rPr>
          <w:sz w:val="20"/>
          <w:szCs w:val="20"/>
          <w:color w:val="auto"/>
        </w:rPr>
      </w:pPr>
    </w:p>
    <w:p>
      <w:pPr>
        <w:ind w:left="381" w:hanging="381"/>
        <w:spacing w:after="0"/>
        <w:tabs>
          <w:tab w:leader="none" w:pos="381" w:val="left"/>
        </w:tabs>
        <w:numPr>
          <w:ilvl w:val="0"/>
          <w:numId w:val="2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comprised of the independent continuing director(s) of Gem.</w:t>
      </w:r>
    </w:p>
    <w:p>
      <w:pPr>
        <w:sectPr>
          <w:pgSz w:w="11900" w:h="16838" w:orient="portrait"/>
          <w:cols w:equalWidth="0" w:num="1">
            <w:col w:w="9641"/>
          </w:cols>
          <w:pgMar w:left="1119" w:top="251" w:right="1139" w:bottom="1440" w:gutter="0" w:footer="0" w:header="0"/>
        </w:sectPr>
      </w:pPr>
    </w:p>
    <w:bookmarkStart w:id="240" w:name="page241"/>
    <w:bookmarkEnd w:id="240"/>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or failure to act, with respect to the sale of Potentially Transferable Assets. Gem and its Affiliates will not be required to expend any out-of-pocket amounts in excess of the CVR Expenditure Amount during the Disposition Period, but, for clarity, any amounts which are or will become payable upon consummation of the Disposition and/or the payment of CVR Proceeds and which constitute Permitted Deductions shall be disregarded for purposes of the first clause of this sentence.</w:t>
      </w:r>
    </w:p>
    <w:p>
      <w:pPr>
        <w:spacing w:after="0" w:line="161" w:lineRule="exact"/>
        <w:rPr>
          <w:sz w:val="20"/>
          <w:szCs w:val="20"/>
          <w:color w:val="auto"/>
        </w:rPr>
      </w:pPr>
    </w:p>
    <w:p>
      <w:pPr>
        <w:ind w:firstLine="867"/>
        <w:spacing w:after="0" w:line="276" w:lineRule="auto"/>
        <w:tabs>
          <w:tab w:leader="none" w:pos="1065"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Disposition Period, Gem shall be permitted to take any action in respect of the Potentially Transferable Assets in order to satisfy any wind-down and termination Liabilities of the Potentially Transferable Assets.</w:t>
      </w:r>
    </w:p>
    <w:p>
      <w:pPr>
        <w:spacing w:after="0" w:line="143" w:lineRule="exact"/>
        <w:rPr>
          <w:sz w:val="20"/>
          <w:szCs w:val="20"/>
          <w:color w:val="auto"/>
        </w:rPr>
      </w:pPr>
    </w:p>
    <w:p>
      <w:pPr>
        <w:ind w:right="60" w:firstLine="386"/>
        <w:spacing w:after="0" w:line="257"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i w:val="1"/>
          <w:iCs w:val="1"/>
          <w:color w:val="auto"/>
        </w:rPr>
        <w:t>Prohibited Actions</w:t>
      </w:r>
      <w:r>
        <w:rPr>
          <w:rFonts w:ascii="Times New Roman" w:cs="Times New Roman" w:eastAsia="Times New Roman" w:hAnsi="Times New Roman"/>
          <w:sz w:val="16"/>
          <w:szCs w:val="16"/>
          <w:color w:val="auto"/>
        </w:rPr>
        <w:t>. Unless approved by written consent or resolution by the Special Committee, prior to the end of the Disposition Period, (a) Gem shall not grant any lien, security interest, pledge or similar interest in, or otherwise sell or Transfer, any Potentially Transferable Assets or any CVR Proceeds, and (b) Gem shall not, and shall not permit its Affiliates to, grant, assign, transfer or otherwise convey any Potentially Transferable Assets (including any option to obtain rights) to any third party.</w:t>
      </w:r>
    </w:p>
    <w:p>
      <w:pPr>
        <w:spacing w:after="0" w:line="158" w:lineRule="exact"/>
        <w:rPr>
          <w:sz w:val="20"/>
          <w:szCs w:val="20"/>
          <w:color w:val="auto"/>
        </w:rPr>
      </w:pPr>
    </w:p>
    <w:p>
      <w:pPr>
        <w:ind w:right="280" w:firstLine="386"/>
        <w:spacing w:after="0" w:line="313" w:lineRule="auto"/>
        <w:rPr>
          <w:sz w:val="20"/>
          <w:szCs w:val="20"/>
          <w:color w:val="auto"/>
        </w:rPr>
      </w:pPr>
      <w:r>
        <w:rPr>
          <w:rFonts w:ascii="Times New Roman" w:cs="Times New Roman" w:eastAsia="Times New Roman" w:hAnsi="Times New Roman"/>
          <w:sz w:val="15"/>
          <w:szCs w:val="15"/>
          <w:i w:val="1"/>
          <w:iCs w:val="1"/>
          <w:color w:val="auto"/>
        </w:rPr>
        <w:t xml:space="preserve">Section 4.4 Books and Records. </w:t>
      </w:r>
      <w:r>
        <w:rPr>
          <w:rFonts w:ascii="Times New Roman" w:cs="Times New Roman" w:eastAsia="Times New Roman" w:hAnsi="Times New Roman"/>
          <w:sz w:val="15"/>
          <w:szCs w:val="15"/>
          <w:color w:val="auto"/>
        </w:rPr>
        <w:t>Until the end of the CVR Period, Gem shall, and shall cause its Affiliates to, keep true, complete and accurate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records in sufficient detail to support the applicable CVR Payments payable hereunder in accordance with the terms specified in this Agreement.</w:t>
      </w:r>
    </w:p>
    <w:p>
      <w:pPr>
        <w:spacing w:after="0" w:line="118" w:lineRule="exact"/>
        <w:rPr>
          <w:sz w:val="20"/>
          <w:szCs w:val="20"/>
          <w:color w:val="auto"/>
        </w:rPr>
      </w:pPr>
    </w:p>
    <w:p>
      <w:pPr>
        <w:ind w:right="160" w:firstLine="386"/>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Section 4.5 Audits. </w:t>
      </w:r>
      <w:r>
        <w:rPr>
          <w:rFonts w:ascii="Times New Roman" w:cs="Times New Roman" w:eastAsia="Times New Roman" w:hAnsi="Times New Roman"/>
          <w:sz w:val="16"/>
          <w:szCs w:val="16"/>
          <w:color w:val="auto"/>
        </w:rPr>
        <w:t>Gem agrees to maintain, for at least two years after the last possible CVR Payment, all books and records relevant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calculation of the Permitted Deductions. Subject to reasonable advance written notice from the Acting Holders and prior execution and delivery by it and an independent accounting firm of national reputation chosen by the Acting Holders (the “</w:t>
      </w:r>
      <w:r>
        <w:rPr>
          <w:rFonts w:ascii="Times New Roman" w:cs="Times New Roman" w:eastAsia="Times New Roman" w:hAnsi="Times New Roman"/>
          <w:sz w:val="16"/>
          <w:szCs w:val="16"/>
          <w:u w:val="single" w:color="auto"/>
          <w:color w:val="auto"/>
        </w:rPr>
        <w:t>Accountant</w:t>
      </w:r>
      <w:r>
        <w:rPr>
          <w:rFonts w:ascii="Times New Roman" w:cs="Times New Roman" w:eastAsia="Times New Roman" w:hAnsi="Times New Roman"/>
          <w:sz w:val="16"/>
          <w:szCs w:val="16"/>
          <w:color w:val="auto"/>
        </w:rPr>
        <w:t>”) of a reasonable and customary confidentiality/nonuse agreement, which confidentiality/nonuse agreement shall not prohibit the Acting Holders from communicating any such information with the Holders who have a need to know such information, provided that any such recipients are subject to confidentiality obligations with respect thereto, Gem shall permit the Acting Holders and the Accountant, acting as agent of the Acting Holders, to have access during normal business hours to the books and records of Gem as may be reasonably necessary to audit the calculation of the CVR Payment and the Permitted Deductions. Notwithstanding anything in this Agreement to the contrary, in no event shall Gem be required to provide any tax returns or any other tax information it deems confidential to the Acting Holders or any other party pursuant to this Agreement.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i w:val="1"/>
          <w:iCs w:val="1"/>
          <w:color w:val="auto"/>
        </w:rPr>
        <w:t>Amendments Without Consent of Holders or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867"/>
        <w:spacing w:after="0" w:line="261" w:lineRule="auto"/>
        <w:tabs>
          <w:tab w:leader="none" w:pos="1083"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at any time and from time to time, may (without the consent of any Person, other than the Rights Agent, with such consent not to be unreasonably withheld, conditioned or delayed) enter into one or more amendments to this Agreement for any of the following purposes, without the consent of any of the Holders,</w:t>
      </w:r>
    </w:p>
    <w:p>
      <w:pPr>
        <w:sectPr>
          <w:pgSz w:w="11900" w:h="16838" w:orient="portrait"/>
          <w:cols w:equalWidth="0" w:num="1">
            <w:col w:w="9620"/>
          </w:cols>
          <w:pgMar w:left="1120" w:top="253" w:right="1159" w:bottom="1440" w:gutter="0" w:footer="0" w:header="0"/>
        </w:sectPr>
      </w:pPr>
    </w:p>
    <w:bookmarkStart w:id="241" w:name="page242"/>
    <w:bookmarkEnd w:id="241"/>
    <w:p>
      <w:pPr>
        <w:ind w:left="1" w:right="60" w:firstLine="1253"/>
        <w:spacing w:after="0" w:line="276" w:lineRule="auto"/>
        <w:tabs>
          <w:tab w:leader="none" w:pos="1444"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evidence the appointment of another Person as a successor Rights Agent and the assumption by any successor Rights Agent of the covenants and obligations of the Rights Agent herein in accordance with the provisions hereof;</w:t>
      </w:r>
    </w:p>
    <w:p>
      <w:pPr>
        <w:spacing w:after="0" w:line="144"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488"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6.1, to evidence the succession of another person to Gem and the assumption of any such successor of the covenants of Gem outlined herein in a transaction contemplated by Section 6.1;</w:t>
      </w:r>
    </w:p>
    <w:p>
      <w:pPr>
        <w:spacing w:after="0" w:line="144" w:lineRule="exact"/>
        <w:rPr>
          <w:rFonts w:ascii="Times New Roman" w:cs="Times New Roman" w:eastAsia="Times New Roman" w:hAnsi="Times New Roman"/>
          <w:sz w:val="16"/>
          <w:szCs w:val="16"/>
          <w:color w:val="auto"/>
        </w:rPr>
      </w:pPr>
    </w:p>
    <w:p>
      <w:pPr>
        <w:jc w:val="both"/>
        <w:ind w:left="1" w:right="100" w:firstLine="1253"/>
        <w:spacing w:after="0" w:line="261" w:lineRule="auto"/>
        <w:tabs>
          <w:tab w:leader="none" w:pos="1532"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156"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523"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is not required to produce a prospectus or an admission document in order to comply with applicable Law;</w:t>
      </w:r>
    </w:p>
    <w:p>
      <w:pPr>
        <w:spacing w:after="0" w:line="144" w:lineRule="exact"/>
        <w:rPr>
          <w:rFonts w:ascii="Times New Roman" w:cs="Times New Roman" w:eastAsia="Times New Roman" w:hAnsi="Times New Roman"/>
          <w:sz w:val="16"/>
          <w:szCs w:val="16"/>
          <w:color w:val="auto"/>
        </w:rPr>
      </w:pPr>
    </w:p>
    <w:p>
      <w:pPr>
        <w:ind w:left="1" w:right="460" w:firstLine="1253"/>
        <w:spacing w:after="0" w:line="276" w:lineRule="auto"/>
        <w:tabs>
          <w:tab w:leader="none" w:pos="1479"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cancel CVRs (i) in the event that any Holder has abandoned its rights in accordance with Section 2.6, or (ii) following a transfer of such CVRs to Gem or its Affiliates in accordance with Section 2.2 or Section 2.3; or</w:t>
      </w:r>
    </w:p>
    <w:p>
      <w:pPr>
        <w:spacing w:after="0" w:line="144" w:lineRule="exact"/>
        <w:rPr>
          <w:rFonts w:ascii="Times New Roman" w:cs="Times New Roman" w:eastAsia="Times New Roman" w:hAnsi="Times New Roman"/>
          <w:sz w:val="16"/>
          <w:szCs w:val="16"/>
          <w:color w:val="auto"/>
        </w:rPr>
      </w:pPr>
    </w:p>
    <w:p>
      <w:pPr>
        <w:ind w:left="1521" w:hanging="267"/>
        <w:spacing w:after="0"/>
        <w:tabs>
          <w:tab w:leader="none" w:pos="1521"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complies with applicable Law.</w:t>
      </w:r>
    </w:p>
    <w:p>
      <w:pPr>
        <w:spacing w:after="0" w:line="194" w:lineRule="exact"/>
        <w:rPr>
          <w:rFonts w:ascii="Times New Roman" w:cs="Times New Roman" w:eastAsia="Times New Roman" w:hAnsi="Times New Roman"/>
          <w:sz w:val="16"/>
          <w:szCs w:val="16"/>
          <w:color w:val="auto"/>
        </w:rPr>
      </w:pPr>
    </w:p>
    <w:p>
      <w:pPr>
        <w:ind w:left="1" w:right="20" w:hanging="1"/>
        <w:spacing w:after="0" w:line="276" w:lineRule="auto"/>
        <w:tabs>
          <w:tab w:leader="none" w:pos="22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execution by Gem of any amendment pursuant to this Section 5.1, Gem will (or will cause the Rights Agent to) notify the Holders in general terms of the substance of such amendment in accordance with Section 7.2.</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i w:val="1"/>
          <w:iCs w:val="1"/>
          <w:color w:val="auto"/>
        </w:rPr>
        <w:t>Effect of Amendments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2" w:lineRule="auto"/>
        <w:rPr>
          <w:sz w:val="20"/>
          <w:szCs w:val="20"/>
          <w:color w:val="auto"/>
        </w:rPr>
      </w:pPr>
      <w:r>
        <w:rPr>
          <w:rFonts w:ascii="Times New Roman" w:cs="Times New Roman" w:eastAsia="Times New Roman" w:hAnsi="Times New Roman"/>
          <w:sz w:val="16"/>
          <w:szCs w:val="16"/>
          <w:color w:val="auto"/>
        </w:rPr>
        <w:t xml:space="preserve">Upon the execution of any amendment under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this Agreement will be modified in accordance therewith, such amendment will form a part of this Agreement for all purposes and every Holder will be bound thereby. Upon the delivery of a certificate from an appropriate officer of Gem which states that the proposed supplement or amendment is in compliance with the terms of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ectPr>
          <w:pgSz w:w="11900" w:h="16838" w:orient="portrait"/>
          <w:cols w:equalWidth="0" w:num="1">
            <w:col w:w="9641"/>
          </w:cols>
          <w:pgMar w:left="1119" w:top="253" w:right="1139" w:bottom="1440" w:gutter="0" w:footer="0" w:header="0"/>
        </w:sectPr>
      </w:pPr>
    </w:p>
    <w:bookmarkStart w:id="242" w:name="page243"/>
    <w:bookmarkEnd w:id="242"/>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ARTICLE 6</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CONSOLIDATION, MERGER, SALE OR CONVEYANCE</w:t>
      </w:r>
    </w:p>
    <w:p>
      <w:pPr>
        <w:spacing w:after="0" w:line="175" w:lineRule="exact"/>
        <w:rPr>
          <w:sz w:val="20"/>
          <w:szCs w:val="20"/>
          <w:color w:val="auto"/>
        </w:rPr>
      </w:pPr>
    </w:p>
    <w:p>
      <w:pPr>
        <w:ind w:left="1" w:right="540" w:firstLine="386"/>
        <w:spacing w:after="0" w:line="278"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i w:val="1"/>
          <w:iCs w:val="1"/>
          <w:color w:val="auto"/>
        </w:rPr>
        <w:t>Gem May Not Consolidate, Etc</w:t>
      </w:r>
      <w:r>
        <w:rPr>
          <w:rFonts w:ascii="Times New Roman" w:cs="Times New Roman" w:eastAsia="Times New Roman" w:hAnsi="Times New Roman"/>
          <w:sz w:val="16"/>
          <w:szCs w:val="16"/>
          <w:color w:val="auto"/>
        </w:rPr>
        <w:t>. Gem shall not consolidate with or merge into any other Person or convey, transfer or lease its properties and assets substantially as an entirety to any Person or transfer all or substantially all of its business to any Person, unless:</w:t>
      </w:r>
    </w:p>
    <w:p>
      <w:pPr>
        <w:spacing w:after="0" w:line="143" w:lineRule="exact"/>
        <w:rPr>
          <w:sz w:val="20"/>
          <w:szCs w:val="20"/>
          <w:color w:val="auto"/>
        </w:rPr>
      </w:pPr>
    </w:p>
    <w:p>
      <w:pPr>
        <w:ind w:left="1" w:right="280" w:firstLine="867"/>
        <w:spacing w:after="0" w:line="256" w:lineRule="auto"/>
        <w:tabs>
          <w:tab w:leader="none" w:pos="1084"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formed by such consolidation or into which Gem is merged, the Person that acquires the properties and assets of Gem substantially as an entirety or the Person that acquires by conveyance or transfer, or that leases, the Gem substantially as an entirety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expressly assume payment of amounts on all CVRs and the performance of every duty and covenant of this Agreement on the part of Gem to be performed or observed; and</w:t>
      </w:r>
    </w:p>
    <w:p>
      <w:pPr>
        <w:spacing w:after="0" w:line="161" w:lineRule="exact"/>
        <w:rPr>
          <w:rFonts w:ascii="Times New Roman" w:cs="Times New Roman" w:eastAsia="Times New Roman" w:hAnsi="Times New Roman"/>
          <w:sz w:val="16"/>
          <w:szCs w:val="16"/>
          <w:color w:val="auto"/>
        </w:rPr>
      </w:pPr>
    </w:p>
    <w:p>
      <w:pPr>
        <w:ind w:left="1" w:right="140" w:firstLine="867"/>
        <w:spacing w:after="0" w:line="276" w:lineRule="auto"/>
        <w:tabs>
          <w:tab w:leader="none" w:pos="1093"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has delivered to the Rights Agent an Officer’s Certificate, stating that such consolidation, merger, conveyance, transfer or lease complies with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and that all conditions precedent herein provided for relating to such transaction have been complied with.</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i w:val="1"/>
          <w:iCs w:val="1"/>
          <w:color w:val="auto"/>
        </w:rPr>
        <w:t>Successor Substituted</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6" w:lineRule="auto"/>
        <w:rPr>
          <w:sz w:val="20"/>
          <w:szCs w:val="20"/>
          <w:color w:val="auto"/>
        </w:rPr>
      </w:pPr>
      <w:r>
        <w:rPr>
          <w:rFonts w:ascii="Times New Roman" w:cs="Times New Roman" w:eastAsia="Times New Roman" w:hAnsi="Times New Roman"/>
          <w:sz w:val="16"/>
          <w:szCs w:val="16"/>
          <w:color w:val="auto"/>
        </w:rPr>
        <w:t xml:space="preserve">Upon any consolidation of or merger by Gem with or into any other Person, or any conveyance, transfer or lease of the properties and assets substantially as an entirety to any Person in accordance with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the Surviving Person shall succeed to, and be substituted for, and may exercise every right and power of, and shall assume all of the obligations of Gem under this Agreement with the same effect as if the Surviving Person had been named as Gem herein.</w:t>
      </w: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i w:val="1"/>
          <w:iCs w:val="1"/>
          <w:color w:val="auto"/>
        </w:rPr>
        <w:t>Notices to Rights Agent and to Gem</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All notices, requests and other communications (each, a “</w:t>
      </w: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to any party hereunder shall be in writing. Such Notice shall be deemed given</w:t>
      </w:r>
    </w:p>
    <w:p>
      <w:pPr>
        <w:spacing w:after="0" w:line="34" w:lineRule="exact"/>
        <w:rPr>
          <w:sz w:val="20"/>
          <w:szCs w:val="20"/>
          <w:color w:val="auto"/>
        </w:rPr>
      </w:pPr>
    </w:p>
    <w:p>
      <w:pPr>
        <w:ind w:left="1" w:right="120" w:hanging="1"/>
        <w:spacing w:after="0" w:line="249" w:lineRule="auto"/>
        <w:tabs>
          <w:tab w:leader="none" w:pos="216"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of delivery, if delivered in person, by Fedex or other internationally recognized overnight courier service or, (except with respect to any Person other than the Rights Agent),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16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if to the Rights Agent, to:</w:t>
      </w:r>
    </w:p>
    <w:p>
      <w:pPr>
        <w:spacing w:after="0" w:line="194"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601"/>
          </w:cols>
          <w:pgMar w:left="1119" w:top="251" w:right="1179" w:bottom="1440" w:gutter="0" w:footer="0" w:header="0"/>
        </w:sectPr>
      </w:pPr>
    </w:p>
    <w:bookmarkStart w:id="243" w:name="page244"/>
    <w:bookmarkEnd w:id="24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to Gem, to:</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or facsimile number as such party may hereafter specify for the purpose by notice to the other parties 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i w:val="1"/>
          <w:iCs w:val="1"/>
          <w:color w:val="auto"/>
        </w:rPr>
        <w:t>Notice to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60" w:firstLine="386"/>
        <w:spacing w:after="0" w:line="261" w:lineRule="auto"/>
        <w:rPr>
          <w:sz w:val="20"/>
          <w:szCs w:val="20"/>
          <w:color w:val="auto"/>
        </w:rPr>
      </w:pPr>
      <w:r>
        <w:rPr>
          <w:rFonts w:ascii="Times New Roman" w:cs="Times New Roman" w:eastAsia="Times New Roman" w:hAnsi="Times New Roman"/>
          <w:sz w:val="16"/>
          <w:szCs w:val="16"/>
          <w:color w:val="auto"/>
        </w:rPr>
        <w:t>As between Gem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i w:val="1"/>
          <w:iCs w:val="1"/>
          <w:color w:val="auto"/>
        </w:rPr>
        <w:t>Merger or Consolidation or Change of Name of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2" w:lineRule="auto"/>
        <w:rPr>
          <w:sz w:val="20"/>
          <w:szCs w:val="20"/>
          <w:color w:val="auto"/>
        </w:rPr>
      </w:pPr>
      <w:r>
        <w:rPr>
          <w:rFonts w:ascii="Times New Roman" w:cs="Times New Roman" w:eastAsia="Times New Roman" w:hAnsi="Times New Roman"/>
          <w:sz w:val="16"/>
          <w:szCs w:val="16"/>
          <w:color w:val="auto"/>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The purchase of the Rights Agent’s assets employed in the performance of transfer agent activities shall be deemed a merger or consolidation for purposes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6" w:lineRule="auto"/>
        <w:rPr>
          <w:sz w:val="20"/>
          <w:szCs w:val="20"/>
          <w:color w:val="auto"/>
        </w:rPr>
      </w:pPr>
      <w:r>
        <w:rPr>
          <w:rFonts w:ascii="Times New Roman" w:cs="Times New Roman" w:eastAsia="Times New Roman" w:hAnsi="Times New Roman"/>
          <w:sz w:val="16"/>
          <w:szCs w:val="16"/>
          <w:color w:val="auto"/>
        </w:rPr>
        <w:t xml:space="preserve">This Agreement will be binding upon, and will be enforceable by and inure solely to the benefit of, the Holders, Gem and the Rights Agent and their respective successors and assigns. Except for assignments pursuant to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the Rights Agent may not assign this Agreement without Gem’s prior written consent. Gem or an Assignee may not otherwise assign this Agreement without the prior consent of the Majority of Holders. Any attempted assignment of this Agreement in violation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will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effect.</w:t>
      </w:r>
    </w:p>
    <w:p>
      <w:pPr>
        <w:sectPr>
          <w:pgSz w:w="11900" w:h="16838" w:orient="portrait"/>
          <w:cols w:equalWidth="0" w:num="1">
            <w:col w:w="9600"/>
          </w:cols>
          <w:pgMar w:left="1120" w:top="253" w:right="1179" w:bottom="1440" w:gutter="0" w:footer="0" w:header="0"/>
        </w:sectPr>
      </w:pPr>
    </w:p>
    <w:bookmarkStart w:id="244" w:name="page245"/>
    <w:bookmarkEnd w:id="24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7.6 </w:t>
      </w:r>
      <w:r>
        <w:rPr>
          <w:rFonts w:ascii="Times New Roman" w:cs="Times New Roman" w:eastAsia="Times New Roman" w:hAnsi="Times New Roman"/>
          <w:sz w:val="16"/>
          <w:szCs w:val="16"/>
          <w:i w:val="1"/>
          <w:iCs w:val="1"/>
          <w:color w:val="auto"/>
        </w:rPr>
        <w:t>Benefits of Agreement; Action by Acting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Nothing in this Agreement, express or implied, will give to any Person (other than Gem,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Gem, the Rights Agent, the Holders and their permitted successors and assigns. The Holders will have no rights hereunder except as are expressly set forth herein. Except for the rights of the Rights Agent set forth herein, the Acting Holders and/or Acting Holders, in accordance with this agreement and as the case may be,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This Agreement and the CVRs will be governed by, and construed in accordance with, the laws of the State of Delaware without regard to the conflicts of law rules of such state.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i w:val="1"/>
          <w:iCs w:val="1"/>
          <w:color w:val="auto"/>
        </w:rPr>
        <w:t>Jurisdiction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0" w:lineRule="auto"/>
        <w:rPr>
          <w:sz w:val="20"/>
          <w:szCs w:val="20"/>
          <w:color w:val="auto"/>
        </w:rPr>
      </w:pPr>
      <w:r>
        <w:rPr>
          <w:rFonts w:ascii="Times New Roman" w:cs="Times New Roman" w:eastAsia="Times New Roman" w:hAnsi="Times New Roman"/>
          <w:sz w:val="16"/>
          <w:szCs w:val="16"/>
          <w:color w:val="auto"/>
        </w:rPr>
        <w:t xml:space="preserve">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w:t>
      </w:r>
    </w:p>
    <w:p>
      <w:pPr>
        <w:spacing w:after="0"/>
        <w:rPr>
          <w:sz w:val="20"/>
          <w:szCs w:val="20"/>
          <w:color w:val="auto"/>
        </w:rPr>
      </w:pPr>
      <w:r>
        <w:rPr>
          <w:rFonts w:ascii="Times New Roman" w:cs="Times New Roman" w:eastAsia="Times New Roman" w:hAnsi="Times New Roman"/>
          <w:sz w:val="16"/>
          <w:szCs w:val="16"/>
          <w:color w:val="auto"/>
        </w:rPr>
        <w:t xml:space="preserve">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of this Agreement.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80" w:firstLine="386"/>
        <w:spacing w:after="0" w:line="257" w:lineRule="auto"/>
        <w:rPr>
          <w:sz w:val="20"/>
          <w:szCs w:val="20"/>
          <w:color w:val="auto"/>
        </w:rPr>
      </w:pPr>
      <w:r>
        <w:rPr>
          <w:rFonts w:ascii="Times New Roman" w:cs="Times New Roman" w:eastAsia="Times New Roman" w:hAnsi="Times New Roman"/>
          <w:sz w:val="16"/>
          <w:szCs w:val="16"/>
          <w:b w:val="1"/>
          <w:bCs w:val="1"/>
          <w:color w:val="auto"/>
        </w:rPr>
        <w:t>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w:t>
      </w:r>
    </w:p>
    <w:p>
      <w:pPr>
        <w:sectPr>
          <w:pgSz w:w="11900" w:h="16838" w:orient="portrait"/>
          <w:cols w:equalWidth="0" w:num="1">
            <w:col w:w="9600"/>
          </w:cols>
          <w:pgMar w:left="1120" w:top="251" w:right="1179" w:bottom="1440" w:gutter="0" w:footer="0" w:header="0"/>
        </w:sectPr>
      </w:pPr>
    </w:p>
    <w:bookmarkStart w:id="245" w:name="page246"/>
    <w:bookmarkEnd w:id="245"/>
    <w:p>
      <w:pPr>
        <w:ind w:right="80"/>
        <w:spacing w:after="0" w:line="25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7.9</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Severability Clause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1" w:lineRule="auto"/>
        <w:rPr>
          <w:sz w:val="20"/>
          <w:szCs w:val="20"/>
          <w:color w:val="auto"/>
        </w:rPr>
      </w:pPr>
      <w:r>
        <w:rPr>
          <w:rFonts w:ascii="Times New Roman" w:cs="Times New Roman" w:eastAsia="Times New Roman" w:hAnsi="Times New Roman"/>
          <w:sz w:val="16"/>
          <w:szCs w:val="16"/>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immediately upon written notice to Gem.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Counterparts; Effectiveness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2" w:lineRule="auto"/>
        <w:rPr>
          <w:sz w:val="20"/>
          <w:szCs w:val="20"/>
          <w:color w:val="auto"/>
        </w:rPr>
      </w:pPr>
      <w:r>
        <w:rPr>
          <w:rFonts w:ascii="Times New Roman" w:cs="Times New Roman" w:eastAsia="Times New Roman" w:hAnsi="Times New Roman"/>
          <w:sz w:val="16"/>
          <w:szCs w:val="16"/>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80" w:firstLine="386"/>
        <w:spacing w:after="0" w:line="279" w:lineRule="auto"/>
        <w:rPr>
          <w:sz w:val="20"/>
          <w:szCs w:val="20"/>
          <w:color w:val="auto"/>
        </w:rPr>
      </w:pPr>
      <w:r>
        <w:rPr>
          <w:rFonts w:ascii="Times New Roman" w:cs="Times New Roman" w:eastAsia="Times New Roman" w:hAnsi="Times New Roman"/>
          <w:sz w:val="15"/>
          <w:szCs w:val="15"/>
          <w:color w:val="auto"/>
        </w:rPr>
        <w:t xml:space="preserve">This Agreement will automatically terminate and be of no further force or effect and, except as provided in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the parties hereto will have no further liability hereunder, and the CVRs will expire without any consideration or compensation therefor, upon the expiration of the CVR Period. The termination of this Agreement will not affect or limit the right of Holders to receive the CVR Payments under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to the extent earned prior to the termination of this Agreement, and the provisions applicable thereto will survive the expiration or termination of this Agreement.</w:t>
      </w:r>
    </w:p>
    <w:p>
      <w:pPr>
        <w:sectPr>
          <w:pgSz w:w="11900" w:h="16838" w:orient="portrait"/>
          <w:cols w:equalWidth="0" w:num="1">
            <w:col w:w="9640"/>
          </w:cols>
          <w:pgMar w:left="1120" w:top="251" w:right="1139" w:bottom="1440" w:gutter="0" w:footer="0" w:header="0"/>
        </w:sectPr>
      </w:pPr>
    </w:p>
    <w:bookmarkStart w:id="246" w:name="page247"/>
    <w:bookmarkEnd w:id="24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7.13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Notwithstanding anything to the contrary contained herein, none of the Rights Agent, Gem or any of its Subsidiaries (except as it relates to the obligations of the Company under Article 3) will be liable for any delays or failures in performance resulting from acts beyond its reasonable control including acts of God, pandemics (including COVID-19),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40" w:firstLine="867"/>
        <w:spacing w:after="0" w:line="261" w:lineRule="auto"/>
        <w:tabs>
          <w:tab w:leader="none" w:pos="1083"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56" w:lineRule="exact"/>
        <w:rPr>
          <w:rFonts w:ascii="Times New Roman" w:cs="Times New Roman" w:eastAsia="Times New Roman" w:hAnsi="Times New Roman"/>
          <w:sz w:val="16"/>
          <w:szCs w:val="16"/>
          <w:color w:val="auto"/>
        </w:rPr>
      </w:pPr>
    </w:p>
    <w:p>
      <w:pPr>
        <w:ind w:right="160" w:firstLine="867"/>
        <w:spacing w:after="0" w:line="276" w:lineRule="auto"/>
        <w:tabs>
          <w:tab w:leader="none" w:pos="109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words “include” and “including,” and variations thereof, will not be deemed to be terms of limitation, but rather will be deemed to be followed by the words “without limitation.”</w:t>
      </w:r>
    </w:p>
    <w:p>
      <w:pPr>
        <w:spacing w:after="0" w:line="144" w:lineRule="exact"/>
        <w:rPr>
          <w:rFonts w:ascii="Times New Roman" w:cs="Times New Roman" w:eastAsia="Times New Roman" w:hAnsi="Times New Roman"/>
          <w:sz w:val="16"/>
          <w:szCs w:val="16"/>
          <w:color w:val="auto"/>
        </w:rPr>
      </w:pPr>
    </w:p>
    <w:p>
      <w:pPr>
        <w:ind w:right="40" w:firstLine="867"/>
        <w:spacing w:after="0" w:line="276" w:lineRule="auto"/>
        <w:tabs>
          <w:tab w:leader="none" w:pos="1083"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44" w:lineRule="exact"/>
        <w:rPr>
          <w:rFonts w:ascii="Times New Roman" w:cs="Times New Roman" w:eastAsia="Times New Roman" w:hAnsi="Times New Roman"/>
          <w:sz w:val="16"/>
          <w:szCs w:val="16"/>
          <w:color w:val="auto"/>
        </w:rPr>
      </w:pPr>
    </w:p>
    <w:p>
      <w:pPr>
        <w:ind w:firstLine="867"/>
        <w:spacing w:after="0" w:line="256" w:lineRule="auto"/>
        <w:tabs>
          <w:tab w:leader="none" w:pos="109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date or time shall be deemed to be such date or time in New York City, United States, unless otherwise specified. The parties hereto and Gem have participated jointly in the negotiation and drafting of this Agreement. In the event an ambiguity or question of intent or interpretation arises, this Agreement shall be construed as if drafted jointly by the parties and Gem and no presumption or burden of proof shall arise favoring or disfavoring any Person by virtue of the authorship of any provision of this Agreement.</w:t>
      </w:r>
    </w:p>
    <w:p>
      <w:pPr>
        <w:spacing w:after="0" w:line="161"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herein to “$” are to United States Dollars.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ectPr>
          <w:pgSz w:w="11900" w:h="16838" w:orient="portrait"/>
          <w:cols w:equalWidth="0" w:num="1">
            <w:col w:w="9640"/>
          </w:cols>
          <w:pgMar w:left="1120" w:top="251" w:right="1139" w:bottom="1440" w:gutter="0" w:footer="0" w:header="0"/>
        </w:sectPr>
      </w:pPr>
    </w:p>
    <w:bookmarkStart w:id="247" w:name="page248"/>
    <w:bookmarkEnd w:id="247"/>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each of the parties has caused this Agreement to be executed as of the day and year first above written.</w:t>
      </w:r>
    </w:p>
    <w:p>
      <w:pPr>
        <w:sectPr>
          <w:pgSz w:w="11900" w:h="16838" w:orient="portrait"/>
          <w:cols w:equalWidth="0" w:num="1">
            <w:col w:w="9019"/>
          </w:cols>
          <w:pgMar w:left="1440" w:top="253" w:right="1440" w:bottom="1440" w:gutter="0" w:footer="0" w:header="0"/>
        </w:sectPr>
      </w:pPr>
    </w:p>
    <w:p>
      <w:pPr>
        <w:spacing w:after="0" w:line="2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Gemini Therapeutics, Inc.</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[AGENT]</w:t>
      </w:r>
    </w:p>
    <w:p>
      <w:pPr>
        <w:spacing w:after="0" w:line="1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253" w:right="1440" w:bottom="1440" w:gutter="0" w:footer="0" w:header="0"/>
          <w:type w:val="continuous"/>
        </w:sectPr>
      </w:pPr>
    </w:p>
    <w:bookmarkStart w:id="248" w:name="page249"/>
    <w:bookmarkEnd w:id="24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99.1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Gemini Therapeutics and Disc Medicine Announce Merger Agreement</w:t>
      </w:r>
    </w:p>
    <w:p>
      <w:pPr>
        <w:spacing w:after="0" w:line="216" w:lineRule="exact"/>
        <w:rPr>
          <w:sz w:val="20"/>
          <w:szCs w:val="20"/>
          <w:color w:val="auto"/>
        </w:rPr>
      </w:pPr>
    </w:p>
    <w:p>
      <w:pPr>
        <w:ind w:left="380" w:right="400" w:hanging="287"/>
        <w:spacing w:after="0" w:line="278" w:lineRule="auto"/>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Merger to create NASDAQ-listed, clinical-stage biopharmaceutical company focused on advancing Disc Medicine’s portfolio of hematology programs</w:t>
      </w:r>
    </w:p>
    <w:p>
      <w:pPr>
        <w:spacing w:after="0" w:line="58" w:lineRule="exact"/>
        <w:rPr>
          <w:rFonts w:ascii="Times New Roman" w:cs="Times New Roman" w:eastAsia="Times New Roman" w:hAnsi="Times New Roman"/>
          <w:sz w:val="16"/>
          <w:szCs w:val="16"/>
          <w:color w:val="auto"/>
        </w:rPr>
      </w:pPr>
    </w:p>
    <w:p>
      <w:pPr>
        <w:ind w:left="380" w:right="200" w:hanging="287"/>
        <w:spacing w:after="0" w:line="278" w:lineRule="auto"/>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Combined company is expected to have approximately $175 million of cash or cash equivalents at close, including approximately $53.5 million from a concurrent financing restricted to Disc’s existing investors, and which is expected to provide funding into 2025</w:t>
      </w:r>
    </w:p>
    <w:p>
      <w:pPr>
        <w:spacing w:after="0" w:line="58" w:lineRule="exact"/>
        <w:rPr>
          <w:rFonts w:ascii="Times New Roman" w:cs="Times New Roman" w:eastAsia="Times New Roman" w:hAnsi="Times New Roman"/>
          <w:sz w:val="16"/>
          <w:szCs w:val="16"/>
          <w:color w:val="auto"/>
        </w:rPr>
      </w:pPr>
    </w:p>
    <w:p>
      <w:pPr>
        <w:ind w:left="380" w:right="420" w:hanging="287"/>
        <w:spacing w:after="0" w:line="278" w:lineRule="auto"/>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 will fund multiple clinical studies, including clinical trials of bitopertin for erythropoietic porphyrias, DISC-0974 for anemia of myelofibrosis, and DISC-0974 for anemia of chronic kidney disease</w:t>
      </w:r>
    </w:p>
    <w:p>
      <w:pPr>
        <w:spacing w:after="0" w:line="58" w:lineRule="exact"/>
        <w:rPr>
          <w:rFonts w:ascii="Times New Roman" w:cs="Times New Roman" w:eastAsia="Times New Roman" w:hAnsi="Times New Roman"/>
          <w:sz w:val="16"/>
          <w:szCs w:val="16"/>
          <w:color w:val="auto"/>
        </w:rPr>
      </w:pPr>
    </w:p>
    <w:p>
      <w:pPr>
        <w:ind w:left="380" w:hanging="287"/>
        <w:spacing w:after="0"/>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Companies will host a joint webcast today, August 10, 2022 at 8:00 a.m. Eastern Time</w:t>
      </w:r>
    </w:p>
    <w:p>
      <w:pPr>
        <w:spacing w:after="0" w:line="19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WAYLAND, Mass. and WATERTOWN, Mass. (August 10, 2022) – Gemini Therapeutics, Inc. (Nasdaq: GMTX) (“Gemini”) and Disc Medicine, Inc. (“Disc”), a privately-held, clinical-stage biopharmaceutical company focused on the discovery and development of novel treatments for patients suffering from serious hematologic diseases, announced today that they have entered into a definitive merger agreement to combine the companies in an all-stock transaction. The combined company will focus on advancing Disc’s pipeline of hematology programs, including multiple patient studies for its clinical-stage programs bitopertin and DISC-0974. Upon shareholder approval, the combined company is expected to operate under the name Disc Medicine, Inc. and trade on the Nasdaq Global Market under the ticker symbol IRON.</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support of the merger, Disc has secured commitments from a syndicate of healthcare investors led by Access Biotechnology and including OrbiMed, Atlas Venture, 5AM Ventures, Novo Holdings A/S, Arix Bioscience, Rock Springs Capital, and Janus Henderson Investors, for a $53.5 million financing that is expected to close concurrent with the completion of the merger. With the cash expected from both companies at closing and the proceeds of the concurrent financing, the combined company is currently expected to have approximately $175 million of cash or cash equivalents. The cash resources will be used to advance Disc’s pipeline through multiple clinical studies and provide runway into 2025. The merger and related financing are expected to close in the fourth quarter of 2022.</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“I’m delighted to announce this merger with Gemini, which comes at a pivotal moment for our company. In the last few months, we have initiated clinical studies in patients for both bitopertin and DISC-0974 and presented first-in-human data from DISC-0974, our hepcidin suppression program, establishing clinical proof-of-mechanism,” said John Quisel, J.D., Ph.D., Chief Executive Officer and President of Disc Medicine. “This transaction will provide us with tremendous financial strength, propel several programs through a series of data catalysts and enable us to explore the full potential of our pipeline.”</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“Gemini’s strategic review was a thorough and thoughtful process,” said Georges Gemayel, Ph.D., Executive Chair and interim President and Chief Executive Officer of Gemini. “We believe that this transaction presents an exciting opportunity for our shareholders, as Disc has built a diversified, clinical-stage pipeline of product candidates, and we believe in the ability of Disc’s experienced management team to lead the combined company. We look forward to its continued success.”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Disc Medicine’s Hematology Portfolio</w:t>
      </w:r>
    </w:p>
    <w:p>
      <w:pPr>
        <w:spacing w:after="0" w:line="1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Disc has a clinical-stage development pipeline composed of investigational product candidates that affect heme biosynthesis and iron metabolism. Disc’s programs are designed to target pathways with established, clinically-validated biology and have the potential to address multiple indications. This includes:</w:t>
      </w:r>
    </w:p>
    <w:p>
      <w:pPr>
        <w:sectPr>
          <w:pgSz w:w="11900" w:h="16838" w:orient="portrait"/>
          <w:cols w:equalWidth="0" w:num="1">
            <w:col w:w="9640"/>
          </w:cols>
          <w:pgMar w:left="1120" w:top="251" w:right="1139" w:bottom="1440" w:gutter="0" w:footer="0" w:header="0"/>
        </w:sectPr>
      </w:pPr>
    </w:p>
    <w:bookmarkStart w:id="249" w:name="page250"/>
    <w:bookmarkEnd w:id="249"/>
    <w:p>
      <w:pPr>
        <w:ind w:right="160"/>
        <w:spacing w:after="0" w:line="253"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Bitopertin (Heme Synthesis Modulator): </w:t>
      </w:r>
      <w:r>
        <w:rPr>
          <w:rFonts w:ascii="Times New Roman" w:cs="Times New Roman" w:eastAsia="Times New Roman" w:hAnsi="Times New Roman"/>
          <w:sz w:val="16"/>
          <w:szCs w:val="16"/>
          <w:color w:val="auto"/>
        </w:rPr>
        <w:t>Bitopertin is an inhibitor of glycine transporter, GlyT1, and has demonstrated effects on heme biosynthesis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 studies. Bitopertin was in-licensed by Disc from Roche in 2021 and has been extensively studied, including a safety data package reflecting clinical experience in over 4,000 individuals. Inhibition of heme biosynthesis has the potential to address a wide range of hematologic disorders. Disc has initiated BEACON, an open-label, phase 2 trial of bitopertin in patients with erythropoietic porphyria, a rare, debilitating and potentially fatal genetic disorder that results in dysregulated heme biosynthesis and where bitopertin has the potential to become the first disease-modifying treatment. Additional clinical studies in Diamond-Blackfan Anemia (DBA) and other indications are being planned.</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DISC-0974 (Hepcidin Suppression): </w:t>
      </w:r>
      <w:r>
        <w:rPr>
          <w:rFonts w:ascii="Times New Roman" w:cs="Times New Roman" w:eastAsia="Times New Roman" w:hAnsi="Times New Roman"/>
          <w:sz w:val="16"/>
          <w:szCs w:val="16"/>
          <w:color w:val="auto"/>
        </w:rPr>
        <w:t>DISC-0974 is a monoclonal antibody targeting a co-receptor called hemojuvelin (HJV) and is designed to suppress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hepcidin production and increase serum iron levels in patients suffering from the anemia of inflammation. DISC-0974 was in-licensed by Disc from AbbVie in 2019. Anemia of inflammation arises from abnormally elevated hepcidin and is the most common form of anemia, affecting millions of patients across numerous diseases such as chronic kidney disease, myelofibrosis, cancer, autoimmune diseases, and other conditions with an inflammatory component. Disc has established clinical proof-of-mechanism of DISC-0974 in a phase 1 study of healthy volunteers and initiated a phase 1b/2 clinical study of DISC-0974 in patients with anemia of myelofibrosis. Disc plans to initiate a phase 1b/2 clinical study of DISC-0974 in patients with anemia of chronic kidney disease (non-dialysis) in late 2022.</w:t>
      </w:r>
    </w:p>
    <w:p>
      <w:pPr>
        <w:spacing w:after="0" w:line="16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i w:val="1"/>
          <w:iCs w:val="1"/>
          <w:color w:val="auto"/>
        </w:rPr>
        <w:t>Matriptase-2 Inhibitor (Hepcidin Induction)</w:t>
      </w:r>
      <w:r>
        <w:rPr>
          <w:rFonts w:ascii="Times New Roman" w:cs="Times New Roman" w:eastAsia="Times New Roman" w:hAnsi="Times New Roman"/>
          <w:sz w:val="16"/>
          <w:szCs w:val="16"/>
          <w:color w:val="auto"/>
        </w:rPr>
        <w:t>: Disc has a research program designed to identify orally-available, small molecules to inhibit Matriptase-2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(referred to as Mat-2 or TMPRSS6) and increase the production of hepcidin and restrict iron availability. The therapeutic role of hepcidin has been established in patients with polycythemia vera and hereditary hemochromatosis, and is being studied for the treatment of diseases associated with iron overload, including beta-thalassemia, myelodysplastic syndromes, and sickle cell disease.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the Proposed Transaction, Management and Organization</w:t>
      </w:r>
    </w:p>
    <w:p>
      <w:pPr>
        <w:spacing w:after="0" w:line="10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Pre-merger Gemini shareholders are expected to own approximately 28% of the combined company and pre-merger Disc shareholders are expected to own approximately 72% of the combined company, in each case before giving effect to the concurrent financing. The percentage of the combined company that Gemini’s shareholders will own as of the close of the transaction is subject to adjustment based on the amount of Gemini’s net cash at the closing date. Immediately prior to the closing of the proposed merger, Gemini stockholders will be issued contingent value rights representing the right to receive certain payments from proceeds received by the combined company, if any, related to pre-transaction legacy assets during the period ending one year following the closing of the merger.</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Following the merger, the combined company will be led by John Quisel, J.D., Ph.D., the current CEO and President of Disc Medicine, and other members of the Disc management team. Gemini Therapeutics, Inc. will be renamed “Disc Medicine, Inc.” and the corporate headquarters will be located in Watertown, MA. The merger agreement provides that the Board of Directors of the combined company will be composed of nine members, including eight Disc board members and one from Gemini. The transaction has been unanimously approved by the Board of Directors of both companies and is expected to close in the fourth quarter of 2022, subject to customary closing conditions, including, the approvals by the stockholders of each company and other customary closing conditions.</w:t>
      </w:r>
    </w:p>
    <w:p>
      <w:pPr>
        <w:spacing w:after="0" w:line="1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6"/>
          <w:szCs w:val="16"/>
          <w:color w:val="auto"/>
        </w:rPr>
        <w:t>SVB Securities is serving as the exclusive financial advisor and Wilmer Cutler Pickering Hale and Dorr LLP is serving as legal counsel to Gemini. Morgan Stanley is serving as the lead financial advisor to Disc Medicine along with Wedbush PacGrow, and Goodwin Procter LLP is serving as legal counsel to Disc Medicine.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Webcast Presentation</w:t>
      </w:r>
    </w:p>
    <w:p>
      <w:pPr>
        <w:spacing w:after="0" w:line="10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auto"/>
        </w:rPr>
        <w:t>The companies will host a webcast presentation to discuss the proposed transaction as well as Disc’s platform and pipeline assets today, August 10, 2022, at 8:00 a.m. ET. The live webcast can be accessed on the Events &amp; Presentations page of Gemini’s website or by dialing 1-(888) 660-6186 or</w:t>
      </w:r>
    </w:p>
    <w:p>
      <w:pPr>
        <w:jc w:val="both"/>
        <w:ind w:right="60"/>
        <w:spacing w:after="0" w:line="250" w:lineRule="auto"/>
        <w:rPr>
          <w:sz w:val="20"/>
          <w:szCs w:val="20"/>
          <w:color w:val="auto"/>
        </w:rPr>
      </w:pPr>
      <w:r>
        <w:rPr>
          <w:rFonts w:ascii="Times New Roman" w:cs="Times New Roman" w:eastAsia="Times New Roman" w:hAnsi="Times New Roman"/>
          <w:sz w:val="16"/>
          <w:szCs w:val="16"/>
          <w:color w:val="auto"/>
        </w:rPr>
        <w:t>1-(929) 203-0798 internationally and referencing conference ID number 6678391. A webcast of the presentation and associated slides will be available on the Investors &amp; Media section of Gemini’s website at http://investors.geminitherapeutics.com and a replay will be archived for 30 days following the presentation.</w:t>
      </w:r>
    </w:p>
    <w:p>
      <w:pPr>
        <w:sectPr>
          <w:pgSz w:w="11900" w:h="16838" w:orient="portrait"/>
          <w:cols w:equalWidth="0" w:num="1">
            <w:col w:w="9640"/>
          </w:cols>
          <w:pgMar w:left="1120" w:top="251" w:right="11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About Gemini Therapeutics, Inc.</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Gemini Therapeutics is a clinical-stage precision medicine company previously focused on developing novel therapeutic compounds to treat genetically defined age-related macular degeneration (AMD).</w:t>
      </w:r>
    </w:p>
    <w:p>
      <w:pPr>
        <w:spacing w:after="0"/>
        <w:rPr>
          <w:sz w:val="20"/>
          <w:szCs w:val="20"/>
          <w:color w:val="auto"/>
        </w:rPr>
      </w:pPr>
      <w:r>
        <w:rPr>
          <w:rFonts w:ascii="Times New Roman" w:cs="Times New Roman" w:eastAsia="Times New Roman" w:hAnsi="Times New Roman"/>
          <w:sz w:val="16"/>
          <w:szCs w:val="16"/>
          <w:color w:val="auto"/>
        </w:rPr>
        <w:t>For more information, visit www.geminitherapeutics.com.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Disc Medicine, Inc.</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Disc Medicine is a clinical-stage biopharmaceutical company that is dedicated to transforming the lives of patients with hematologic disorders. Disc is building a portfolio of innovative, first-in-class therapeutic candidates that affect fundamental pathways of red blood cell biology. Disc Medicine is committed to developing treatments that empower and bring hope to the many patients who suffer from hematologic disease. For more information, please visit www.discmedicine.com.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w:t>
      </w:r>
    </w:p>
    <w:p>
      <w:pPr>
        <w:spacing w:after="0" w:line="1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Certain statements in this press release and the information incorporated herein by reference may constitute “forward-looking statements” for purposes of the federal securities laws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and those factors described under the heading “Risk Factors” in the Gemini’s most recent Annual Report on Form 10-K filed with the SEC, as well as discussions of potential risks, uncertainties, and other important factors included in later</w:t>
      </w:r>
    </w:p>
    <w:p>
      <w:pPr>
        <w:sectPr>
          <w:pgSz w:w="11900" w:h="16838" w:orient="portrait"/>
          <w:cols w:equalWidth="0" w:num="1">
            <w:col w:w="9620"/>
          </w:cols>
          <w:pgMar w:left="1120" w:top="253" w:right="1159" w:bottom="1440" w:gutter="0" w:footer="0" w:header="0"/>
        </w:sectPr>
      </w:pPr>
    </w:p>
    <w:bookmarkStart w:id="251" w:name="page252"/>
    <w:bookmarkEnd w:id="251"/>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Offer or Solicitation</w:t>
      </w:r>
    </w:p>
    <w:p>
      <w:pPr>
        <w:spacing w:after="0" w:line="10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Important Additional Information Will be Filed with the SEC</w:t>
      </w:r>
    </w:p>
    <w:p>
      <w:pPr>
        <w:spacing w:after="0" w:line="10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 xml:space="preserve">In connection with the proposed transaction between Gemini and Disc, Gemini intends to file relevant materials with the SEC, including a registration statement on Form S-4 that will contain a proxy statement/prospectus of Gemini and information statement of Disc. GEMINI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In addition, investors and shareholders should note that Gemini communicates with investors and the public using its website (www.geminitherapeutics.com),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Participants in the Solicitation</w:t>
      </w:r>
    </w:p>
    <w:p>
      <w:pPr>
        <w:spacing w:after="0" w:line="10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Gemini and its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ectPr>
          <w:pgSz w:w="11900" w:h="16838" w:orient="portrait"/>
          <w:cols w:equalWidth="0" w:num="1">
            <w:col w:w="9620"/>
          </w:cols>
          <w:pgMar w:left="1120" w:top="253" w:right="1159" w:bottom="1440" w:gutter="0" w:footer="0" w:header="0"/>
        </w:sectPr>
      </w:pPr>
    </w:p>
    <w:bookmarkStart w:id="252" w:name="page253"/>
    <w:bookmarkEnd w:id="252"/>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Contacts</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Brian Piekos</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5" w:lineRule="exact"/>
        <w:rPr>
          <w:sz w:val="20"/>
          <w:szCs w:val="20"/>
          <w:color w:val="auto"/>
        </w:rPr>
      </w:pPr>
    </w:p>
    <w:p>
      <w:pPr>
        <w:ind w:left="1" w:right="7519" w:hanging="1"/>
        <w:spacing w:after="0" w:line="286" w:lineRule="auto"/>
        <w:tabs>
          <w:tab w:leader="none" w:pos="382"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401-4400 IR@geminitherapeutics.com</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Peg Rusconi (Media)</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Verge Scientific Communications</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prusconi@vergescientific.com</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Christina Tartaglia (Investor)</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Stern Investor Relations</w:t>
      </w:r>
    </w:p>
    <w:p>
      <w:pPr>
        <w:spacing w:after="0" w:line="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christina.tartaglia@sternir.com</w:t>
      </w:r>
    </w:p>
    <w:p>
      <w:pPr>
        <w:sectPr>
          <w:pgSz w:w="11900" w:h="16838" w:orient="portrait"/>
          <w:cols w:equalWidth="0" w:num="1">
            <w:col w:w="9340"/>
          </w:cols>
          <w:pgMar w:left="1119" w:top="253" w:right="1440" w:bottom="1440"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
      <w:numFmt w:val="bullet"/>
      <w:start w:val="1"/>
    </w:lvl>
  </w:abstractNum>
  <w:abstractNum w:abstractNumId="2">
    <w:nsid w:val="7DFF9D09"/>
    <w:multiLevelType w:val="hybridMultilevel"/>
    <w:lvl w:ilvl="0">
      <w:lvlJc w:val="left"/>
      <w:lvlText w:val="1"/>
      <w:numFmt w:val="bullet"/>
      <w:start w:val="1"/>
    </w:lvl>
  </w:abstractNum>
  <w:abstractNum w:abstractNumId="3">
    <w:nsid w:val="754342"/>
    <w:multiLevelType w:val="hybridMultilevel"/>
    <w:lvl w:ilvl="0">
      <w:lvlJc w:val="left"/>
      <w:lvlText w:val="(%1)"/>
      <w:numFmt w:val="decimal"/>
      <w:start w:val="5"/>
    </w:lvl>
  </w:abstractNum>
  <w:abstractNum w:abstractNumId="4">
    <w:nsid w:val="69E7F3E5"/>
    <w:multiLevelType w:val="hybridMultilevel"/>
    <w:lvl w:ilvl="0">
      <w:lvlJc w:val="left"/>
      <w:lvlText w:val="(%1)"/>
      <w:numFmt w:val="lowerLetter"/>
      <w:start w:val="4"/>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1)"/>
      <w:numFmt w:val="lowerRoman"/>
      <w:start w:val="4"/>
    </w:lvl>
    <w:lvl w:ilvl="1">
      <w:lvlJc w:val="left"/>
      <w:lvlText w:val="%2."/>
      <w:numFmt w:val="upperLetter"/>
      <w:start w:val="4"/>
    </w:lvl>
  </w:abstractNum>
  <w:abstractNum w:abstractNumId="7">
    <w:nsid w:val="37DF2233"/>
    <w:multiLevelType w:val="hybridMultilevel"/>
    <w:lvl w:ilvl="0">
      <w:lvlJc w:val="left"/>
      <w:lvlText w:val="%1"/>
      <w:numFmt w:val="lowerLetter"/>
      <w:start w:val="1"/>
    </w:lvl>
    <w:lvl w:ilvl="1">
      <w:lvlJc w:val="left"/>
      <w:lvlText w:val="(%2)"/>
      <w:numFmt w:val="lowerLetter"/>
      <w:start w:val="1"/>
    </w:lvl>
  </w:abstractNum>
  <w:abstractNum w:abstractNumId="8">
    <w:nsid w:val="7AB49DAF"/>
    <w:multiLevelType w:val="hybridMultilevel"/>
    <w:lvl w:ilvl="0">
      <w:lvlJc w:val="left"/>
      <w:lvlText w:val="(%1)"/>
      <w:numFmt w:val="lowerLetter"/>
      <w:start w:val="61"/>
    </w:lvl>
    <w:lvl w:ilvl="1">
      <w:lvlJc w:val="left"/>
      <w:lvlText w:val="(%2)"/>
      <w:numFmt w:val="lowerLetter"/>
      <w:start w:val="2"/>
    </w:lvl>
  </w:abstractNum>
  <w:abstractNum w:abstractNumId="9">
    <w:nsid w:val="759F82CD"/>
    <w:multiLevelType w:val="hybridMultilevel"/>
    <w:lvl w:ilvl="0">
      <w:lvlJc w:val="left"/>
      <w:lvlText w:val="(%1)"/>
      <w:numFmt w:val="upperLetter"/>
      <w:start w:val="2"/>
    </w:lvl>
  </w:abstractNum>
  <w:abstractNum w:abstractNumId="10">
    <w:nsid w:val="61E74EA3"/>
    <w:multiLevelType w:val="hybridMultilevel"/>
    <w:lvl w:ilvl="0">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
      <w:numFmt w:val="bullet"/>
      <w:start w:val="1"/>
    </w:lvl>
  </w:abstractNum>
  <w:abstractNum w:abstractNumId="13">
    <w:nsid w:val="57C7D42D"/>
    <w:multiLevelType w:val="hybridMultilevel"/>
    <w:lvl w:ilvl="0">
      <w:lvlJc w:val="left"/>
      <w:lvlText w:val="(%1)"/>
      <w:numFmt w:val="lowerLetter"/>
      <w:start w:val="2"/>
    </w:lvl>
  </w:abstractNum>
  <w:abstractNum w:abstractNumId="14">
    <w:nsid w:val="312167AD"/>
    <w:multiLevelType w:val="hybridMultilevel"/>
    <w:lvl w:ilvl="0">
      <w:lvlJc w:val="left"/>
      <w:lvlText w:val="(%1)"/>
      <w:numFmt w:val="lowerLetter"/>
      <w:start w:val="5"/>
    </w:lvl>
  </w:abstractNum>
  <w:abstractNum w:abstractNumId="15">
    <w:nsid w:val="631B64D4"/>
    <w:multiLevelType w:val="hybridMultilevel"/>
    <w:lvl w:ilvl="0">
      <w:lvlJc w:val="left"/>
      <w:lvlText w:val="(%1)"/>
      <w:numFmt w:val="lowerLetter"/>
      <w:start w:val="1"/>
    </w:lvl>
  </w:abstractNum>
  <w:abstractNum w:abstractNumId="16">
    <w:nsid w:val="78B5E776"/>
    <w:multiLevelType w:val="hybridMultilevel"/>
    <w:lvl w:ilvl="0">
      <w:lvlJc w:val="left"/>
      <w:lvlText w:val="(%1)"/>
      <w:numFmt w:val="lowerLetter"/>
      <w:start w:val="3"/>
    </w:lvl>
  </w:abstractNum>
  <w:abstractNum w:abstractNumId="17">
    <w:nsid w:val="75486E47"/>
    <w:multiLevelType w:val="hybridMultilevel"/>
    <w:lvl w:ilvl="0">
      <w:lvlJc w:val="left"/>
      <w:lvlText w:val="(%1)"/>
      <w:numFmt w:val="lowerLetter"/>
      <w:start w:val="1"/>
    </w:lvl>
    <w:lvl w:ilvl="1">
      <w:lvlJc w:val="left"/>
      <w:lvlText w:val="(%2)"/>
      <w:numFmt w:val="lowerRoman"/>
      <w:start w:val="1"/>
    </w:lvl>
  </w:abstractNum>
  <w:abstractNum w:abstractNumId="18">
    <w:nsid w:val="6E534CDE"/>
    <w:multiLevelType w:val="hybridMultilevel"/>
    <w:lvl w:ilvl="0">
      <w:lvlJc w:val="left"/>
      <w:lvlText w:val="(%1)"/>
      <w:numFmt w:val="lowerLetter"/>
      <w:start w:val="4"/>
    </w:lvl>
  </w:abstractNum>
  <w:abstractNum w:abstractNumId="19">
    <w:nsid w:val="1A0DDE32"/>
    <w:multiLevelType w:val="hybridMultilevel"/>
    <w:lvl w:ilvl="0">
      <w:lvlJc w:val="left"/>
      <w:lvlText w:val="(%1)"/>
      <w:numFmt w:val="lowerLetter"/>
      <w:start w:val="1"/>
    </w:lvl>
  </w:abstractNum>
  <w:abstractNum w:abstractNumId="20">
    <w:nsid w:val="65968C1C"/>
    <w:multiLevelType w:val="hybridMultilevel"/>
    <w:lvl w:ilvl="0">
      <w:lvlJc w:val="left"/>
      <w:lvlText w:val="(%1)"/>
      <w:numFmt w:val="lowerLetter"/>
      <w:start w:val="2"/>
    </w:lvl>
  </w:abstractNum>
  <w:abstractNum w:abstractNumId="21">
    <w:nsid w:val="46263DEC"/>
    <w:multiLevelType w:val="hybridMultilevel"/>
    <w:lvl w:ilvl="0">
      <w:lvlJc w:val="left"/>
      <w:lvlText w:val="(%1)"/>
      <w:numFmt w:val="lowerLetter"/>
      <w:start w:val="1"/>
    </w:lvl>
  </w:abstractNum>
  <w:abstractNum w:abstractNumId="22">
    <w:nsid w:val="260D8C4A"/>
    <w:multiLevelType w:val="hybridMultilevel"/>
    <w:lvl w:ilvl="0">
      <w:lvlJc w:val="left"/>
      <w:lvlText w:val="(%1)"/>
      <w:numFmt w:val="lowerLetter"/>
      <w:start w:val="1"/>
    </w:lvl>
  </w:abstractNum>
  <w:abstractNum w:abstractNumId="23">
    <w:nsid w:val="73D4D3C4"/>
    <w:multiLevelType w:val="hybridMultilevel"/>
    <w:lvl w:ilvl="0">
      <w:lvlJc w:val="left"/>
      <w:lvlText w:val="(%1)"/>
      <w:numFmt w:val="lowerLetter"/>
      <w:start w:val="2"/>
    </w:lvl>
  </w:abstractNum>
  <w:abstractNum w:abstractNumId="24">
    <w:nsid w:val="746F2E30"/>
    <w:multiLevelType w:val="hybridMultilevel"/>
    <w:lvl w:ilvl="0">
      <w:lvlJc w:val="left"/>
      <w:lvlText w:val="(%1)"/>
      <w:numFmt w:val="lowerLetter"/>
      <w:start w:val="1"/>
    </w:lvl>
  </w:abstractNum>
  <w:abstractNum w:abstractNumId="25">
    <w:nsid w:val="6FDE8AF6"/>
    <w:multiLevelType w:val="hybridMultilevel"/>
    <w:lvl w:ilvl="0">
      <w:lvlJc w:val="left"/>
      <w:lvlText w:val="(%1)"/>
      <w:numFmt w:val="lowerLetter"/>
      <w:start w:val="2"/>
    </w:lvl>
  </w:abstractNum>
  <w:abstractNum w:abstractNumId="26">
    <w:nsid w:val="3FC32E20"/>
    <w:multiLevelType w:val="hybridMultilevel"/>
    <w:lvl w:ilvl="0">
      <w:lvlJc w:val="left"/>
      <w:lvlText w:val="(%1)"/>
      <w:numFmt w:val="lowerLetter"/>
      <w:start w:val="1"/>
    </w:lvl>
  </w:abstractNum>
  <w:abstractNum w:abstractNumId="27">
    <w:nsid w:val="49C0E823"/>
    <w:multiLevelType w:val="hybridMultilevel"/>
    <w:lvl w:ilvl="0">
      <w:lvlJc w:val="left"/>
      <w:lvlText w:val="(%1)"/>
      <w:numFmt w:val="lowerRoman"/>
      <w:start w:val="1"/>
    </w:lvl>
  </w:abstractNum>
  <w:abstractNum w:abstractNumId="28">
    <w:nsid w:val="14D53685"/>
    <w:multiLevelType w:val="hybridMultilevel"/>
    <w:lvl w:ilvl="0">
      <w:lvlJc w:val="left"/>
      <w:lvlText w:val="(%1)"/>
      <w:numFmt w:val="lowerLetter"/>
      <w:start w:val="1"/>
    </w:lvl>
    <w:lvl w:ilvl="1">
      <w:lvlJc w:val="left"/>
      <w:lvlText w:val="(%2)"/>
      <w:numFmt w:val="lowerRoman"/>
      <w:start w:val="1"/>
    </w:lvl>
  </w:abstractNum>
  <w:abstractNum w:abstractNumId="29">
    <w:nsid w:val="230F856C"/>
    <w:multiLevelType w:val="hybridMultilevel"/>
    <w:lvl w:ilvl="0">
      <w:lvlJc w:val="left"/>
      <w:lvlText w:val="%1"/>
      <w:numFmt w:val="lowerLetter"/>
      <w:start w:val="1"/>
    </w:lvl>
    <w:lvl w:ilvl="1">
      <w:lvlJc w:val="left"/>
      <w:lvlText w:val="(%2)"/>
      <w:numFmt w:val="lowerLetter"/>
      <w:start w:val="22"/>
    </w:lvl>
  </w:abstractNum>
  <w:abstractNum w:abstractNumId="30">
    <w:nsid w:val="6EAA85FB"/>
    <w:multiLevelType w:val="hybridMultilevel"/>
    <w:lvl w:ilvl="0">
      <w:lvlJc w:val="left"/>
      <w:lvlText w:val="(%1)"/>
      <w:numFmt w:val="lowerLetter"/>
      <w:start w:val="2"/>
    </w:lvl>
    <w:lvl w:ilvl="1">
      <w:lvlJc w:val="left"/>
      <w:lvlText w:val="%2"/>
      <w:numFmt w:val="lowerLetter"/>
      <w:start w:val="1"/>
    </w:lvl>
  </w:abstractNum>
  <w:abstractNum w:abstractNumId="31">
    <w:nsid w:val="3F06ECB2"/>
    <w:multiLevelType w:val="hybridMultilevel"/>
    <w:lvl w:ilvl="0">
      <w:lvlJc w:val="left"/>
      <w:lvlText w:val="(%1)"/>
      <w:numFmt w:val="lowerLetter"/>
      <w:start w:val="1"/>
    </w:lvl>
  </w:abstractNum>
  <w:abstractNum w:abstractNumId="32">
    <w:nsid w:val="3B594807"/>
    <w:multiLevelType w:val="hybridMultilevel"/>
    <w:lvl w:ilvl="0">
      <w:lvlJc w:val="left"/>
      <w:lvlText w:val="%1"/>
      <w:numFmt w:val="lowerLetter"/>
      <w:start w:val="1"/>
    </w:lvl>
    <w:lvl w:ilvl="1">
      <w:lvlJc w:val="left"/>
      <w:lvlText w:val="(%2)"/>
      <w:numFmt w:val="lowerLetter"/>
      <w:start w:val="3"/>
    </w:lvl>
  </w:abstractNum>
  <w:abstractNum w:abstractNumId="33">
    <w:nsid w:val="6CAA2304"/>
    <w:multiLevelType w:val="hybridMultilevel"/>
    <w:lvl w:ilvl="0">
      <w:lvlJc w:val="left"/>
      <w:lvlText w:val="(%1)"/>
      <w:numFmt w:val="lowerLetter"/>
      <w:start w:val="61"/>
    </w:lvl>
    <w:lvl w:ilvl="1">
      <w:lvlJc w:val="left"/>
      <w:lvlText w:val="(%2)"/>
      <w:numFmt w:val="lowerLetter"/>
      <w:start w:val="4"/>
    </w:lvl>
  </w:abstractNum>
  <w:abstractNum w:abstractNumId="34">
    <w:nsid w:val="3F7C2FF4"/>
    <w:multiLevelType w:val="hybridMultilevel"/>
    <w:lvl w:ilvl="0">
      <w:lvlJc w:val="left"/>
      <w:lvlText w:val="%1"/>
      <w:numFmt w:val="lowerLetter"/>
      <w:start w:val="1"/>
    </w:lvl>
    <w:lvl w:ilvl="1">
      <w:lvlJc w:val="left"/>
      <w:lvlText w:val="(%2)"/>
      <w:numFmt w:val="lowerLetter"/>
      <w:start w:val="5"/>
    </w:lvl>
  </w:abstractNum>
  <w:abstractNum w:abstractNumId="35">
    <w:nsid w:val="25413BEC"/>
    <w:multiLevelType w:val="hybridMultilevel"/>
    <w:lvl w:ilvl="0">
      <w:lvlJc w:val="left"/>
      <w:lvlText w:val="(%1)"/>
      <w:numFmt w:val="lowerLetter"/>
      <w:start w:val="35"/>
    </w:lvl>
    <w:lvl w:ilvl="1">
      <w:lvlJc w:val="left"/>
      <w:lvlText w:val="(%2)"/>
      <w:numFmt w:val="lowerLetter"/>
      <w:start w:val="6"/>
    </w:lvl>
  </w:abstractNum>
  <w:abstractNum w:abstractNumId="36">
    <w:nsid w:val="17180B0B"/>
    <w:multiLevelType w:val="hybridMultilevel"/>
    <w:lvl w:ilvl="0">
      <w:lvlJc w:val="left"/>
      <w:lvlText w:val="(%1)"/>
      <w:numFmt w:val="lowerLetter"/>
      <w:start w:val="1"/>
    </w:lvl>
  </w:abstractNum>
  <w:abstractNum w:abstractNumId="37">
    <w:nsid w:val="579328B9"/>
    <w:multiLevelType w:val="hybridMultilevel"/>
    <w:lvl w:ilvl="0">
      <w:lvlJc w:val="left"/>
      <w:lvlText w:val="%1"/>
      <w:numFmt w:val="lowerLetter"/>
      <w:start w:val="1"/>
    </w:lvl>
    <w:lvl w:ilvl="1">
      <w:lvlJc w:val="left"/>
      <w:lvlText w:val="(%2)"/>
      <w:numFmt w:val="lowerLetter"/>
      <w:start w:val="3"/>
    </w:lvl>
  </w:abstractNum>
  <w:abstractNum w:abstractNumId="38">
    <w:nsid w:val="5D205E20"/>
    <w:multiLevelType w:val="hybridMultilevel"/>
    <w:lvl w:ilvl="0">
      <w:lvlJc w:val="left"/>
      <w:lvlText w:val="(%1)"/>
      <w:numFmt w:val="lowerLetter"/>
      <w:start w:val="9"/>
    </w:lvl>
    <w:lvl w:ilvl="1">
      <w:lvlJc w:val="left"/>
      <w:lvlText w:val="%2"/>
      <w:numFmt w:val="lowerLetter"/>
      <w:start w:val="1"/>
    </w:lvl>
  </w:abstractNum>
  <w:abstractNum w:abstractNumId="39">
    <w:nsid w:val="11CCA8BA"/>
    <w:multiLevelType w:val="hybridMultilevel"/>
    <w:lvl w:ilvl="0">
      <w:lvlJc w:val="left"/>
      <w:lvlText w:val="(%1)"/>
      <w:numFmt w:val="lowerLetter"/>
      <w:start w:val="61"/>
    </w:lvl>
    <w:lvl w:ilvl="1">
      <w:lvlJc w:val="left"/>
      <w:lvlText w:val="(%2)"/>
      <w:numFmt w:val="lowerLetter"/>
      <w:start w:val="5"/>
    </w:lvl>
  </w:abstractNum>
  <w:abstractNum w:abstractNumId="40">
    <w:nsid w:val="4D32AB86"/>
    <w:multiLevelType w:val="hybridMultilevel"/>
    <w:lvl w:ilvl="0">
      <w:lvlJc w:val="left"/>
      <w:lvlText w:val="(%1)"/>
      <w:numFmt w:val="lowerLetter"/>
      <w:start w:val="1"/>
    </w:lvl>
  </w:abstractNum>
  <w:abstractNum w:abstractNumId="41">
    <w:nsid w:val="3F07ACC3"/>
    <w:multiLevelType w:val="hybridMultilevel"/>
    <w:lvl w:ilvl="0">
      <w:lvlJc w:val="left"/>
      <w:lvlText w:val="%1"/>
      <w:numFmt w:val="upperLetter"/>
      <w:start w:val="1"/>
    </w:lvl>
    <w:lvl w:ilvl="1">
      <w:lvlJc w:val="left"/>
      <w:lvlText w:val="(%2)"/>
      <w:numFmt w:val="lowerLetter"/>
      <w:start w:val="1"/>
    </w:lvl>
  </w:abstractNum>
  <w:abstractNum w:abstractNumId="42">
    <w:nsid w:val="6B47F63E"/>
    <w:multiLevelType w:val="hybridMultilevel"/>
    <w:lvl w:ilvl="0">
      <w:lvlJc w:val="left"/>
      <w:lvlText w:val="(%1)"/>
      <w:numFmt w:val="upperLetter"/>
      <w:start w:val="3"/>
    </w:lvl>
    <w:lvl w:ilvl="1">
      <w:lvlJc w:val="left"/>
      <w:lvlText w:val="(%2)"/>
      <w:numFmt w:val="lowerLetter"/>
      <w:start w:val="3"/>
    </w:lvl>
  </w:abstractNum>
  <w:abstractNum w:abstractNumId="43">
    <w:nsid w:val="5CB44A05"/>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44">
    <w:nsid w:val="16CF80F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5">
    <w:nsid w:val="1C695DEC"/>
    <w:multiLevelType w:val="hybridMultilevel"/>
    <w:lvl w:ilvl="0">
      <w:lvlJc w:val="left"/>
      <w:lvlText w:val="%1"/>
      <w:numFmt w:val="lowerLetter"/>
      <w:start w:val="1"/>
    </w:lvl>
    <w:lvl w:ilvl="1">
      <w:lvlJc w:val="left"/>
      <w:lvlText w:val="(%2)"/>
      <w:numFmt w:val="lowerRoman"/>
      <w:start w:val="6"/>
    </w:lvl>
  </w:abstractNum>
  <w:abstractNum w:abstractNumId="46">
    <w:nsid w:val="3FCFAED9"/>
    <w:multiLevelType w:val="hybridMultilevel"/>
    <w:lvl w:ilvl="0">
      <w:lvlJc w:val="left"/>
      <w:lvlText w:val="(%1)"/>
      <w:numFmt w:val="lowerLetter"/>
      <w:start w:val="6"/>
    </w:lvl>
    <w:lvl w:ilvl="1">
      <w:lvlJc w:val="left"/>
      <w:lvlText w:val="%2"/>
      <w:numFmt w:val="lowerRoman"/>
      <w:start w:val="1"/>
    </w:lvl>
  </w:abstractNum>
  <w:abstractNum w:abstractNumId="47">
    <w:nsid w:val="F856867"/>
    <w:multiLevelType w:val="hybridMultilevel"/>
    <w:lvl w:ilvl="0">
      <w:lvlJc w:val="left"/>
      <w:lvlText w:val="(%1)"/>
      <w:numFmt w:val="lowerLetter"/>
      <w:start w:val="10"/>
    </w:lvl>
  </w:abstractNum>
  <w:abstractNum w:abstractNumId="48">
    <w:nsid w:val="11B1CC33"/>
    <w:multiLevelType w:val="hybridMultilevel"/>
    <w:lvl w:ilvl="0">
      <w:lvlJc w:val="left"/>
      <w:lvlText w:val="(%1)"/>
      <w:numFmt w:val="lowerLetter"/>
      <w:start w:val="1"/>
    </w:lvl>
    <w:lvl w:ilvl="1">
      <w:lvlJc w:val="left"/>
      <w:lvlText w:val="(%2)"/>
      <w:numFmt w:val="lowerLetter"/>
      <w:start w:val="9"/>
    </w:lvl>
  </w:abstractNum>
  <w:abstractNum w:abstractNumId="49">
    <w:nsid w:val="2E22FBB7"/>
    <w:multiLevelType w:val="hybridMultilevel"/>
    <w:lvl w:ilvl="0">
      <w:lvlJc w:val="left"/>
      <w:lvlText w:val="(%1)"/>
      <w:numFmt w:val="lowerRoman"/>
      <w:start w:val="2"/>
    </w:lvl>
  </w:abstractNum>
  <w:abstractNum w:abstractNumId="50">
    <w:nsid w:val="29934699"/>
    <w:multiLevelType w:val="hybridMultilevel"/>
    <w:lvl w:ilvl="0">
      <w:lvlJc w:val="left"/>
      <w:lvlText w:val="%1"/>
      <w:numFmt w:val="lowerLetter"/>
      <w:start w:val="1"/>
    </w:lvl>
    <w:lvl w:ilvl="1">
      <w:lvlJc w:val="left"/>
      <w:lvlText w:val="(%2)"/>
      <w:numFmt w:val="lowerRoman"/>
      <w:start w:val="10"/>
    </w:lvl>
  </w:abstractNum>
  <w:abstractNum w:abstractNumId="51">
    <w:nsid w:val="77485850"/>
    <w:multiLevelType w:val="hybridMultilevel"/>
    <w:lvl w:ilvl="0">
      <w:lvlJc w:val="left"/>
      <w:lvlText w:val="(%1)"/>
      <w:numFmt w:val="lowerLetter"/>
      <w:start w:val="2"/>
    </w:lvl>
    <w:lvl w:ilvl="1">
      <w:lvlJc w:val="left"/>
      <w:lvlText w:val="%2"/>
      <w:numFmt w:val="lowerRoman"/>
      <w:start w:val="1"/>
    </w:lvl>
  </w:abstractNum>
  <w:abstractNum w:abstractNumId="52">
    <w:nsid w:val="744939A3"/>
    <w:multiLevelType w:val="hybridMultilevel"/>
    <w:lvl w:ilvl="0">
      <w:lvlJc w:val="left"/>
      <w:lvlText w:val="(%1)"/>
      <w:numFmt w:val="lowerLetter"/>
      <w:start w:val="1"/>
    </w:lvl>
  </w:abstractNum>
  <w:abstractNum w:abstractNumId="53">
    <w:nsid w:val="4FA0D2E3"/>
    <w:multiLevelType w:val="hybridMultilevel"/>
    <w:lvl w:ilvl="0">
      <w:lvlJc w:val="left"/>
      <w:lvlText w:val="(%1)"/>
      <w:numFmt w:val="lowerLetter"/>
      <w:start w:val="5"/>
    </w:lvl>
  </w:abstractNum>
  <w:abstractNum w:abstractNumId="54">
    <w:nsid w:val="6B1D2C14"/>
    <w:multiLevelType w:val="hybridMultilevel"/>
    <w:lvl w:ilvl="0">
      <w:lvlJc w:val="left"/>
      <w:lvlText w:val="(%1)"/>
      <w:numFmt w:val="lowerLetter"/>
      <w:start w:val="7"/>
    </w:lvl>
  </w:abstractNum>
  <w:abstractNum w:abstractNumId="55">
    <w:nsid w:val="68B867D3"/>
    <w:multiLevelType w:val="hybridMultilevel"/>
    <w:lvl w:ilvl="0">
      <w:lvlJc w:val="left"/>
      <w:lvlText w:val="(%1)"/>
      <w:numFmt w:val="lowerLetter"/>
      <w:start w:val="1"/>
    </w:lvl>
  </w:abstractNum>
  <w:abstractNum w:abstractNumId="56">
    <w:nsid w:val="3F7F5DD9"/>
    <w:multiLevelType w:val="hybridMultilevel"/>
    <w:lvl w:ilvl="0">
      <w:lvlJc w:val="left"/>
      <w:lvlText w:val="(%1)"/>
      <w:numFmt w:val="lowerLetter"/>
      <w:start w:val="1"/>
    </w:lvl>
  </w:abstractNum>
  <w:abstractNum w:abstractNumId="57">
    <w:nsid w:val="2AE05A34"/>
    <w:multiLevelType w:val="hybridMultilevel"/>
    <w:lvl w:ilvl="0">
      <w:lvlJc w:val="left"/>
      <w:lvlText w:val="%1"/>
      <w:numFmt w:val="lowerRoman"/>
      <w:start w:val="1"/>
    </w:lvl>
    <w:lvl w:ilvl="1">
      <w:lvlJc w:val="left"/>
      <w:lvlText w:val="(%2)"/>
      <w:numFmt w:val="lowerLetter"/>
      <w:start w:val="10"/>
    </w:lvl>
  </w:abstractNum>
  <w:abstractNum w:abstractNumId="58">
    <w:nsid w:val="32794FF7"/>
    <w:multiLevelType w:val="hybridMultilevel"/>
    <w:lvl w:ilvl="0">
      <w:lvlJc w:val="left"/>
      <w:lvlText w:val="(%1)"/>
      <w:numFmt w:val="lowerRoman"/>
      <w:start w:val="4"/>
    </w:lvl>
    <w:lvl w:ilvl="1">
      <w:lvlJc w:val="left"/>
      <w:lvlText w:val="(%2)"/>
      <w:numFmt w:val="lowerLetter"/>
      <w:start w:val="15"/>
    </w:lvl>
  </w:abstractNum>
  <w:abstractNum w:abstractNumId="59">
    <w:nsid w:val="5454945E"/>
    <w:multiLevelType w:val="hybridMultilevel"/>
    <w:lvl w:ilvl="0">
      <w:lvlJc w:val="left"/>
      <w:lvlText w:val="(%1)"/>
      <w:numFmt w:val="lowerLetter"/>
      <w:start w:val="1"/>
    </w:lvl>
  </w:abstractNum>
  <w:abstractNum w:abstractNumId="60">
    <w:nsid w:val="4DEFDFA0"/>
    <w:multiLevelType w:val="hybridMultilevel"/>
    <w:lvl w:ilvl="0">
      <w:lvlJc w:val="left"/>
      <w:lvlText w:val="(%1)"/>
      <w:numFmt w:val="lowerLetter"/>
      <w:start w:val="3"/>
    </w:lvl>
  </w:abstractNum>
  <w:abstractNum w:abstractNumId="61">
    <w:nsid w:val="2123D5F2"/>
    <w:multiLevelType w:val="hybridMultilevel"/>
    <w:lvl w:ilvl="0">
      <w:lvlJc w:val="left"/>
      <w:lvlText w:val="(%1)"/>
      <w:numFmt w:val="lowerLetter"/>
      <w:start w:val="10"/>
    </w:lvl>
  </w:abstractNum>
  <w:abstractNum w:abstractNumId="62">
    <w:nsid w:val="135B8110"/>
    <w:multiLevelType w:val="hybridMultilevel"/>
    <w:lvl w:ilvl="0">
      <w:lvlJc w:val="left"/>
      <w:lvlText w:val="(%1)"/>
      <w:numFmt w:val="lowerLetter"/>
      <w:start w:val="15"/>
    </w:lvl>
  </w:abstractNum>
  <w:abstractNum w:abstractNumId="63">
    <w:nsid w:val="94927A8"/>
    <w:multiLevelType w:val="hybridMultilevel"/>
    <w:lvl w:ilvl="0">
      <w:lvlJc w:val="left"/>
      <w:lvlText w:val="(%1)"/>
      <w:numFmt w:val="lowerLetter"/>
      <w:start w:val="1"/>
    </w:lvl>
  </w:abstractNum>
  <w:abstractNum w:abstractNumId="64">
    <w:nsid w:val="DCDF8F6"/>
    <w:multiLevelType w:val="hybridMultilevel"/>
    <w:lvl w:ilvl="0">
      <w:lvlJc w:val="left"/>
      <w:lvlText w:val="(%1)"/>
      <w:numFmt w:val="lowerLetter"/>
      <w:start w:val="2"/>
    </w:lvl>
  </w:abstractNum>
  <w:abstractNum w:abstractNumId="65">
    <w:nsid w:val="52D7B105"/>
    <w:multiLevelType w:val="hybridMultilevel"/>
    <w:lvl w:ilvl="0">
      <w:lvlJc w:val="left"/>
      <w:lvlText w:val="(%1)"/>
      <w:numFmt w:val="lowerLetter"/>
      <w:start w:val="5"/>
    </w:lvl>
  </w:abstractNum>
  <w:abstractNum w:abstractNumId="66">
    <w:nsid w:val="2E8A6394"/>
    <w:multiLevelType w:val="hybridMultilevel"/>
    <w:lvl w:ilvl="0">
      <w:lvlJc w:val="left"/>
      <w:lvlText w:val="(%1)"/>
      <w:numFmt w:val="lowerLetter"/>
      <w:start w:val="1"/>
    </w:lvl>
    <w:lvl w:ilvl="1">
      <w:lvlJc w:val="left"/>
      <w:lvlText w:val="(%2)"/>
      <w:numFmt w:val="lowerRoman"/>
      <w:start w:val="1"/>
    </w:lvl>
  </w:abstractNum>
  <w:abstractNum w:abstractNumId="67">
    <w:nsid w:val="24E60401"/>
    <w:multiLevelType w:val="hybridMultilevel"/>
    <w:lvl w:ilvl="0">
      <w:lvlJc w:val="left"/>
      <w:lvlText w:val="(%1)"/>
      <w:numFmt w:val="lowerLetter"/>
      <w:start w:val="2"/>
    </w:lvl>
  </w:abstractNum>
  <w:abstractNum w:abstractNumId="68">
    <w:nsid w:val="2A6AD9BE"/>
    <w:multiLevelType w:val="hybridMultilevel"/>
    <w:lvl w:ilvl="0">
      <w:lvlJc w:val="left"/>
      <w:lvlText w:val="(%1)"/>
      <w:numFmt w:val="lowerLetter"/>
      <w:start w:val="1"/>
    </w:lvl>
  </w:abstractNum>
  <w:abstractNum w:abstractNumId="69">
    <w:nsid w:val="BAAC1B4"/>
    <w:multiLevelType w:val="hybridMultilevel"/>
    <w:lvl w:ilvl="0">
      <w:lvlJc w:val="left"/>
      <w:lvlText w:val="(%1)"/>
      <w:numFmt w:val="lowerLetter"/>
      <w:start w:val="4"/>
    </w:lvl>
  </w:abstractNum>
  <w:abstractNum w:abstractNumId="70">
    <w:nsid w:val="36B2ACBC"/>
    <w:multiLevelType w:val="hybridMultilevel"/>
    <w:lvl w:ilvl="0">
      <w:lvlJc w:val="left"/>
      <w:lvlText w:val="(%1)"/>
      <w:numFmt w:val="lowerLetter"/>
      <w:start w:val="1"/>
    </w:lvl>
  </w:abstractNum>
  <w:abstractNum w:abstractNumId="71">
    <w:nsid w:val="779D8544"/>
    <w:multiLevelType w:val="hybridMultilevel"/>
    <w:lvl w:ilvl="0">
      <w:lvlJc w:val="left"/>
      <w:lvlText w:val="%1"/>
      <w:numFmt w:val="lowerLetter"/>
      <w:start w:val="1"/>
    </w:lvl>
    <w:lvl w:ilvl="1">
      <w:lvlJc w:val="left"/>
      <w:lvlText w:val="(%2)"/>
      <w:numFmt w:val="lowerLetter"/>
      <w:start w:val="2"/>
    </w:lvl>
  </w:abstractNum>
  <w:abstractNum w:abstractNumId="72">
    <w:nsid w:val="4AB26E78"/>
    <w:multiLevelType w:val="hybridMultilevel"/>
    <w:lvl w:ilvl="0">
      <w:lvlJc w:val="left"/>
      <w:lvlText w:val="(%1)"/>
      <w:numFmt w:val="lowerLetter"/>
      <w:start w:val="9"/>
    </w:lvl>
    <w:lvl w:ilvl="1">
      <w:lvlJc w:val="left"/>
      <w:lvlText w:val="(%2)"/>
      <w:numFmt w:val="lowerLetter"/>
      <w:start w:val="3"/>
    </w:lvl>
  </w:abstractNum>
  <w:abstractNum w:abstractNumId="73">
    <w:nsid w:val="21FAA2FA"/>
    <w:multiLevelType w:val="hybridMultilevel"/>
    <w:lvl w:ilvl="0">
      <w:lvlJc w:val="left"/>
      <w:lvlText w:val="(%1)"/>
      <w:numFmt w:val="lowerLetter"/>
      <w:start w:val="4"/>
    </w:lvl>
  </w:abstractNum>
  <w:abstractNum w:abstractNumId="74">
    <w:nsid w:val="5451CF49"/>
    <w:multiLevelType w:val="hybridMultilevel"/>
    <w:lvl w:ilvl="0">
      <w:lvlJc w:val="left"/>
      <w:lvlText w:val="(%1)"/>
      <w:numFmt w:val="lowerLetter"/>
      <w:start w:val="7"/>
    </w:lvl>
  </w:abstractNum>
  <w:abstractNum w:abstractNumId="75">
    <w:nsid w:val="6181EF69"/>
    <w:multiLevelType w:val="hybridMultilevel"/>
    <w:lvl w:ilvl="0">
      <w:lvlJc w:val="left"/>
      <w:lvlText w:val="(%1)"/>
      <w:numFmt w:val="lowerLetter"/>
      <w:start w:val="1"/>
    </w:lvl>
  </w:abstractNum>
  <w:abstractNum w:abstractNumId="76">
    <w:nsid w:val="3E6400E6"/>
    <w:multiLevelType w:val="hybridMultilevel"/>
    <w:lvl w:ilvl="0">
      <w:lvlJc w:val="left"/>
      <w:lvlText w:val="(%1)"/>
      <w:numFmt w:val="lowerLetter"/>
      <w:start w:val="6"/>
    </w:lvl>
  </w:abstractNum>
  <w:abstractNum w:abstractNumId="77">
    <w:nsid w:val="14217E23"/>
    <w:multiLevelType w:val="hybridMultilevel"/>
    <w:lvl w:ilvl="0">
      <w:lvlJc w:val="left"/>
      <w:lvlText w:val="(%1)"/>
      <w:numFmt w:val="lowerLetter"/>
      <w:start w:val="2"/>
    </w:lvl>
  </w:abstractNum>
  <w:abstractNum w:abstractNumId="78">
    <w:nsid w:val="710757D0"/>
    <w:multiLevelType w:val="hybridMultilevel"/>
    <w:lvl w:ilvl="0">
      <w:lvlJc w:val="left"/>
      <w:lvlText w:val="(%1)"/>
      <w:numFmt w:val="lowerRoman"/>
      <w:start w:val="1"/>
    </w:lvl>
  </w:abstractNum>
  <w:abstractNum w:abstractNumId="79">
    <w:nsid w:val="5015CD1A"/>
    <w:multiLevelType w:val="hybridMultilevel"/>
    <w:lvl w:ilvl="0">
      <w:lvlJc w:val="left"/>
      <w:lvlText w:val="(%1)"/>
      <w:numFmt w:val="lowerLetter"/>
      <w:start w:val="1"/>
    </w:lvl>
  </w:abstractNum>
  <w:abstractNum w:abstractNumId="80">
    <w:nsid w:val="424479DA"/>
    <w:multiLevelType w:val="hybridMultilevel"/>
    <w:lvl w:ilvl="0">
      <w:lvlJc w:val="left"/>
      <w:lvlText w:val="%1"/>
      <w:numFmt w:val="lowerLetter"/>
      <w:start w:val="1"/>
    </w:lvl>
    <w:lvl w:ilvl="1">
      <w:lvlJc w:val="left"/>
      <w:lvlText w:val="(%2)"/>
      <w:numFmt w:val="lowerLetter"/>
      <w:start w:val="4"/>
    </w:lvl>
  </w:abstractNum>
  <w:abstractNum w:abstractNumId="81">
    <w:nsid w:val="1A9A9E69"/>
    <w:multiLevelType w:val="hybridMultilevel"/>
    <w:lvl w:ilvl="0">
      <w:lvlJc w:val="left"/>
      <w:lvlText w:val="(%1)"/>
      <w:numFmt w:val="lowerLetter"/>
      <w:start w:val="25"/>
    </w:lvl>
    <w:lvl w:ilvl="1">
      <w:lvlJc w:val="left"/>
      <w:lvlText w:val="(%2)"/>
      <w:numFmt w:val="lowerLetter"/>
      <w:start w:val="5"/>
    </w:lvl>
  </w:abstractNum>
  <w:abstractNum w:abstractNumId="82">
    <w:nsid w:val="475E256A"/>
    <w:multiLevelType w:val="hybridMultilevel"/>
    <w:lvl w:ilvl="0">
      <w:lvlJc w:val="left"/>
      <w:lvlText w:val="(%1)"/>
      <w:numFmt w:val="lowerLetter"/>
      <w:start w:val="7"/>
    </w:lvl>
  </w:abstractNum>
  <w:abstractNum w:abstractNumId="83">
    <w:nsid w:val="368DB37E"/>
    <w:multiLevelType w:val="hybridMultilevel"/>
    <w:lvl w:ilvl="0">
      <w:lvlJc w:val="left"/>
      <w:lvlText w:val="(%1)"/>
      <w:numFmt w:val="lowerLetter"/>
      <w:start w:val="1"/>
    </w:lvl>
  </w:abstractNum>
  <w:abstractNum w:abstractNumId="84">
    <w:nsid w:val="6A3B714C"/>
    <w:multiLevelType w:val="hybridMultilevel"/>
    <w:lvl w:ilvl="0">
      <w:lvlJc w:val="left"/>
      <w:lvlText w:val="(%1)"/>
      <w:numFmt w:val="lowerLetter"/>
      <w:start w:val="1"/>
    </w:lvl>
  </w:abstractNum>
  <w:abstractNum w:abstractNumId="85">
    <w:nsid w:val="327B517E"/>
    <w:multiLevelType w:val="hybridMultilevel"/>
    <w:lvl w:ilvl="0">
      <w:lvlJc w:val="left"/>
      <w:lvlText w:val="(%1)"/>
      <w:numFmt w:val="lowerLetter"/>
      <w:start w:val="10"/>
    </w:lvl>
  </w:abstractNum>
  <w:abstractNum w:abstractNumId="86">
    <w:nsid w:val="1F461B51"/>
    <w:multiLevelType w:val="hybridMultilevel"/>
    <w:lvl w:ilvl="0">
      <w:lvlJc w:val="left"/>
      <w:lvlText w:val="(%1)"/>
      <w:numFmt w:val="lowerLetter"/>
      <w:start w:val="1"/>
    </w:lvl>
  </w:abstractNum>
  <w:abstractNum w:abstractNumId="87">
    <w:nsid w:val="29BACF25"/>
    <w:multiLevelType w:val="hybridMultilevel"/>
    <w:lvl w:ilvl="0">
      <w:lvlJc w:val="left"/>
      <w:lvlText w:val="(%1)"/>
      <w:numFmt w:val="lowerLetter"/>
      <w:start w:val="5"/>
    </w:lvl>
  </w:abstractNum>
  <w:abstractNum w:abstractNumId="88">
    <w:nsid w:val="5D5BABB3"/>
    <w:multiLevelType w:val="hybridMultilevel"/>
    <w:lvl w:ilvl="0">
      <w:lvlJc w:val="left"/>
      <w:lvlText w:val="(%1)"/>
      <w:numFmt w:val="lowerLetter"/>
      <w:start w:val="12"/>
    </w:lvl>
  </w:abstractNum>
  <w:abstractNum w:abstractNumId="89">
    <w:nsid w:val="51BF6B48"/>
    <w:multiLevelType w:val="hybridMultilevel"/>
    <w:lvl w:ilvl="0">
      <w:lvlJc w:val="left"/>
      <w:lvlText w:val="(%1)"/>
      <w:numFmt w:val="lowerRoman"/>
      <w:start w:val="1"/>
    </w:lvl>
  </w:abstractNum>
  <w:abstractNum w:abstractNumId="90">
    <w:nsid w:val="7E0F6384"/>
    <w:multiLevelType w:val="hybridMultilevel"/>
    <w:lvl w:ilvl="0">
      <w:lvlJc w:val="left"/>
      <w:lvlText w:val="(%1)"/>
      <w:numFmt w:val="lowerLetter"/>
      <w:start w:val="1"/>
    </w:lvl>
  </w:abstractNum>
  <w:abstractNum w:abstractNumId="91">
    <w:nsid w:val="2B4B8B53"/>
    <w:multiLevelType w:val="hybridMultilevel"/>
    <w:lvl w:ilvl="0">
      <w:lvlJc w:val="left"/>
      <w:lvlText w:val="(%1)"/>
      <w:numFmt w:val="lowerLetter"/>
      <w:start w:val="2"/>
    </w:lvl>
    <w:lvl w:ilvl="1">
      <w:lvlJc w:val="left"/>
      <w:lvlText w:val="(%2)"/>
      <w:numFmt w:val="lowerRoman"/>
      <w:start w:val="1"/>
    </w:lvl>
  </w:abstractNum>
  <w:abstractNum w:abstractNumId="92">
    <w:nsid w:val="72E3413A"/>
    <w:multiLevelType w:val="hybridMultilevel"/>
    <w:lvl w:ilvl="0">
      <w:lvlJc w:val="left"/>
      <w:lvlText w:val="(%1)"/>
      <w:numFmt w:val="lowerRoman"/>
      <w:start w:val="7"/>
    </w:lvl>
  </w:abstractNum>
  <w:abstractNum w:abstractNumId="93">
    <w:nsid w:val="116AE494"/>
    <w:multiLevelType w:val="hybridMultilevel"/>
    <w:lvl w:ilvl="0">
      <w:lvlJc w:val="left"/>
      <w:lvlText w:val="(%1)"/>
      <w:numFmt w:val="lowerLetter"/>
      <w:start w:val="1"/>
    </w:lvl>
  </w:abstractNum>
  <w:abstractNum w:abstractNumId="94">
    <w:nsid w:val="3494B2FB"/>
    <w:multiLevelType w:val="hybridMultilevel"/>
    <w:lvl w:ilvl="0">
      <w:lvlJc w:val="left"/>
      <w:lvlText w:val="%1"/>
      <w:numFmt w:val="upperLetter"/>
      <w:start w:val="1"/>
    </w:lvl>
    <w:lvl w:ilvl="1">
      <w:lvlJc w:val="left"/>
      <w:lvlText w:val="(%2)"/>
      <w:numFmt w:val="lowerRoman"/>
      <w:start w:val="1"/>
    </w:lvl>
  </w:abstractNum>
  <w:abstractNum w:abstractNumId="95">
    <w:nsid w:val="B13A31"/>
    <w:multiLevelType w:val="hybridMultilevel"/>
    <w:lvl w:ilvl="0">
      <w:lvlJc w:val="left"/>
      <w:lvlText w:val="(%1)"/>
      <w:numFmt w:val="upperLetter"/>
      <w:start w:val="3"/>
    </w:lvl>
    <w:lvl w:ilvl="1">
      <w:lvlJc w:val="left"/>
      <w:lvlText w:val="(%2)"/>
      <w:numFmt w:val="lowerRoman"/>
      <w:start w:val="4"/>
    </w:lvl>
  </w:abstractNum>
  <w:abstractNum w:abstractNumId="96">
    <w:nsid w:val="64429599"/>
    <w:multiLevelType w:val="hybridMultilevel"/>
    <w:lvl w:ilvl="0">
      <w:lvlJc w:val="left"/>
      <w:lvlText w:val="%1"/>
      <w:numFmt w:val="lowerLetter"/>
      <w:start w:val="1"/>
    </w:lvl>
    <w:lvl w:ilvl="1">
      <w:lvlJc w:val="left"/>
      <w:lvlText w:val="(%2)"/>
      <w:numFmt w:val="lowerRoman"/>
      <w:start w:val="8"/>
    </w:lvl>
  </w:abstractNum>
  <w:abstractNum w:abstractNumId="97">
    <w:nsid w:val="631F1690"/>
    <w:multiLevelType w:val="hybridMultilevel"/>
    <w:lvl w:ilvl="0">
      <w:lvlJc w:val="left"/>
      <w:lvlText w:val="(%1)"/>
      <w:numFmt w:val="lowerLetter"/>
      <w:start w:val="3"/>
    </w:lvl>
    <w:lvl w:ilvl="1">
      <w:lvlJc w:val="left"/>
      <w:lvlText w:val="%2"/>
      <w:numFmt w:val="lowerRoman"/>
      <w:start w:val="1"/>
    </w:lvl>
  </w:abstractNum>
  <w:abstractNum w:abstractNumId="98">
    <w:nsid w:val="25973E32"/>
    <w:multiLevelType w:val="hybridMultilevel"/>
    <w:lvl w:ilvl="0">
      <w:lvlJc w:val="left"/>
      <w:lvlText w:val="(%1)"/>
      <w:numFmt w:val="lowerLetter"/>
      <w:start w:val="1"/>
    </w:lvl>
  </w:abstractNum>
  <w:abstractNum w:abstractNumId="99">
    <w:nsid w:val="EAD6F57"/>
    <w:multiLevelType w:val="hybridMultilevel"/>
    <w:lvl w:ilvl="0">
      <w:lvlJc w:val="left"/>
      <w:lvlText w:val="(%1)"/>
      <w:numFmt w:val="lowerLetter"/>
      <w:start w:val="2"/>
    </w:lvl>
  </w:abstractNum>
  <w:abstractNum w:abstractNumId="100">
    <w:nsid w:val="6EC9D844"/>
    <w:multiLevelType w:val="hybridMultilevel"/>
    <w:lvl w:ilvl="0">
      <w:lvlJc w:val="left"/>
      <w:lvlText w:val="(%1)"/>
      <w:numFmt w:val="lowerLetter"/>
      <w:start w:val="1"/>
    </w:lvl>
  </w:abstractNum>
  <w:abstractNum w:abstractNumId="101">
    <w:nsid w:val="5C49EAEE"/>
    <w:multiLevelType w:val="hybridMultilevel"/>
    <w:lvl w:ilvl="0">
      <w:lvlJc w:val="left"/>
      <w:lvlText w:val="(%1)"/>
      <w:numFmt w:val="upperLetter"/>
      <w:start w:val="1"/>
    </w:lvl>
    <w:lvl w:ilvl="1">
      <w:lvlJc w:val="left"/>
      <w:lvlText w:val="(%2)"/>
      <w:numFmt w:val="lowerLetter"/>
      <w:start w:val="2"/>
    </w:lvl>
  </w:abstractNum>
  <w:abstractNum w:abstractNumId="102">
    <w:nsid w:val="64AF49B"/>
    <w:multiLevelType w:val="hybridMultilevel"/>
    <w:lvl w:ilvl="0">
      <w:lvlJc w:val="left"/>
      <w:lvlText w:val="(%1)"/>
      <w:numFmt w:val="lowerLetter"/>
      <w:start w:val="1"/>
    </w:lvl>
  </w:abstractNum>
  <w:abstractNum w:abstractNumId="103">
    <w:nsid w:val="397C46BC"/>
    <w:multiLevelType w:val="hybridMultilevel"/>
    <w:lvl w:ilvl="0">
      <w:lvlJc w:val="left"/>
      <w:lvlText w:val="%1"/>
      <w:numFmt w:val="decimal"/>
      <w:start w:val="1"/>
    </w:lvl>
    <w:lvl w:ilvl="1">
      <w:lvlJc w:val="left"/>
      <w:lvlText w:val="(%2)"/>
      <w:numFmt w:val="lowerLetter"/>
      <w:start w:val="2"/>
    </w:lvl>
  </w:abstractNum>
  <w:abstractNum w:abstractNumId="104">
    <w:nsid w:val="7E448DE9"/>
    <w:multiLevelType w:val="hybridMultilevel"/>
    <w:lvl w:ilvl="0">
      <w:lvlJc w:val="left"/>
      <w:lvlText w:val="(%1)"/>
      <w:numFmt w:val="decimal"/>
      <w:start w:val="2"/>
    </w:lvl>
    <w:lvl w:ilvl="1">
      <w:lvlJc w:val="left"/>
      <w:lvlText w:val="(%2)"/>
      <w:numFmt w:val="lowerLetter"/>
      <w:start w:val="5"/>
    </w:lvl>
  </w:abstractNum>
  <w:abstractNum w:abstractNumId="105">
    <w:nsid w:val="5A9CC3E5"/>
    <w:multiLevelType w:val="hybridMultilevel"/>
    <w:lvl w:ilvl="0">
      <w:lvlJc w:val="left"/>
      <w:lvlText w:val="%1"/>
      <w:numFmt w:val="lowerLetter"/>
      <w:start w:val="1"/>
    </w:lvl>
    <w:lvl w:ilvl="1">
      <w:lvlJc w:val="left"/>
      <w:lvlText w:val="(%2)"/>
      <w:numFmt w:val="lowerLetter"/>
      <w:start w:val="2"/>
    </w:lvl>
  </w:abstractNum>
  <w:abstractNum w:abstractNumId="106">
    <w:nsid w:val="1AFE3625"/>
    <w:multiLevelType w:val="hybridMultilevel"/>
    <w:lvl w:ilvl="0">
      <w:lvlJc w:val="left"/>
      <w:lvlText w:val="(%1)"/>
      <w:numFmt w:val="lowerLetter"/>
      <w:start w:val="61"/>
    </w:lvl>
    <w:lvl w:ilvl="1">
      <w:lvlJc w:val="left"/>
      <w:lvlText w:val="(%2)"/>
      <w:numFmt w:val="lowerLetter"/>
      <w:start w:val="3"/>
    </w:lvl>
  </w:abstractNum>
  <w:abstractNum w:abstractNumId="107">
    <w:nsid w:val="3CA88ECF"/>
    <w:multiLevelType w:val="hybridMultilevel"/>
    <w:lvl w:ilvl="0">
      <w:lvlJc w:val="left"/>
      <w:lvlText w:val="(%1)"/>
      <w:numFmt w:val="lowerLetter"/>
      <w:start w:val="5"/>
    </w:lvl>
  </w:abstractNum>
  <w:abstractNum w:abstractNumId="108">
    <w:nsid w:val="6EBE4208"/>
    <w:multiLevelType w:val="hybridMultilevel"/>
    <w:lvl w:ilvl="0">
      <w:lvlJc w:val="left"/>
      <w:lvlText w:val="(%1)"/>
      <w:numFmt w:val="lowerLetter"/>
      <w:start w:val="1"/>
    </w:lvl>
  </w:abstractNum>
  <w:abstractNum w:abstractNumId="109">
    <w:nsid w:val="C058DF5"/>
    <w:multiLevelType w:val="hybridMultilevel"/>
    <w:lvl w:ilvl="0">
      <w:lvlJc w:val="left"/>
      <w:lvlText w:val="(%1)"/>
      <w:numFmt w:val="decimal"/>
      <w:start w:val="2"/>
    </w:lvl>
    <w:lvl w:ilvl="1">
      <w:lvlJc w:val="left"/>
      <w:lvlText w:val="(%2)"/>
      <w:numFmt w:val="lowerLetter"/>
      <w:start w:val="4"/>
    </w:lvl>
  </w:abstractNum>
  <w:abstractNum w:abstractNumId="110">
    <w:nsid w:val="CBE5BE9"/>
    <w:multiLevelType w:val="hybridMultilevel"/>
    <w:lvl w:ilvl="0">
      <w:lvlJc w:val="left"/>
      <w:lvlText w:val="(%1)"/>
      <w:numFmt w:val="lowerLetter"/>
      <w:start w:val="1"/>
    </w:lvl>
  </w:abstractNum>
  <w:abstractNum w:abstractNumId="111">
    <w:nsid w:val="3102BBE2"/>
    <w:multiLevelType w:val="hybridMultilevel"/>
    <w:lvl w:ilvl="0">
      <w:lvlJc w:val="left"/>
      <w:lvlText w:val="(%1)"/>
      <w:numFmt w:val="lowerLetter"/>
      <w:start w:val="2"/>
    </w:lvl>
  </w:abstractNum>
  <w:abstractNum w:abstractNumId="112">
    <w:nsid w:val="26A02C5E"/>
    <w:multiLevelType w:val="hybridMultilevel"/>
    <w:lvl w:ilvl="0">
      <w:lvlJc w:val="left"/>
      <w:lvlText w:val="%1"/>
      <w:numFmt w:val="upperLetter"/>
      <w:start w:val="1"/>
    </w:lvl>
    <w:lvl w:ilvl="1">
      <w:lvlJc w:val="left"/>
      <w:lvlText w:val="(%2)"/>
      <w:numFmt w:val="lowerLetter"/>
      <w:start w:val="1"/>
    </w:lvl>
  </w:abstractNum>
  <w:abstractNum w:abstractNumId="113">
    <w:nsid w:val="541C8153"/>
    <w:multiLevelType w:val="hybridMultilevel"/>
    <w:lvl w:ilvl="0">
      <w:lvlJc w:val="left"/>
      <w:lvlText w:val="(%1)"/>
      <w:numFmt w:val="upperLetter"/>
      <w:start w:val="1"/>
    </w:lvl>
    <w:lvl w:ilvl="1">
      <w:lvlJc w:val="left"/>
      <w:lvlText w:val="%2"/>
      <w:numFmt w:val="lowerLetter"/>
      <w:start w:val="1"/>
    </w:lvl>
  </w:abstractNum>
  <w:abstractNum w:abstractNumId="114">
    <w:nsid w:val="67906F60"/>
    <w:multiLevelType w:val="hybridMultilevel"/>
    <w:lvl w:ilvl="0">
      <w:lvlJc w:val="left"/>
      <w:lvlText w:val="(%1)"/>
      <w:numFmt w:val="lowerLetter"/>
      <w:start w:val="2"/>
    </w:lvl>
  </w:abstractNum>
  <w:abstractNum w:abstractNumId="115">
    <w:nsid w:val="10DB9DAA"/>
    <w:multiLevelType w:val="hybridMultilevel"/>
    <w:lvl w:ilvl="0">
      <w:lvlJc w:val="left"/>
      <w:lvlText w:val="(%1)"/>
      <w:numFmt w:val="lowerLetter"/>
      <w:start w:val="1"/>
    </w:lvl>
  </w:abstractNum>
  <w:abstractNum w:abstractNumId="116">
    <w:nsid w:val="697D2D2"/>
    <w:multiLevelType w:val="hybridMultilevel"/>
    <w:lvl w:ilvl="0">
      <w:lvlJc w:val="left"/>
      <w:lvlText w:val="(%1)"/>
      <w:numFmt w:val="lowerLetter"/>
      <w:start w:val="1"/>
    </w:lvl>
  </w:abstractNum>
  <w:abstractNum w:abstractNumId="117">
    <w:nsid w:val="6D68AB2"/>
    <w:multiLevelType w:val="hybridMultilevel"/>
    <w:lvl w:ilvl="0">
      <w:lvlJc w:val="left"/>
      <w:lvlText w:val="(%1)"/>
      <w:numFmt w:val="lowerLetter"/>
      <w:start w:val="5"/>
    </w:lvl>
  </w:abstractNum>
  <w:abstractNum w:abstractNumId="118">
    <w:nsid w:val="3A966CD0"/>
    <w:multiLevelType w:val="hybridMultilevel"/>
    <w:lvl w:ilvl="0">
      <w:lvlJc w:val="left"/>
      <w:lvlText w:val="(%1)"/>
      <w:numFmt w:val="lowerLetter"/>
      <w:start w:val="2"/>
    </w:lvl>
  </w:abstractNum>
  <w:abstractNum w:abstractNumId="119">
    <w:nsid w:val="63F37E85"/>
    <w:multiLevelType w:val="hybridMultilevel"/>
    <w:lvl w:ilvl="0">
      <w:lvlJc w:val="left"/>
      <w:lvlText w:val="(%1)"/>
      <w:numFmt w:val="lowerLetter"/>
      <w:start w:val="1"/>
    </w:lvl>
  </w:abstractNum>
  <w:abstractNum w:abstractNumId="120">
    <w:nsid w:val="5895F5FA"/>
    <w:multiLevelType w:val="hybridMultilevel"/>
    <w:lvl w:ilvl="0">
      <w:lvlJc w:val="left"/>
      <w:lvlText w:val="(%1)"/>
      <w:numFmt w:val="lowerLetter"/>
      <w:start w:val="1"/>
    </w:lvl>
  </w:abstractNum>
  <w:abstractNum w:abstractNumId="121">
    <w:nsid w:val="38A5D054"/>
    <w:multiLevelType w:val="hybridMultilevel"/>
    <w:lvl w:ilvl="0">
      <w:lvlJc w:val="left"/>
      <w:lvlText w:val="(%1)"/>
      <w:numFmt w:val="lowerLetter"/>
      <w:start w:val="2"/>
    </w:lvl>
  </w:abstractNum>
  <w:abstractNum w:abstractNumId="122">
    <w:nsid w:val="F3F09D8"/>
    <w:multiLevelType w:val="hybridMultilevel"/>
    <w:lvl w:ilvl="0">
      <w:lvlJc w:val="left"/>
      <w:lvlText w:val="(%1)"/>
      <w:numFmt w:val="lowerLetter"/>
      <w:start w:val="1"/>
    </w:lvl>
  </w:abstractNum>
  <w:abstractNum w:abstractNumId="123">
    <w:nsid w:val="4B793735"/>
    <w:multiLevelType w:val="hybridMultilevel"/>
    <w:lvl w:ilvl="0">
      <w:lvlJc w:val="left"/>
      <w:lvlText w:val="(%1)"/>
      <w:numFmt w:val="lowerLetter"/>
      <w:start w:val="1"/>
    </w:lvl>
  </w:abstractNum>
  <w:abstractNum w:abstractNumId="124">
    <w:nsid w:val="4A10B4E8"/>
    <w:multiLevelType w:val="hybridMultilevel"/>
    <w:lvl w:ilvl="0">
      <w:lvlJc w:val="left"/>
      <w:lvlText w:val="(%1)"/>
      <w:numFmt w:val="lowerLetter"/>
      <w:start w:val="6"/>
    </w:lvl>
  </w:abstractNum>
  <w:abstractNum w:abstractNumId="125">
    <w:nsid w:val="43D3BCD4"/>
    <w:multiLevelType w:val="hybridMultilevel"/>
    <w:lvl w:ilvl="0">
      <w:lvlJc w:val="left"/>
      <w:lvlText w:val="%1"/>
      <w:numFmt w:val="lowerLetter"/>
      <w:start w:val="1"/>
    </w:lvl>
    <w:lvl w:ilvl="1">
      <w:lvlJc w:val="left"/>
      <w:lvlText w:val="(%2)"/>
      <w:numFmt w:val="lowerLetter"/>
      <w:start w:val="1"/>
    </w:lvl>
  </w:abstractNum>
  <w:abstractNum w:abstractNumId="126">
    <w:nsid w:val="4C2A7166"/>
    <w:multiLevelType w:val="hybridMultilevel"/>
    <w:lvl w:ilvl="0">
      <w:lvlJc w:val="left"/>
      <w:lvlText w:val="(%1)"/>
      <w:numFmt w:val="lowerLetter"/>
      <w:start w:val="9"/>
    </w:lvl>
    <w:lvl w:ilvl="1">
      <w:lvlJc w:val="left"/>
      <w:lvlText w:val="(%2)"/>
      <w:numFmt w:val="lowerLetter"/>
      <w:start w:val="2"/>
    </w:lvl>
  </w:abstractNum>
  <w:abstractNum w:abstractNumId="127">
    <w:nsid w:val="2E534A82"/>
    <w:multiLevelType w:val="hybridMultilevel"/>
    <w:lvl w:ilvl="0">
      <w:lvlJc w:val="left"/>
      <w:lvlText w:val="(%1)"/>
      <w:numFmt w:val="decimal"/>
      <w:start w:val="10"/>
    </w:lvl>
    <w:lvl w:ilvl="1">
      <w:lvlJc w:val="left"/>
      <w:lvlText w:val="(%2)"/>
      <w:numFmt w:val="lowerLetter"/>
      <w:start w:val="3"/>
    </w:lvl>
  </w:abstractNum>
  <w:abstractNum w:abstractNumId="128">
    <w:nsid w:val="26F2D364"/>
    <w:multiLevelType w:val="hybridMultilevel"/>
    <w:lvl w:ilvl="0">
      <w:lvlJc w:val="left"/>
      <w:lvlText w:val="(%1)"/>
      <w:numFmt w:val="lowerLetter"/>
      <w:start w:val="5"/>
    </w:lvl>
  </w:abstractNum>
  <w:abstractNum w:abstractNumId="129">
    <w:nsid w:val="71C1AF98"/>
    <w:multiLevelType w:val="hybridMultilevel"/>
    <w:lvl w:ilvl="0">
      <w:lvlJc w:val="left"/>
      <w:lvlText w:val="(%1)"/>
      <w:numFmt w:val="lowerLetter"/>
      <w:start w:val="1"/>
    </w:lvl>
  </w:abstractNum>
  <w:abstractNum w:abstractNumId="130">
    <w:nsid w:val="3D00B9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1">
    <w:nsid w:val="15BCAB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32">
    <w:nsid w:val="4E0B9A87"/>
    <w:multiLevelType w:val="hybridMultilevel"/>
    <w:lvl w:ilvl="0">
      <w:lvlJc w:val="left"/>
      <w:lvlText w:val="%1"/>
      <w:numFmt w:val="decimal"/>
      <w:start w:val="1"/>
    </w:lvl>
    <w:lvl w:ilvl="1">
      <w:lvlJc w:val="left"/>
      <w:lvlText w:val="(%2)"/>
      <w:numFmt w:val="lowerLetter"/>
      <w:start w:val="3"/>
    </w:lvl>
  </w:abstractNum>
  <w:abstractNum w:abstractNumId="133">
    <w:nsid w:val="434BAE75"/>
    <w:multiLevelType w:val="hybridMultilevel"/>
    <w:lvl w:ilvl="0">
      <w:lvlJc w:val="left"/>
      <w:lvlText w:val="%1."/>
      <w:numFmt w:val="decimal"/>
      <w:start w:val="2"/>
    </w:lvl>
    <w:lvl w:ilvl="1">
      <w:lvlJc w:val="left"/>
      <w:lvlText w:val="(%2)"/>
      <w:numFmt w:val="lowerLetter"/>
      <w:start w:val="1"/>
    </w:lvl>
  </w:abstractNum>
  <w:abstractNum w:abstractNumId="134">
    <w:nsid w:val="4F38F26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35">
    <w:nsid w:val="4C502870"/>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2"/>
    </w:lvl>
  </w:abstractNum>
  <w:abstractNum w:abstractNumId="136">
    <w:nsid w:val="1DE8725A"/>
    <w:multiLevelType w:val="hybridMultilevel"/>
    <w:lvl w:ilvl="0">
      <w:lvlJc w:val="left"/>
      <w:lvlText w:val="%1."/>
      <w:numFmt w:val="decimal"/>
      <w:start w:val="6"/>
    </w:lvl>
    <w:lvl w:ilvl="1">
      <w:lvlJc w:val="left"/>
      <w:lvlText w:val="(%2)"/>
      <w:numFmt w:val="lowerLetter"/>
      <w:start w:val="1"/>
    </w:lvl>
  </w:abstractNum>
  <w:abstractNum w:abstractNumId="137">
    <w:nsid w:val="6A37288A"/>
    <w:multiLevelType w:val="hybridMultilevel"/>
    <w:lvl w:ilvl="0">
      <w:lvlJc w:val="left"/>
      <w:lvlText w:val="(%1)"/>
      <w:numFmt w:val="lowerLetter"/>
      <w:start w:val="2"/>
    </w:lvl>
  </w:abstractNum>
  <w:abstractNum w:abstractNumId="138">
    <w:nsid w:val="8F8B73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139">
    <w:nsid w:val="CA6B46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40">
    <w:nsid w:val="763CB680"/>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41">
    <w:nsid w:val="15B71329"/>
    <w:multiLevelType w:val="hybridMultilevel"/>
    <w:lvl w:ilvl="0">
      <w:lvlJc w:val="left"/>
      <w:lvlText w:val="%1"/>
      <w:numFmt w:val="upperLetter"/>
      <w:start w:val="1"/>
    </w:lvl>
    <w:lvl w:ilvl="1">
      <w:lvlJc w:val="left"/>
      <w:lvlText w:val="(%2)"/>
      <w:numFmt w:val="lowerLetter"/>
      <w:start w:val="5"/>
    </w:lvl>
  </w:abstractNum>
  <w:abstractNum w:abstractNumId="142">
    <w:nsid w:val="3DA97044"/>
    <w:multiLevelType w:val="hybridMultilevel"/>
    <w:lvl w:ilvl="0">
      <w:lvlJc w:val="left"/>
      <w:lvlText w:val="(%1)"/>
      <w:numFmt w:val="upperLetter"/>
      <w:start w:val="2"/>
    </w:lvl>
    <w:lvl w:ilvl="1">
      <w:lvlJc w:val="left"/>
      <w:lvlText w:val="%2"/>
      <w:numFmt w:val="lowerLetter"/>
      <w:start w:val="1"/>
    </w:lvl>
  </w:abstractNum>
  <w:abstractNum w:abstractNumId="143">
    <w:nsid w:val="1CDCE2DE"/>
    <w:multiLevelType w:val="hybridMultilevel"/>
    <w:lvl w:ilvl="0">
      <w:lvlJc w:val="left"/>
      <w:lvlText w:val="(%1)"/>
      <w:numFmt w:val="lowerLetter"/>
      <w:start w:val="11"/>
    </w:lvl>
  </w:abstractNum>
  <w:abstractNum w:abstractNumId="144">
    <w:nsid w:val="69D3947C"/>
    <w:multiLevelType w:val="hybridMultilevel"/>
    <w:lvl w:ilvl="0">
      <w:lvlJc w:val="left"/>
      <w:lvlText w:val="%1."/>
      <w:numFmt w:val="decimal"/>
      <w:start w:val="1"/>
    </w:lvl>
    <w:lvl w:ilvl="1">
      <w:lvlJc w:val="left"/>
      <w:lvlText w:val="(%2)"/>
      <w:numFmt w:val="lowerLetter"/>
      <w:start w:val="1"/>
    </w:lvl>
  </w:abstractNum>
  <w:abstractNum w:abstractNumId="145">
    <w:nsid w:val="2539DFA5"/>
    <w:multiLevelType w:val="hybridMultilevel"/>
    <w:lvl w:ilvl="0">
      <w:lvlJc w:val="left"/>
      <w:lvlText w:val="%1"/>
      <w:numFmt w:val="decimal"/>
      <w:start w:val="1"/>
    </w:lvl>
    <w:lvl w:ilvl="1">
      <w:lvlJc w:val="left"/>
      <w:lvlText w:val="(%2)"/>
      <w:numFmt w:val="lowerLetter"/>
      <w:start w:val="3"/>
    </w:lvl>
  </w:abstractNum>
  <w:abstractNum w:abstractNumId="146">
    <w:nsid w:val="2DB88089"/>
    <w:multiLevelType w:val="hybridMultilevel"/>
    <w:lvl w:ilvl="0">
      <w:lvlJc w:val="left"/>
      <w:lvlText w:val="%1."/>
      <w:numFmt w:val="decimal"/>
      <w:start w:val="2"/>
    </w:lvl>
    <w:lvl w:ilvl="1">
      <w:lvlJc w:val="left"/>
      <w:lvlText w:val="(%2)"/>
      <w:numFmt w:val="lowerLetter"/>
      <w:start w:val="1"/>
    </w:lvl>
  </w:abstractNum>
  <w:abstractNum w:abstractNumId="147">
    <w:nsid w:val="706B674E"/>
    <w:multiLevelType w:val="hybridMultilevel"/>
    <w:lvl w:ilvl="0">
      <w:lvlJc w:val="left"/>
      <w:lvlText w:val="%1."/>
      <w:numFmt w:val="decimal"/>
      <w:start w:val="3"/>
    </w:lvl>
    <w:lvl w:ilvl="1">
      <w:lvlJc w:val="left"/>
      <w:lvlText w:val="(%2)"/>
      <w:numFmt w:val="lowerLetter"/>
      <w:start w:val="1"/>
    </w:lvl>
  </w:abstractNum>
  <w:abstractNum w:abstractNumId="148">
    <w:nsid w:val="2C106A57"/>
    <w:multiLevelType w:val="hybridMultilevel"/>
    <w:lvl w:ilvl="0">
      <w:lvlJc w:val="left"/>
      <w:lvlText w:val="%1."/>
      <w:numFmt w:val="decimal"/>
      <w:start w:val="6"/>
    </w:lvl>
    <w:lvl w:ilvl="1">
      <w:lvlJc w:val="left"/>
      <w:lvlText w:val="(%2)"/>
      <w:numFmt w:val="lowerLetter"/>
      <w:start w:val="1"/>
    </w:lvl>
  </w:abstractNum>
  <w:abstractNum w:abstractNumId="149">
    <w:nsid w:val="684EED59"/>
    <w:multiLevelType w:val="hybridMultilevel"/>
    <w:lvl w:ilvl="0">
      <w:lvlJc w:val="left"/>
      <w:lvlText w:val="(%1)"/>
      <w:numFmt w:val="lowerLetter"/>
      <w:start w:val="2"/>
    </w:lvl>
  </w:abstractNum>
  <w:abstractNum w:abstractNumId="150">
    <w:nsid w:val="545EE5D3"/>
    <w:multiLevelType w:val="hybridMultilevel"/>
    <w:lvl w:ilvl="0">
      <w:lvlJc w:val="left"/>
      <w:lvlText w:val="%1"/>
      <w:numFmt w:val="decimal"/>
      <w:start w:val="1"/>
    </w:lvl>
    <w:lvl w:ilvl="1">
      <w:lvlJc w:val="left"/>
      <w:lvlText w:val="(%2)"/>
      <w:numFmt w:val="lowerLetter"/>
      <w:start w:val="6"/>
    </w:lvl>
  </w:abstractNum>
  <w:abstractNum w:abstractNumId="151">
    <w:nsid w:val="4A66051"/>
    <w:multiLevelType w:val="hybridMultilevel"/>
    <w:lvl w:ilvl="0">
      <w:lvlJc w:val="left"/>
      <w:lvlText w:val="%1."/>
      <w:numFmt w:val="decimal"/>
      <w:start w:val="10"/>
    </w:lvl>
    <w:lvl w:ilvl="1">
      <w:lvlJc w:val="left"/>
      <w:lvlText w:val="(%2)"/>
      <w:numFmt w:val="lowerLetter"/>
      <w:start w:val="1"/>
    </w:lvl>
  </w:abstractNum>
  <w:abstractNum w:abstractNumId="152">
    <w:nsid w:val="20F4BDAD"/>
    <w:multiLevelType w:val="hybridMultilevel"/>
    <w:lvl w:ilvl="0">
      <w:lvlJc w:val="left"/>
      <w:lvlText w:val="(%1)"/>
      <w:numFmt w:val="lowerLetter"/>
      <w:start w:val="5"/>
    </w:lvl>
  </w:abstractNum>
  <w:abstractNum w:abstractNumId="153">
    <w:nsid w:val="639DEFAC"/>
    <w:multiLevelType w:val="hybridMultilevel"/>
    <w:lvl w:ilvl="0">
      <w:lvlJc w:val="left"/>
      <w:lvlText w:val="(%1)"/>
      <w:numFmt w:val="lowerLetter"/>
      <w:start w:val="9"/>
    </w:lvl>
  </w:abstractNum>
  <w:abstractNum w:abstractNumId="154">
    <w:nsid w:val="501F9786"/>
    <w:multiLevelType w:val="hybridMultilevel"/>
    <w:lvl w:ilvl="0">
      <w:lvlJc w:val="left"/>
      <w:lvlText w:val="(%1)"/>
      <w:numFmt w:val="lowerLetter"/>
      <w:start w:val="13"/>
    </w:lvl>
  </w:abstractNum>
  <w:abstractNum w:abstractNumId="155">
    <w:nsid w:val="6B057295"/>
    <w:multiLevelType w:val="hybridMultilevel"/>
    <w:lvl w:ilvl="0">
      <w:lvlJc w:val="left"/>
      <w:lvlText w:val="(%1)"/>
      <w:numFmt w:val="decimal"/>
      <w:start w:val="1"/>
    </w:lvl>
  </w:abstractNum>
  <w:abstractNum w:abstractNumId="156">
    <w:nsid w:val="2771AC80"/>
    <w:multiLevelType w:val="hybridMultilevel"/>
    <w:lvl w:ilvl="0">
      <w:lvlJc w:val="left"/>
      <w:lvlText w:val="(%1)"/>
      <w:numFmt w:val="lowerLetter"/>
      <w:start w:val="1"/>
    </w:lvl>
    <w:lvl w:ilvl="1">
      <w:lvlJc w:val="left"/>
      <w:lvlText w:val="(%2)"/>
      <w:numFmt w:val="decimal"/>
      <w:start w:val="1"/>
    </w:lvl>
  </w:abstractNum>
  <w:abstractNum w:abstractNumId="157">
    <w:nsid w:val="1C4A08EC"/>
    <w:multiLevelType w:val="hybridMultilevel"/>
    <w:lvl w:ilvl="0">
      <w:lvlJc w:val="left"/>
      <w:lvlText w:val="(%1)"/>
      <w:numFmt w:val="lowerLetter"/>
      <w:start w:val="2"/>
    </w:lvl>
  </w:abstractNum>
  <w:abstractNum w:abstractNumId="158">
    <w:nsid w:val="1958BD17"/>
    <w:multiLevelType w:val="hybridMultilevel"/>
    <w:lvl w:ilvl="0">
      <w:lvlJc w:val="left"/>
      <w:lvlText w:val="(%1)"/>
      <w:numFmt w:val="lowerLetter"/>
      <w:start w:val="4"/>
    </w:lvl>
  </w:abstractNum>
  <w:abstractNum w:abstractNumId="159">
    <w:nsid w:val="4E647FE4"/>
    <w:multiLevelType w:val="hybridMultilevel"/>
    <w:lvl w:ilvl="0">
      <w:lvlJc w:val="left"/>
      <w:lvlText w:val="(%1)"/>
      <w:numFmt w:val="decimal"/>
      <w:start w:val="2"/>
    </w:lvl>
  </w:abstractNum>
  <w:abstractNum w:abstractNumId="160">
    <w:nsid w:val="E0BB885"/>
    <w:multiLevelType w:val="hybridMultilevel"/>
    <w:lvl w:ilvl="0">
      <w:lvlJc w:val="left"/>
      <w:lvlText w:val="(%1)"/>
      <w:numFmt w:val="lowerLetter"/>
      <w:start w:val="1"/>
    </w:lvl>
  </w:abstractNum>
  <w:abstractNum w:abstractNumId="161">
    <w:nsid w:val="565976F1"/>
    <w:multiLevelType w:val="hybridMultilevel"/>
    <w:lvl w:ilvl="0">
      <w:lvlJc w:val="left"/>
      <w:lvlText w:val="(%1)"/>
      <w:numFmt w:val="lowerLetter"/>
      <w:start w:val="4"/>
    </w:lvl>
  </w:abstractNum>
  <w:abstractNum w:abstractNumId="162">
    <w:nsid w:val="64212B8C"/>
    <w:multiLevelType w:val="hybridMultilevel"/>
    <w:lvl w:ilvl="0">
      <w:lvlJc w:val="left"/>
      <w:lvlText w:val="(%1)"/>
      <w:numFmt w:val="lowerLetter"/>
      <w:start w:val="1"/>
    </w:lvl>
  </w:abstractNum>
  <w:abstractNum w:abstractNumId="163">
    <w:nsid w:val="5C17530C"/>
    <w:multiLevelType w:val="hybridMultilevel"/>
    <w:lvl w:ilvl="0">
      <w:lvlJc w:val="left"/>
      <w:lvlText w:val="(%1)"/>
      <w:numFmt w:val="lowerLetter"/>
      <w:start w:val="4"/>
    </w:lvl>
  </w:abstractNum>
  <w:abstractNum w:abstractNumId="164">
    <w:nsid w:val="19A52566"/>
    <w:multiLevelType w:val="hybridMultilevel"/>
    <w:lvl w:ilvl="0">
      <w:lvlJc w:val="left"/>
      <w:lvlText w:val="(%1)"/>
      <w:numFmt w:val="lowerLetter"/>
      <w:start w:val="4"/>
    </w:lvl>
  </w:abstractNum>
  <w:abstractNum w:abstractNumId="165">
    <w:nsid w:val="335A1DF1"/>
    <w:multiLevelType w:val="hybridMultilevel"/>
    <w:lvl w:ilvl="0">
      <w:lvlJc w:val="left"/>
      <w:lvlText w:val="%1."/>
      <w:numFmt w:val="decimal"/>
      <w:start w:val="1"/>
    </w:lvl>
  </w:abstractNum>
  <w:abstractNum w:abstractNumId="166">
    <w:nsid w:val="28677B7C"/>
    <w:multiLevelType w:val="hybridMultilevel"/>
    <w:lvl w:ilvl="0">
      <w:lvlJc w:val="left"/>
      <w:lvlText w:val="%1."/>
      <w:numFmt w:val="decimal"/>
      <w:start w:val="2"/>
    </w:lvl>
    <w:lvl w:ilvl="1">
      <w:lvlJc w:val="left"/>
      <w:lvlText w:val="(%2)"/>
      <w:numFmt w:val="lowerLetter"/>
      <w:start w:val="8"/>
    </w:lvl>
    <w:lvl w:ilvl="2">
      <w:lvlJc w:val="left"/>
      <w:lvlText w:val="(%3)"/>
      <w:numFmt w:val="lowerLetter"/>
      <w:start w:val="1"/>
    </w:lvl>
  </w:abstractNum>
  <w:abstractNum w:abstractNumId="167">
    <w:nsid w:val="378D97C0"/>
    <w:multiLevelType w:val="hybridMultilevel"/>
    <w:lvl w:ilvl="0">
      <w:lvlJc w:val="left"/>
      <w:lvlText w:val="%1"/>
      <w:numFmt w:val="lowerLetter"/>
      <w:start w:val="1"/>
    </w:lvl>
    <w:lvl w:ilvl="1">
      <w:lvlJc w:val="left"/>
      <w:lvlText w:val="(%2)"/>
      <w:numFmt w:val="lowerLetter"/>
      <w:start w:val="2"/>
    </w:lvl>
  </w:abstractNum>
  <w:abstractNum w:abstractNumId="168">
    <w:nsid w:val="1D91467C"/>
    <w:multiLevelType w:val="hybridMultilevel"/>
    <w:lvl w:ilvl="0">
      <w:lvlJc w:val="left"/>
      <w:lvlText w:val="%1."/>
      <w:numFmt w:val="lowerLetter"/>
      <w:start w:val="1"/>
    </w:lvl>
    <w:lvl w:ilvl="1">
      <w:lvlJc w:val="left"/>
      <w:lvlText w:val="%2"/>
      <w:numFmt w:val="lowerLetter"/>
      <w:start w:val="1"/>
    </w:lvl>
  </w:abstractNum>
  <w:abstractNum w:abstractNumId="169">
    <w:nsid w:val="316032BB"/>
    <w:multiLevelType w:val="hybridMultilevel"/>
    <w:lvl w:ilvl="0">
      <w:lvlJc w:val="left"/>
      <w:lvlText w:val="(%1)"/>
      <w:numFmt w:val="lowerLetter"/>
      <w:start w:val="4"/>
    </w:lvl>
  </w:abstractNum>
  <w:abstractNum w:abstractNumId="170">
    <w:nsid w:val="44344C22"/>
    <w:multiLevelType w:val="hybridMultilevel"/>
    <w:lvl w:ilvl="0">
      <w:lvlJc w:val="left"/>
      <w:lvlText w:val="%1"/>
      <w:numFmt w:val="decimal"/>
      <w:start w:val="1"/>
    </w:lvl>
    <w:lvl w:ilvl="1">
      <w:lvlJc w:val="left"/>
      <w:lvlText w:val="(%2)"/>
      <w:numFmt w:val="lowerLetter"/>
      <w:start w:val="5"/>
    </w:lvl>
  </w:abstractNum>
  <w:abstractNum w:abstractNumId="171">
    <w:nsid w:val="13CDFCFC"/>
    <w:multiLevelType w:val="hybridMultilevel"/>
    <w:lvl w:ilvl="0">
      <w:lvlJc w:val="left"/>
      <w:lvlText w:val="%1."/>
      <w:numFmt w:val="decimal"/>
      <w:start w:val="3"/>
    </w:lvl>
    <w:lvl w:ilvl="1">
      <w:lvlJc w:val="left"/>
      <w:lvlText w:val="%2"/>
      <w:numFmt w:val="lowerLetter"/>
      <w:start w:val="1"/>
    </w:lvl>
  </w:abstractNum>
  <w:abstractNum w:abstractNumId="172">
    <w:nsid w:val="471745E4"/>
    <w:multiLevelType w:val="hybridMultilevel"/>
    <w:lvl w:ilvl="0">
      <w:lvlJc w:val="left"/>
      <w:lvlText w:val="(%1)"/>
      <w:numFmt w:val="lowerLetter"/>
      <w:start w:val="1"/>
    </w:lvl>
  </w:abstractNum>
  <w:abstractNum w:abstractNumId="173">
    <w:nsid w:val="1DDBC66"/>
    <w:multiLevelType w:val="hybridMultilevel"/>
    <w:lvl w:ilvl="0">
      <w:lvlJc w:val="left"/>
      <w:lvlText w:val="%1"/>
      <w:numFmt w:val="lowerLetter"/>
      <w:start w:val="1"/>
    </w:lvl>
    <w:lvl w:ilvl="1">
      <w:lvlJc w:val="left"/>
      <w:lvlText w:val="(%2)"/>
      <w:numFmt w:val="lowerLetter"/>
      <w:start w:val="3"/>
    </w:lvl>
  </w:abstractNum>
  <w:abstractNum w:abstractNumId="174">
    <w:nsid w:val="30AADFDA"/>
    <w:multiLevelType w:val="hybridMultilevel"/>
    <w:lvl w:ilvl="0">
      <w:lvlJc w:val="left"/>
      <w:lvlText w:val="(%1)"/>
      <w:numFmt w:val="lowerLetter"/>
      <w:start w:val="22"/>
    </w:lvl>
    <w:lvl w:ilvl="1">
      <w:lvlJc w:val="left"/>
      <w:lvlText w:val="(%2)"/>
      <w:numFmt w:val="lowerLetter"/>
      <w:start w:val="5"/>
    </w:lvl>
  </w:abstractNum>
  <w:abstractNum w:abstractNumId="175">
    <w:nsid w:val="30EADA61"/>
    <w:multiLevelType w:val="hybridMultilevel"/>
    <w:lvl w:ilvl="0">
      <w:lvlJc w:val="left"/>
      <w:lvlText w:val="%1"/>
      <w:numFmt w:val="lowerLetter"/>
      <w:start w:val="1"/>
    </w:lvl>
    <w:lvl w:ilvl="1">
      <w:lvlJc w:val="left"/>
      <w:lvlText w:val="(%2)"/>
      <w:numFmt w:val="lowerLetter"/>
      <w:start w:val="7"/>
    </w:lvl>
  </w:abstractNum>
  <w:abstractNum w:abstractNumId="176">
    <w:nsid w:val="27179C0B"/>
    <w:multiLevelType w:val="hybridMultilevel"/>
    <w:lvl w:ilvl="0">
      <w:lvlJc w:val="left"/>
      <w:lvlText w:val="(%1)"/>
      <w:numFmt w:val="lowerLetter"/>
      <w:start w:val="61"/>
    </w:lvl>
    <w:lvl w:ilvl="1">
      <w:lvlJc w:val="left"/>
      <w:lvlText w:val="(%2)"/>
      <w:numFmt w:val="lowerLetter"/>
      <w:start w:val="11"/>
    </w:lvl>
  </w:abstractNum>
  <w:abstractNum w:abstractNumId="177">
    <w:nsid w:val="5E636063"/>
    <w:multiLevelType w:val="hybridMultilevel"/>
    <w:lvl w:ilvl="0">
      <w:lvlJc w:val="left"/>
      <w:lvlText w:val="%1"/>
      <w:numFmt w:val="decimal"/>
      <w:start w:val="1"/>
    </w:lvl>
    <w:lvl w:ilvl="1">
      <w:lvlJc w:val="left"/>
      <w:lvlText w:val="(%2)"/>
      <w:numFmt w:val="lowerLetter"/>
      <w:start w:val="12"/>
    </w:lvl>
  </w:abstractNum>
  <w:abstractNum w:abstractNumId="178">
    <w:nsid w:val="215641AF"/>
    <w:multiLevelType w:val="hybridMultilevel"/>
    <w:lvl w:ilvl="0">
      <w:lvlJc w:val="left"/>
      <w:lvlText w:val="%1."/>
      <w:numFmt w:val="decimal"/>
      <w:start w:val="4"/>
    </w:lvl>
    <w:lvl w:ilvl="1">
      <w:lvlJc w:val="left"/>
      <w:lvlText w:val="%2"/>
      <w:numFmt w:val="lowerLetter"/>
      <w:start w:val="1"/>
    </w:lvl>
  </w:abstractNum>
  <w:abstractNum w:abstractNumId="179">
    <w:nsid w:val="53280662"/>
    <w:multiLevelType w:val="hybridMultilevel"/>
    <w:lvl w:ilvl="0">
      <w:lvlJc w:val="left"/>
      <w:lvlText w:val="%1."/>
      <w:numFmt w:val="decimal"/>
      <w:start w:val="5"/>
    </w:lvl>
    <w:lvl w:ilvl="1">
      <w:lvlJc w:val="left"/>
      <w:lvlText w:val="(%2)"/>
      <w:numFmt w:val="lowerLetter"/>
      <w:start w:val="1"/>
    </w:lvl>
  </w:abstractNum>
  <w:abstractNum w:abstractNumId="180">
    <w:nsid w:val="46B24DBC"/>
    <w:multiLevelType w:val="hybridMultilevel"/>
    <w:lvl w:ilvl="0">
      <w:lvlJc w:val="left"/>
      <w:lvlText w:val="(%1)"/>
      <w:numFmt w:val="lowerLetter"/>
      <w:start w:val="2"/>
    </w:lvl>
  </w:abstractNum>
  <w:abstractNum w:abstractNumId="181">
    <w:nsid w:val="75B52783"/>
    <w:multiLevelType w:val="hybridMultilevel"/>
    <w:lvl w:ilvl="0">
      <w:lvlJc w:val="left"/>
      <w:lvlText w:val="(%1)"/>
      <w:numFmt w:val="lowerLetter"/>
      <w:start w:val="4"/>
    </w:lvl>
  </w:abstractNum>
  <w:abstractNum w:abstractNumId="182">
    <w:nsid w:val="57CE66B4"/>
    <w:multiLevelType w:val="hybridMultilevel"/>
    <w:lvl w:ilvl="0">
      <w:lvlJc w:val="left"/>
      <w:lvlText w:val="%1."/>
      <w:numFmt w:val="decimal"/>
      <w:start w:val="6"/>
    </w:lvl>
    <w:lvl w:ilvl="1">
      <w:lvlJc w:val="left"/>
      <w:lvlText w:val="(%2)"/>
      <w:numFmt w:val="lowerLetter"/>
      <w:start w:val="1"/>
    </w:lvl>
  </w:abstractNum>
  <w:abstractNum w:abstractNumId="183">
    <w:nsid w:val="67A70B69"/>
    <w:multiLevelType w:val="hybridMultilevel"/>
    <w:lvl w:ilvl="0">
      <w:lvlJc w:val="left"/>
      <w:lvlText w:val="(%1)"/>
      <w:numFmt w:val="lowerLetter"/>
      <w:start w:val="2"/>
    </w:lvl>
  </w:abstractNum>
  <w:abstractNum w:abstractNumId="184">
    <w:nsid w:val="5953172F"/>
    <w:multiLevelType w:val="hybridMultilevel"/>
    <w:lvl w:ilvl="0">
      <w:lvlJc w:val="left"/>
      <w:lvlText w:val="(%1)"/>
      <w:numFmt w:val="lowerLetter"/>
      <w:start w:val="7"/>
    </w:lvl>
  </w:abstractNum>
  <w:abstractNum w:abstractNumId="185">
    <w:nsid w:val="27EDFE3A"/>
    <w:multiLevelType w:val="hybridMultilevel"/>
    <w:lvl w:ilvl="0">
      <w:lvlJc w:val="left"/>
      <w:lvlText w:val="•"/>
      <w:numFmt w:val="bullet"/>
      <w:start w:val="1"/>
    </w:lvl>
  </w:abstractNum>
  <w:abstractNum w:abstractNumId="186">
    <w:nsid w:val="52AC7DFF"/>
    <w:multiLevelType w:val="hybridMultilevel"/>
    <w:lvl w:ilvl="0">
      <w:lvlJc w:val="left"/>
      <w:lvlText w:val=","/>
      <w:numFmt w:val="bullet"/>
      <w:start w:val="1"/>
    </w:lvl>
  </w:abstractNum>
  <w:abstractNum w:abstractNumId="187">
    <w:nsid w:val="C4C3AF"/>
    <w:multiLevelType w:val="hybridMultilevel"/>
    <w:lvl w:ilvl="0">
      <w:lvlJc w:val="left"/>
      <w:lvlText w:val="%1."/>
      <w:numFmt w:val="decimal"/>
      <w:start w:val="1"/>
    </w:lvl>
  </w:abstractNum>
  <w:abstractNum w:abstractNumId="188">
    <w:nsid w:val="44380727"/>
    <w:multiLevelType w:val="hybridMultilevel"/>
    <w:lvl w:ilvl="0">
      <w:lvlJc w:val="left"/>
      <w:lvlText w:val="%1."/>
      <w:numFmt w:val="decimal"/>
      <w:start w:val="6"/>
    </w:lvl>
  </w:abstractNum>
  <w:abstractNum w:abstractNumId="189">
    <w:nsid w:val="6C053B16"/>
    <w:multiLevelType w:val="hybridMultilevel"/>
    <w:lvl w:ilvl="0">
      <w:lvlJc w:val="left"/>
      <w:lvlText w:val="(%1)"/>
      <w:numFmt w:val="lowerRoman"/>
      <w:start w:val="2"/>
    </w:lvl>
  </w:abstractNum>
  <w:abstractNum w:abstractNumId="190">
    <w:nsid w:val="4F294393"/>
    <w:multiLevelType w:val="hybridMultilevel"/>
    <w:lvl w:ilvl="0">
      <w:lvlJc w:val="left"/>
      <w:lvlText w:val="(%1)"/>
      <w:numFmt w:val="lowerLetter"/>
      <w:start w:val="1"/>
    </w:lvl>
  </w:abstractNum>
  <w:abstractNum w:abstractNumId="191">
    <w:nsid w:val="5243BFAC"/>
    <w:multiLevelType w:val="hybridMultilevel"/>
    <w:lvl w:ilvl="0">
      <w:lvlJc w:val="left"/>
      <w:lvlText w:val="(%1)"/>
      <w:numFmt w:val="lowerLetter"/>
      <w:start w:val="4"/>
    </w:lvl>
  </w:abstractNum>
  <w:abstractNum w:abstractNumId="192">
    <w:nsid w:val="425EB207"/>
    <w:multiLevelType w:val="hybridMultilevel"/>
    <w:lvl w:ilvl="0">
      <w:lvlJc w:val="left"/>
      <w:lvlText w:val="(%1)"/>
      <w:numFmt w:val="lowerLetter"/>
      <w:start w:val="1"/>
    </w:lvl>
  </w:abstractNum>
  <w:abstractNum w:abstractNumId="193">
    <w:nsid w:val="334A6F1F"/>
    <w:multiLevelType w:val="hybridMultilevel"/>
    <w:lvl w:ilvl="0">
      <w:lvlJc w:val="left"/>
      <w:lvlText w:val="(%1)"/>
      <w:numFmt w:val="lowerLetter"/>
      <w:start w:val="1"/>
    </w:lvl>
  </w:abstractNum>
  <w:abstractNum w:abstractNumId="194">
    <w:nsid w:val="2E5B12B8"/>
    <w:multiLevelType w:val="hybridMultilevel"/>
    <w:lvl w:ilvl="0">
      <w:lvlJc w:val="left"/>
      <w:lvlText w:val="%1"/>
      <w:numFmt w:val="lowerLetter"/>
      <w:start w:val="1"/>
    </w:lvl>
    <w:lvl w:ilvl="1">
      <w:lvlJc w:val="left"/>
      <w:lvlText w:val="(%2)"/>
      <w:numFmt w:val="lowerLetter"/>
      <w:start w:val="2"/>
    </w:lvl>
  </w:abstractNum>
  <w:abstractNum w:abstractNumId="195">
    <w:nsid w:val="5C03D76D"/>
    <w:multiLevelType w:val="hybridMultilevel"/>
    <w:lvl w:ilvl="0">
      <w:lvlJc w:val="left"/>
      <w:lvlText w:val="(%1)"/>
      <w:numFmt w:val="lowerLetter"/>
      <w:start w:val="35"/>
    </w:lvl>
    <w:lvl w:ilvl="1">
      <w:lvlJc w:val="left"/>
      <w:lvlText w:val="(%2)"/>
      <w:numFmt w:val="lowerLetter"/>
      <w:start w:val="3"/>
    </w:lvl>
  </w:abstractNum>
  <w:abstractNum w:abstractNumId="196">
    <w:nsid w:val="66A48D11"/>
    <w:multiLevelType w:val="hybridMultilevel"/>
    <w:lvl w:ilvl="0">
      <w:lvlJc w:val="left"/>
      <w:lvlText w:val="%1"/>
      <w:numFmt w:val="upperLetter"/>
      <w:start w:val="1"/>
    </w:lvl>
    <w:lvl w:ilvl="1">
      <w:lvlJc w:val="left"/>
      <w:lvlText w:val="(%2)"/>
      <w:numFmt w:val="lowerLetter"/>
      <w:start w:val="1"/>
    </w:lvl>
  </w:abstractNum>
  <w:abstractNum w:abstractNumId="197">
    <w:nsid w:val="56C28E34"/>
    <w:multiLevelType w:val="hybridMultilevel"/>
    <w:lvl w:ilvl="0">
      <w:lvlJc w:val="left"/>
      <w:lvlText w:val="(%1)"/>
      <w:numFmt w:val="upperLetter"/>
      <w:start w:val="1"/>
    </w:lvl>
    <w:lvl w:ilvl="1">
      <w:lvlJc w:val="left"/>
      <w:lvlText w:val="%2"/>
      <w:numFmt w:val="lowerLetter"/>
      <w:start w:val="1"/>
    </w:lvl>
  </w:abstractNum>
  <w:abstractNum w:abstractNumId="198">
    <w:nsid w:val="13916F2D"/>
    <w:multiLevelType w:val="hybridMultilevel"/>
    <w:lvl w:ilvl="0">
      <w:lvlJc w:val="left"/>
      <w:lvlText w:val="(%1)"/>
      <w:numFmt w:val="lowerLetter"/>
      <w:start w:val="35"/>
    </w:lvl>
    <w:lvl w:ilvl="1">
      <w:lvlJc w:val="left"/>
      <w:lvlText w:val="(%2)"/>
      <w:numFmt w:val="lowerLetter"/>
      <w:start w:val="2"/>
    </w:lvl>
  </w:abstractNum>
  <w:abstractNum w:abstractNumId="199">
    <w:nsid w:val="435D38D"/>
    <w:multiLevelType w:val="hybridMultilevel"/>
    <w:lvl w:ilvl="0">
      <w:lvlJc w:val="left"/>
      <w:lvlText w:val="(%1)"/>
      <w:numFmt w:val="lowerLetter"/>
      <w:start w:val="1"/>
    </w:lvl>
  </w:abstractNum>
  <w:abstractNum w:abstractNumId="200">
    <w:nsid w:val="822C0EF"/>
    <w:multiLevelType w:val="hybridMultilevel"/>
    <w:lvl w:ilvl="0">
      <w:lvlJc w:val="left"/>
      <w:lvlText w:val="(%1)"/>
      <w:numFmt w:val="lowerLetter"/>
      <w:start w:val="3"/>
    </w:lvl>
  </w:abstractNum>
  <w:abstractNum w:abstractNumId="201">
    <w:nsid w:val="57C5BB4F"/>
    <w:multiLevelType w:val="hybridMultilevel"/>
    <w:lvl w:ilvl="0">
      <w:lvlJc w:val="left"/>
      <w:lvlText w:val="(%1)"/>
      <w:numFmt w:val="lowerLetter"/>
      <w:start w:val="1"/>
    </w:lvl>
  </w:abstractNum>
  <w:abstractNum w:abstractNumId="202">
    <w:nsid w:val="1803D089"/>
    <w:multiLevelType w:val="hybridMultilevel"/>
    <w:lvl w:ilvl="0">
      <w:lvlJc w:val="left"/>
      <w:lvlText w:val="(%1)"/>
      <w:numFmt w:val="lowerLetter"/>
      <w:start w:val="2"/>
    </w:lvl>
  </w:abstractNum>
  <w:abstractNum w:abstractNumId="203">
    <w:nsid w:val="4F3A06D4"/>
    <w:multiLevelType w:val="hybridMultilevel"/>
    <w:lvl w:ilvl="0">
      <w:lvlJc w:val="left"/>
      <w:lvlText w:val="(%1)"/>
      <w:numFmt w:val="lowerLetter"/>
      <w:start w:val="1"/>
    </w:lvl>
  </w:abstractNum>
  <w:abstractNum w:abstractNumId="204">
    <w:nsid w:val="59A377B6"/>
    <w:multiLevelType w:val="hybridMultilevel"/>
    <w:lvl w:ilvl="0">
      <w:lvlJc w:val="left"/>
      <w:lvlText w:val="(%1)"/>
      <w:numFmt w:val="lowerLetter"/>
      <w:start w:val="8"/>
    </w:lvl>
  </w:abstractNum>
  <w:abstractNum w:abstractNumId="205">
    <w:nsid w:val="48AEB063"/>
    <w:multiLevelType w:val="hybridMultilevel"/>
    <w:lvl w:ilvl="0">
      <w:lvlJc w:val="left"/>
      <w:lvlText w:val="(%1)"/>
      <w:numFmt w:val="lowerLetter"/>
      <w:start w:val="13"/>
    </w:lvl>
  </w:abstractNum>
  <w:abstractNum w:abstractNumId="206">
    <w:nsid w:val="24E135"/>
    <w:multiLevelType w:val="hybridMultilevel"/>
    <w:lvl w:ilvl="0">
      <w:lvlJc w:val="left"/>
      <w:lvlText w:val="(%1)"/>
      <w:numFmt w:val="lowerLetter"/>
      <w:start w:val="1"/>
    </w:lvl>
  </w:abstractNum>
  <w:abstractNum w:abstractNumId="207">
    <w:nsid w:val="BB13C1"/>
    <w:multiLevelType w:val="hybridMultilevel"/>
    <w:lvl w:ilvl="0">
      <w:lvlJc w:val="left"/>
      <w:lvlText w:val="(%1)"/>
      <w:numFmt w:val="lowerLetter"/>
      <w:start w:val="4"/>
    </w:lvl>
  </w:abstractNum>
  <w:abstractNum w:abstractNumId="208">
    <w:nsid w:val="271210C7"/>
    <w:multiLevelType w:val="hybridMultilevel"/>
    <w:lvl w:ilvl="0">
      <w:lvlJc w:val="left"/>
      <w:lvlText w:val="%1"/>
      <w:numFmt w:val="lowerLetter"/>
      <w:start w:val="1"/>
    </w:lvl>
    <w:lvl w:ilvl="1">
      <w:lvlJc w:val="left"/>
      <w:lvlText w:val="(%2)"/>
      <w:numFmt w:val="lowerLetter"/>
      <w:start w:val="1"/>
    </w:lvl>
  </w:abstractNum>
  <w:abstractNum w:abstractNumId="209">
    <w:nsid w:val="217B22E4"/>
    <w:multiLevelType w:val="hybridMultilevel"/>
    <w:lvl w:ilvl="0">
      <w:lvlJc w:val="left"/>
      <w:lvlText w:val="(%1)"/>
      <w:numFmt w:val="lowerLetter"/>
      <w:start w:val="35"/>
    </w:lvl>
    <w:lvl w:ilvl="1">
      <w:lvlJc w:val="left"/>
      <w:lvlText w:val="(%2)"/>
      <w:numFmt w:val="lowerLetter"/>
      <w:start w:val="2"/>
    </w:lvl>
  </w:abstractNum>
  <w:abstractNum w:abstractNumId="210">
    <w:nsid w:val="53E31A24"/>
    <w:multiLevelType w:val="hybridMultilevel"/>
    <w:lvl w:ilvl="0">
      <w:lvlJc w:val="left"/>
      <w:lvlText w:val="1"/>
      <w:numFmt w:val="bullet"/>
      <w:start w:val="1"/>
    </w:lvl>
  </w:abstractNum>
  <w:abstractNum w:abstractNumId="211">
    <w:nsid w:val="6DC45E83"/>
    <w:multiLevelType w:val="hybridMultilevel"/>
    <w:lvl w:ilvl="0">
      <w:lvlJc w:val="left"/>
      <w:lvlText w:val="(%1)"/>
      <w:numFmt w:val="lowerLetter"/>
      <w:start w:val="6"/>
    </w:lvl>
  </w:abstractNum>
  <w:abstractNum w:abstractNumId="212">
    <w:nsid w:val="17304A67"/>
    <w:multiLevelType w:val="hybridMultilevel"/>
    <w:lvl w:ilvl="0">
      <w:lvlJc w:val="left"/>
      <w:lvlText w:val="(%1)"/>
      <w:numFmt w:val="lowerLetter"/>
      <w:start w:val="1"/>
    </w:lvl>
  </w:abstractNum>
  <w:abstractNum w:abstractNumId="213">
    <w:nsid w:val="2BB180D8"/>
    <w:multiLevelType w:val="hybridMultilevel"/>
    <w:lvl w:ilvl="0">
      <w:lvlJc w:val="left"/>
      <w:lvlText w:val="(%1)"/>
      <w:numFmt w:val="lowerRoman"/>
      <w:start w:val="1"/>
    </w:lvl>
  </w:abstractNum>
  <w:abstractNum w:abstractNumId="214">
    <w:nsid w:val="556B69ED"/>
    <w:multiLevelType w:val="hybridMultilevel"/>
    <w:lvl w:ilvl="0">
      <w:lvlJc w:val="left"/>
      <w:lvlText w:val="(%1)"/>
      <w:numFmt w:val="lowerLetter"/>
      <w:start w:val="2"/>
    </w:lvl>
  </w:abstractNum>
  <w:abstractNum w:abstractNumId="215">
    <w:nsid w:val="70836196"/>
    <w:multiLevelType w:val="hybridMultilevel"/>
    <w:lvl w:ilvl="0">
      <w:lvlJc w:val="left"/>
      <w:lvlText w:val="(%1)"/>
      <w:numFmt w:val="lowerLetter"/>
      <w:start w:val="1"/>
    </w:lvl>
  </w:abstractNum>
  <w:abstractNum w:abstractNumId="216">
    <w:nsid w:val="539F7F12"/>
    <w:multiLevelType w:val="hybridMultilevel"/>
    <w:lvl w:ilvl="0">
      <w:lvlJc w:val="left"/>
      <w:lvlText w:val="(%1)"/>
      <w:numFmt w:val="lowerLetter"/>
      <w:start w:val="1"/>
    </w:lvl>
  </w:abstractNum>
  <w:abstractNum w:abstractNumId="217">
    <w:nsid w:val="2817E7EC"/>
    <w:multiLevelType w:val="hybridMultilevel"/>
    <w:lvl w:ilvl="0">
      <w:lvlJc w:val="left"/>
      <w:lvlText w:val="(%1)"/>
      <w:numFmt w:val="lowerLetter"/>
      <w:start w:val="1"/>
    </w:lvl>
  </w:abstractNum>
  <w:abstractNum w:abstractNumId="218">
    <w:nsid w:val="71482545"/>
    <w:multiLevelType w:val="hybridMultilevel"/>
    <w:lvl w:ilvl="0">
      <w:lvlJc w:val="left"/>
      <w:lvlText w:val="%1."/>
      <w:numFmt w:val="decimal"/>
      <w:start w:val="1"/>
    </w:lvl>
    <w:lvl w:ilvl="1">
      <w:lvlJc w:val="left"/>
      <w:lvlText w:val="(%2)"/>
      <w:numFmt w:val="lowerLetter"/>
      <w:start w:val="1"/>
    </w:lvl>
  </w:abstractNum>
  <w:abstractNum w:abstractNumId="219">
    <w:nsid w:val="17D78639"/>
    <w:multiLevelType w:val="hybridMultilevel"/>
    <w:lvl w:ilvl="0">
      <w:lvlJc w:val="left"/>
      <w:lvlText w:val="%1"/>
      <w:numFmt w:val="decimal"/>
      <w:start w:val="1"/>
    </w:lvl>
    <w:lvl w:ilvl="1">
      <w:lvlJc w:val="left"/>
      <w:lvlText w:val="(%2)"/>
      <w:numFmt w:val="lowerLetter"/>
      <w:start w:val="3"/>
    </w:lvl>
  </w:abstractNum>
  <w:abstractNum w:abstractNumId="220">
    <w:nsid w:val="141D2302"/>
    <w:multiLevelType w:val="hybridMultilevel"/>
    <w:lvl w:ilvl="0">
      <w:lvlJc w:val="left"/>
      <w:lvlText w:val="%1."/>
      <w:numFmt w:val="decimal"/>
      <w:start w:val="2"/>
    </w:lvl>
    <w:lvl w:ilvl="1">
      <w:lvlJc w:val="left"/>
      <w:lvlText w:val="(%2)"/>
      <w:numFmt w:val="lowerLetter"/>
      <w:start w:val="1"/>
    </w:lvl>
  </w:abstractNum>
  <w:abstractNum w:abstractNumId="221">
    <w:nsid w:val="407168D8"/>
    <w:multiLevelType w:val="hybridMultilevel"/>
    <w:lvl w:ilvl="0">
      <w:lvlJc w:val="left"/>
      <w:lvlText w:val="%1."/>
      <w:numFmt w:val="decimal"/>
      <w:start w:val="3"/>
    </w:lvl>
    <w:lvl w:ilvl="1">
      <w:lvlJc w:val="left"/>
      <w:lvlText w:val="(%2)"/>
      <w:numFmt w:val="lowerLetter"/>
      <w:start w:val="1"/>
    </w:lvl>
  </w:abstractNum>
  <w:abstractNum w:abstractNumId="222">
    <w:nsid w:val="6A1B45E5"/>
    <w:multiLevelType w:val="hybridMultilevel"/>
    <w:lvl w:ilvl="0">
      <w:lvlJc w:val="left"/>
      <w:lvlText w:val="%1."/>
      <w:numFmt w:val="decimal"/>
      <w:start w:val="6"/>
    </w:lvl>
    <w:lvl w:ilvl="1">
      <w:lvlJc w:val="left"/>
      <w:lvlText w:val="(%2)"/>
      <w:numFmt w:val="lowerLetter"/>
      <w:start w:val="1"/>
    </w:lvl>
  </w:abstractNum>
  <w:abstractNum w:abstractNumId="223">
    <w:nsid w:val="567BD50A"/>
    <w:multiLevelType w:val="hybridMultilevel"/>
    <w:lvl w:ilvl="0">
      <w:lvlJc w:val="left"/>
      <w:lvlText w:val="(%1)"/>
      <w:numFmt w:val="lowerLetter"/>
      <w:start w:val="2"/>
    </w:lvl>
  </w:abstractNum>
  <w:abstractNum w:abstractNumId="224">
    <w:nsid w:val="73BBD7F8"/>
    <w:multiLevelType w:val="hybridMultilevel"/>
    <w:lvl w:ilvl="0">
      <w:lvlJc w:val="left"/>
      <w:lvlText w:val="%1"/>
      <w:numFmt w:val="decimal"/>
      <w:start w:val="1"/>
    </w:lvl>
    <w:lvl w:ilvl="1">
      <w:lvlJc w:val="left"/>
      <w:lvlText w:val="(%2)"/>
      <w:numFmt w:val="lowerLetter"/>
      <w:start w:val="6"/>
    </w:lvl>
  </w:abstractNum>
  <w:abstractNum w:abstractNumId="225">
    <w:nsid w:val="1876589D"/>
    <w:multiLevelType w:val="hybridMultilevel"/>
    <w:lvl w:ilvl="0">
      <w:lvlJc w:val="left"/>
      <w:lvlText w:val="%1."/>
      <w:numFmt w:val="decimal"/>
      <w:start w:val="10"/>
    </w:lvl>
    <w:lvl w:ilvl="1">
      <w:lvlJc w:val="left"/>
      <w:lvlText w:val="(%2)"/>
      <w:numFmt w:val="lowerLetter"/>
      <w:start w:val="1"/>
    </w:lvl>
  </w:abstractNum>
  <w:abstractNum w:abstractNumId="226">
    <w:nsid w:val="327FAC77"/>
    <w:multiLevelType w:val="hybridMultilevel"/>
    <w:lvl w:ilvl="0">
      <w:lvlJc w:val="left"/>
      <w:lvlText w:val="(%1)"/>
      <w:numFmt w:val="lowerLetter"/>
      <w:start w:val="5"/>
    </w:lvl>
  </w:abstractNum>
  <w:abstractNum w:abstractNumId="227">
    <w:nsid w:val="5A606509"/>
    <w:multiLevelType w:val="hybridMultilevel"/>
    <w:lvl w:ilvl="0">
      <w:lvlJc w:val="left"/>
      <w:lvlText w:val="(%1)"/>
      <w:numFmt w:val="lowerLetter"/>
      <w:start w:val="9"/>
    </w:lvl>
  </w:abstractNum>
  <w:abstractNum w:abstractNumId="228">
    <w:nsid w:val="6F38E6D1"/>
    <w:multiLevelType w:val="hybridMultilevel"/>
    <w:lvl w:ilvl="0">
      <w:lvlJc w:val="left"/>
      <w:lvlText w:val="(%1)"/>
      <w:numFmt w:val="lowerLetter"/>
      <w:start w:val="13"/>
    </w:lvl>
  </w:abstractNum>
  <w:abstractNum w:abstractNumId="229">
    <w:nsid w:val="46111BA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0">
    <w:nsid w:val="5E96389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1">
    <w:nsid w:val="775BA7C1"/>
    <w:multiLevelType w:val="hybridMultilevel"/>
    <w:lvl w:ilvl="0">
      <w:lvlJc w:val="left"/>
      <w:lvlText w:val="%1"/>
      <w:numFmt w:val="decimal"/>
      <w:start w:val="1"/>
    </w:lvl>
    <w:lvl w:ilvl="1">
      <w:lvlJc w:val="left"/>
      <w:lvlText w:val="(%2)"/>
      <w:numFmt w:val="lowerLetter"/>
      <w:start w:val="3"/>
    </w:lvl>
  </w:abstractNum>
  <w:abstractNum w:abstractNumId="232">
    <w:nsid w:val="1DD6D6F4"/>
    <w:multiLevelType w:val="hybridMultilevel"/>
    <w:lvl w:ilvl="0">
      <w:lvlJc w:val="left"/>
      <w:lvlText w:val="%1."/>
      <w:numFmt w:val="decimal"/>
      <w:start w:val="2"/>
    </w:lvl>
    <w:lvl w:ilvl="1">
      <w:lvlJc w:val="left"/>
      <w:lvlText w:val="(%2)"/>
      <w:numFmt w:val="lowerLetter"/>
      <w:start w:val="1"/>
    </w:lvl>
  </w:abstractNum>
  <w:abstractNum w:abstractNumId="233">
    <w:nsid w:val="769A091F"/>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34">
    <w:nsid w:val="4695AE95"/>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2"/>
    </w:lvl>
  </w:abstractNum>
  <w:abstractNum w:abstractNumId="235">
    <w:nsid w:val="777A4EAA"/>
    <w:multiLevelType w:val="hybridMultilevel"/>
    <w:lvl w:ilvl="0">
      <w:lvlJc w:val="left"/>
      <w:lvlText w:val="%1."/>
      <w:numFmt w:val="decimal"/>
      <w:start w:val="6"/>
    </w:lvl>
    <w:lvl w:ilvl="1">
      <w:lvlJc w:val="left"/>
      <w:lvlText w:val="(%2)"/>
      <w:numFmt w:val="lowerLetter"/>
      <w:start w:val="1"/>
    </w:lvl>
  </w:abstractNum>
  <w:abstractNum w:abstractNumId="236">
    <w:nsid w:val="3F48B982"/>
    <w:multiLevelType w:val="hybridMultilevel"/>
    <w:lvl w:ilvl="0">
      <w:lvlJc w:val="left"/>
      <w:lvlText w:val="(%1)"/>
      <w:numFmt w:val="lowerLetter"/>
      <w:start w:val="2"/>
    </w:lvl>
  </w:abstractNum>
  <w:abstractNum w:abstractNumId="237">
    <w:nsid w:val="46BA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238">
    <w:nsid w:val="7835626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39">
    <w:nsid w:val="665ACA49"/>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240">
    <w:nsid w:val="6835B2AE"/>
    <w:multiLevelType w:val="hybridMultilevel"/>
    <w:lvl w:ilvl="0">
      <w:lvlJc w:val="left"/>
      <w:lvlText w:val="%1"/>
      <w:numFmt w:val="upperLetter"/>
      <w:start w:val="1"/>
    </w:lvl>
    <w:lvl w:ilvl="1">
      <w:lvlJc w:val="left"/>
      <w:lvlText w:val="(%2)"/>
      <w:numFmt w:val="lowerLetter"/>
      <w:start w:val="5"/>
    </w:lvl>
  </w:abstractNum>
  <w:abstractNum w:abstractNumId="241">
    <w:nsid w:val="4C187C90"/>
    <w:multiLevelType w:val="hybridMultilevel"/>
    <w:lvl w:ilvl="0">
      <w:lvlJc w:val="left"/>
      <w:lvlText w:val="(%1)"/>
      <w:numFmt w:val="upperLetter"/>
      <w:start w:val="2"/>
    </w:lvl>
    <w:lvl w:ilvl="1">
      <w:lvlJc w:val="left"/>
      <w:lvlText w:val="%2"/>
      <w:numFmt w:val="lowerLetter"/>
      <w:start w:val="1"/>
    </w:lvl>
  </w:abstractNum>
  <w:abstractNum w:abstractNumId="242">
    <w:nsid w:val="541F28CD"/>
    <w:multiLevelType w:val="hybridMultilevel"/>
    <w:lvl w:ilvl="0">
      <w:lvlJc w:val="left"/>
      <w:lvlText w:val="(%1)"/>
      <w:numFmt w:val="lowerLetter"/>
      <w:start w:val="11"/>
    </w:lvl>
  </w:abstractNum>
  <w:abstractNum w:abstractNumId="243">
    <w:nsid w:val="7F65FD16"/>
    <w:multiLevelType w:val="hybridMultilevel"/>
    <w:lvl w:ilvl="0">
      <w:lvlJc w:val="left"/>
      <w:lvlText w:val="(%1)"/>
      <w:numFmt w:val="decimal"/>
      <w:start w:val="1"/>
    </w:lvl>
  </w:abstractNum>
  <w:abstractNum w:abstractNumId="244">
    <w:nsid w:val="77C9FD68"/>
    <w:multiLevelType w:val="hybridMultilevel"/>
    <w:lvl w:ilvl="0">
      <w:lvlJc w:val="left"/>
      <w:lvlText w:val="(%1)"/>
      <w:numFmt w:val="lowerLetter"/>
      <w:start w:val="1"/>
    </w:lvl>
    <w:lvl w:ilvl="1">
      <w:lvlJc w:val="left"/>
      <w:lvlText w:val="(%2)"/>
      <w:numFmt w:val="decimal"/>
      <w:start w:val="1"/>
    </w:lvl>
  </w:abstractNum>
  <w:abstractNum w:abstractNumId="245">
    <w:nsid w:val="298A92BA"/>
    <w:multiLevelType w:val="hybridMultilevel"/>
    <w:lvl w:ilvl="0">
      <w:lvlJc w:val="left"/>
      <w:lvlText w:val="(%1)"/>
      <w:numFmt w:val="lowerLetter"/>
      <w:start w:val="2"/>
    </w:lvl>
  </w:abstractNum>
  <w:abstractNum w:abstractNumId="246">
    <w:nsid w:val="6FE95EAC"/>
    <w:multiLevelType w:val="hybridMultilevel"/>
    <w:lvl w:ilvl="0">
      <w:lvlJc w:val="left"/>
      <w:lvlText w:val="(%1)"/>
      <w:numFmt w:val="lowerLetter"/>
      <w:start w:val="4"/>
    </w:lvl>
  </w:abstractNum>
  <w:abstractNum w:abstractNumId="247">
    <w:nsid w:val="4B697C7A"/>
    <w:multiLevelType w:val="hybridMultilevel"/>
    <w:lvl w:ilvl="0">
      <w:lvlJc w:val="left"/>
      <w:lvlText w:val="(%1)"/>
      <w:numFmt w:val="lowerRoman"/>
      <w:start w:val="2"/>
    </w:lvl>
  </w:abstractNum>
  <w:abstractNum w:abstractNumId="248">
    <w:nsid w:val="51A27AA6"/>
    <w:multiLevelType w:val="hybridMultilevel"/>
    <w:lvl w:ilvl="0">
      <w:lvlJc w:val="left"/>
      <w:lvlText w:val="(%1)"/>
      <w:numFmt w:val="lowerLetter"/>
      <w:start w:val="1"/>
    </w:lvl>
  </w:abstractNum>
  <w:abstractNum w:abstractNumId="249">
    <w:nsid w:val="613183F2"/>
    <w:multiLevelType w:val="hybridMultilevel"/>
    <w:lvl w:ilvl="0">
      <w:lvlJc w:val="left"/>
      <w:lvlText w:val="(%1)"/>
      <w:numFmt w:val="lowerLetter"/>
      <w:start w:val="4"/>
    </w:lvl>
  </w:abstractNum>
  <w:abstractNum w:abstractNumId="250">
    <w:nsid w:val="634102B4"/>
    <w:multiLevelType w:val="hybridMultilevel"/>
    <w:lvl w:ilvl="0">
      <w:lvlJc w:val="left"/>
      <w:lvlText w:val="(%1)"/>
      <w:numFmt w:val="lowerLetter"/>
      <w:start w:val="1"/>
    </w:lvl>
  </w:abstractNum>
  <w:abstractNum w:abstractNumId="251">
    <w:nsid w:val="65BF9DA8"/>
    <w:multiLevelType w:val="hybridMultilevel"/>
    <w:lvl w:ilvl="0">
      <w:lvlJc w:val="left"/>
      <w:lvlText w:val="(%1)"/>
      <w:numFmt w:val="lowerLetter"/>
      <w:start w:val="1"/>
    </w:lvl>
  </w:abstractNum>
  <w:abstractNum w:abstractNumId="252">
    <w:nsid w:val="21A2ECCA"/>
    <w:multiLevelType w:val="hybridMultilevel"/>
    <w:lvl w:ilvl="0">
      <w:lvlJc w:val="left"/>
      <w:lvlText w:val="%1"/>
      <w:numFmt w:val="lowerLetter"/>
      <w:start w:val="1"/>
    </w:lvl>
    <w:lvl w:ilvl="1">
      <w:lvlJc w:val="left"/>
      <w:lvlText w:val="(%2)"/>
      <w:numFmt w:val="lowerLetter"/>
      <w:start w:val="2"/>
    </w:lvl>
  </w:abstractNum>
  <w:abstractNum w:abstractNumId="253">
    <w:nsid w:val="4D5C4899"/>
    <w:multiLevelType w:val="hybridMultilevel"/>
    <w:lvl w:ilvl="0">
      <w:lvlJc w:val="left"/>
      <w:lvlText w:val="(%1)"/>
      <w:numFmt w:val="lowerLetter"/>
      <w:start w:val="35"/>
    </w:lvl>
    <w:lvl w:ilvl="1">
      <w:lvlJc w:val="left"/>
      <w:lvlText w:val="(%2)"/>
      <w:numFmt w:val="lowerLetter"/>
      <w:start w:val="3"/>
    </w:lvl>
  </w:abstractNum>
  <w:abstractNum w:abstractNumId="254">
    <w:nsid w:val="3C3B72B2"/>
    <w:multiLevelType w:val="hybridMultilevel"/>
    <w:lvl w:ilvl="0">
      <w:lvlJc w:val="left"/>
      <w:lvlText w:val="%1"/>
      <w:numFmt w:val="upperLetter"/>
      <w:start w:val="1"/>
    </w:lvl>
    <w:lvl w:ilvl="1">
      <w:lvlJc w:val="left"/>
      <w:lvlText w:val="(%2)"/>
      <w:numFmt w:val="lowerLetter"/>
      <w:start w:val="1"/>
    </w:lvl>
  </w:abstractNum>
  <w:abstractNum w:abstractNumId="255">
    <w:nsid w:val="155EC4C2"/>
    <w:multiLevelType w:val="hybridMultilevel"/>
    <w:lvl w:ilvl="0">
      <w:lvlJc w:val="left"/>
      <w:lvlText w:val="(%1)"/>
      <w:numFmt w:val="upperLetter"/>
      <w:start w:val="1"/>
    </w:lvl>
    <w:lvl w:ilvl="1">
      <w:lvlJc w:val="left"/>
      <w:lvlText w:val="%2"/>
      <w:numFmt w:val="lowerLetter"/>
      <w:start w:val="1"/>
    </w:lvl>
  </w:abstractNum>
  <w:abstractNum w:abstractNumId="256">
    <w:nsid w:val="65D2A137"/>
    <w:multiLevelType w:val="hybridMultilevel"/>
    <w:lvl w:ilvl="0">
      <w:lvlJc w:val="left"/>
      <w:lvlText w:val="(%1)"/>
      <w:numFmt w:val="lowerLetter"/>
      <w:start w:val="35"/>
    </w:lvl>
    <w:lvl w:ilvl="1">
      <w:lvlJc w:val="left"/>
      <w:lvlText w:val="(%2)"/>
      <w:numFmt w:val="lowerLetter"/>
      <w:start w:val="2"/>
    </w:lvl>
  </w:abstractNum>
  <w:abstractNum w:abstractNumId="257">
    <w:nsid w:val="6EBB1F2A"/>
    <w:multiLevelType w:val="hybridMultilevel"/>
    <w:lvl w:ilvl="0">
      <w:lvlJc w:val="left"/>
      <w:lvlText w:val="(%1)"/>
      <w:numFmt w:val="lowerLetter"/>
      <w:start w:val="1"/>
    </w:lvl>
  </w:abstractNum>
  <w:abstractNum w:abstractNumId="258">
    <w:nsid w:val="6FBF29CB"/>
    <w:multiLevelType w:val="hybridMultilevel"/>
    <w:lvl w:ilvl="0">
      <w:lvlJc w:val="left"/>
      <w:lvlText w:val="(%1)"/>
      <w:numFmt w:val="lowerLetter"/>
      <w:start w:val="3"/>
    </w:lvl>
  </w:abstractNum>
  <w:abstractNum w:abstractNumId="259">
    <w:nsid w:val="550B8808"/>
    <w:multiLevelType w:val="hybridMultilevel"/>
    <w:lvl w:ilvl="0">
      <w:lvlJc w:val="left"/>
      <w:lvlText w:val="(%1)"/>
      <w:numFmt w:val="lowerLetter"/>
      <w:start w:val="1"/>
    </w:lvl>
  </w:abstractNum>
  <w:abstractNum w:abstractNumId="260">
    <w:nsid w:val="34CC3ACF"/>
    <w:multiLevelType w:val="hybridMultilevel"/>
    <w:lvl w:ilvl="0">
      <w:lvlJc w:val="left"/>
      <w:lvlText w:val="(%1)"/>
      <w:numFmt w:val="lowerLetter"/>
      <w:start w:val="2"/>
    </w:lvl>
  </w:abstractNum>
  <w:abstractNum w:abstractNumId="261">
    <w:nsid w:val="4E556261"/>
    <w:multiLevelType w:val="hybridMultilevel"/>
    <w:lvl w:ilvl="0">
      <w:lvlJc w:val="left"/>
      <w:lvlText w:val="(%1)"/>
      <w:numFmt w:val="lowerLetter"/>
      <w:start w:val="1"/>
    </w:lvl>
  </w:abstractNum>
  <w:abstractNum w:abstractNumId="262">
    <w:nsid w:val="4C672FC9"/>
    <w:multiLevelType w:val="hybridMultilevel"/>
    <w:lvl w:ilvl="0">
      <w:lvlJc w:val="left"/>
      <w:lvlText w:val="(%1)"/>
      <w:numFmt w:val="lowerLetter"/>
      <w:start w:val="8"/>
    </w:lvl>
  </w:abstractNum>
  <w:abstractNum w:abstractNumId="263">
    <w:nsid w:val="52A311C3"/>
    <w:multiLevelType w:val="hybridMultilevel"/>
    <w:lvl w:ilvl="0">
      <w:lvlJc w:val="left"/>
      <w:lvlText w:val="(%1)"/>
      <w:numFmt w:val="lowerLetter"/>
      <w:start w:val="13"/>
    </w:lvl>
  </w:abstractNum>
  <w:abstractNum w:abstractNumId="264">
    <w:nsid w:val="44EF6B80"/>
    <w:multiLevelType w:val="hybridMultilevel"/>
    <w:lvl w:ilvl="0">
      <w:lvlJc w:val="left"/>
      <w:lvlText w:val="(%1)"/>
      <w:numFmt w:val="lowerLetter"/>
      <w:start w:val="1"/>
    </w:lvl>
  </w:abstractNum>
  <w:abstractNum w:abstractNumId="265">
    <w:nsid w:val="12FCDE5E"/>
    <w:multiLevelType w:val="hybridMultilevel"/>
    <w:lvl w:ilvl="0">
      <w:lvlJc w:val="left"/>
      <w:lvlText w:val="(%1)"/>
      <w:numFmt w:val="lowerLetter"/>
      <w:start w:val="4"/>
    </w:lvl>
  </w:abstractNum>
  <w:abstractNum w:abstractNumId="266">
    <w:nsid w:val="4A1D606E"/>
    <w:multiLevelType w:val="hybridMultilevel"/>
    <w:lvl w:ilvl="0">
      <w:lvlJc w:val="left"/>
      <w:lvlText w:val="%1"/>
      <w:numFmt w:val="lowerLetter"/>
      <w:start w:val="1"/>
    </w:lvl>
    <w:lvl w:ilvl="1">
      <w:lvlJc w:val="left"/>
      <w:lvlText w:val="(%2)"/>
      <w:numFmt w:val="lowerLetter"/>
      <w:start w:val="1"/>
    </w:lvl>
  </w:abstractNum>
  <w:abstractNum w:abstractNumId="267">
    <w:nsid w:val="4382503"/>
    <w:multiLevelType w:val="hybridMultilevel"/>
    <w:lvl w:ilvl="0">
      <w:lvlJc w:val="left"/>
      <w:lvlText w:val="(%1)"/>
      <w:numFmt w:val="lowerLetter"/>
      <w:start w:val="35"/>
    </w:lvl>
    <w:lvl w:ilvl="1">
      <w:lvlJc w:val="left"/>
      <w:lvlText w:val="(%2)"/>
      <w:numFmt w:val="lowerLetter"/>
      <w:start w:val="2"/>
    </w:lvl>
  </w:abstractNum>
  <w:abstractNum w:abstractNumId="268">
    <w:nsid w:val="59B76E28"/>
    <w:multiLevelType w:val="hybridMultilevel"/>
    <w:lvl w:ilvl="0">
      <w:lvlJc w:val="left"/>
      <w:lvlText w:val="1"/>
      <w:numFmt w:val="bullet"/>
      <w:start w:val="1"/>
    </w:lvl>
  </w:abstractNum>
  <w:abstractNum w:abstractNumId="269">
    <w:nsid w:val="4252C2DA"/>
    <w:multiLevelType w:val="hybridMultilevel"/>
    <w:lvl w:ilvl="0">
      <w:lvlJc w:val="left"/>
      <w:lvlText w:val="(%1)"/>
      <w:numFmt w:val="lowerLetter"/>
      <w:start w:val="6"/>
    </w:lvl>
  </w:abstractNum>
  <w:abstractNum w:abstractNumId="270">
    <w:nsid w:val="6A92EF4C"/>
    <w:multiLevelType w:val="hybridMultilevel"/>
    <w:lvl w:ilvl="0">
      <w:lvlJc w:val="left"/>
      <w:lvlText w:val="(%1)"/>
      <w:numFmt w:val="lowerLetter"/>
      <w:start w:val="1"/>
    </w:lvl>
  </w:abstractNum>
  <w:abstractNum w:abstractNumId="271">
    <w:nsid w:val="41ED20D7"/>
    <w:multiLevelType w:val="hybridMultilevel"/>
    <w:lvl w:ilvl="0">
      <w:lvlJc w:val="left"/>
      <w:lvlText w:val="%1"/>
      <w:numFmt w:val="lowerLetter"/>
      <w:start w:val="1"/>
    </w:lvl>
    <w:lvl w:ilvl="1">
      <w:lvlJc w:val="left"/>
      <w:lvlText w:val="(%2)"/>
      <w:numFmt w:val="lowerRoman"/>
      <w:start w:val="1"/>
    </w:lvl>
  </w:abstractNum>
  <w:abstractNum w:abstractNumId="272">
    <w:nsid w:val="E6B3F6A"/>
    <w:multiLevelType w:val="hybridMultilevel"/>
    <w:lvl w:ilvl="0">
      <w:lvlJc w:val="left"/>
      <w:lvlText w:val="(%1)"/>
      <w:numFmt w:val="lowerLetter"/>
      <w:start w:val="2"/>
    </w:lvl>
    <w:lvl w:ilvl="1">
      <w:lvlJc w:val="left"/>
      <w:lvlText w:val="%2"/>
      <w:numFmt w:val="lowerRoman"/>
      <w:start w:val="1"/>
    </w:lvl>
  </w:abstractNum>
  <w:abstractNum w:abstractNumId="273">
    <w:nsid w:val="3EB21819"/>
    <w:multiLevelType w:val="hybridMultilevel"/>
    <w:lvl w:ilvl="0">
      <w:lvlJc w:val="left"/>
      <w:lvlText w:val="(%1)"/>
      <w:numFmt w:val="lowerLetter"/>
      <w:start w:val="1"/>
    </w:lvl>
  </w:abstractNum>
  <w:abstractNum w:abstractNumId="274">
    <w:nsid w:val="41531DED"/>
    <w:multiLevelType w:val="hybridMultilevel"/>
    <w:lvl w:ilvl="0">
      <w:lvlJc w:val="left"/>
      <w:lvlText w:val="(%1)"/>
      <w:numFmt w:val="lowerLetter"/>
      <w:start w:val="1"/>
    </w:lvl>
  </w:abstractNum>
  <w:abstractNum w:abstractNumId="275">
    <w:nsid w:val="6353CD2"/>
    <w:multiLevelType w:val="hybridMultilevel"/>
    <w:lvl w:ilvl="0">
      <w:lvlJc w:val="left"/>
      <w:lvlText w:val="(%1)"/>
      <w:numFmt w:val="lowerLetter"/>
      <w:start w:val="1"/>
    </w:lvl>
  </w:abstractNum>
  <w:abstractNum w:abstractNumId="276">
    <w:nsid w:val="683CAAD3"/>
    <w:multiLevelType w:val="hybridMultilevel"/>
    <w:lvl w:ilvl="0">
      <w:lvlJc w:val="left"/>
      <w:lvlText w:val="•"/>
      <w:numFmt w:val="bullet"/>
      <w:start w:val="1"/>
    </w:lvl>
  </w:abstractNum>
  <w:abstractNum w:abstractNumId="277">
    <w:nsid w:val="313C7C99"/>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2022-08-10T06:48:13Z</dcterms:created>
  <dcterms:modified xsi:type="dcterms:W3CDTF">2022-08-10T06:48:13Z</dcterms:modified>
</cp:coreProperties>
</file>