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0001055951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OrbiMed Genesis Master Fund, L.P.</w:t>
      </w:r>
    </w:p>
    <w:p>
      <w:pPr>
        <w:spacing w:after="0" w:line="56" w:lineRule="exact"/>
        <w:rPr>
          <w:sz w:val="24"/>
          <w:szCs w:val="24"/>
          <w:color w:val="auto"/>
        </w:rPr>
      </w:pPr>
    </w:p>
    <w:p>
      <w:pPr>
        <w:sectPr>
          <w:pgSz w:w="11900" w:h="16838"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Themis Trading LLC</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 Town Square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Chatham  NJ  07928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6"/>
              </w:rPr>
              <w:t>186541</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16777497.54</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34765581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10/20/2025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12/29/2022</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Business</w:t>
            </w:r>
          </w:p>
        </w:tc>
        <w:tc>
          <w:tcPr>
            <w:tcW w:w="202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Issuer</w:t>
            </w:r>
          </w:p>
        </w:tc>
        <w:tc>
          <w:tcPr>
            <w:tcW w:w="22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186541</w:t>
            </w:r>
          </w:p>
        </w:tc>
        <w:tc>
          <w:tcPr>
            <w:tcW w:w="18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12/29/2022 Cash</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Combination</w:t>
            </w:r>
          </w:p>
        </w:tc>
        <w:tc>
          <w:tcPr>
            <w:tcW w:w="2020" w:type="dxa"/>
            <w:vAlign w:val="bottom"/>
            <w:vMerge w:val="continue"/>
          </w:tcPr>
          <w:p>
            <w:pPr>
              <w:spacing w:after="0"/>
              <w:rPr>
                <w:sz w:val="24"/>
                <w:szCs w:val="24"/>
                <w:color w:val="auto"/>
              </w:rPr>
            </w:pPr>
          </w:p>
        </w:tc>
        <w:tc>
          <w:tcPr>
            <w:tcW w:w="220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2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7"/>
              </w:rPr>
              <w:t>OrbiMed Genesis GP LLC is the general partner of OrbiMed Genesis Master Fund, L.P. OrbiMed Advisors LLC is</w:t>
            </w:r>
          </w:p>
        </w:tc>
        <w:tc>
          <w:tcPr>
            <w:tcW w:w="0" w:type="dxa"/>
            <w:vAlign w:val="bottom"/>
          </w:tcPr>
          <w:p>
            <w:pPr>
              <w:spacing w:after="0"/>
              <w:rPr>
                <w:sz w:val="1"/>
                <w:szCs w:val="1"/>
                <w:color w:val="auto"/>
              </w:rPr>
            </w:pPr>
          </w:p>
        </w:tc>
      </w:tr>
      <w:tr>
        <w:trPr>
          <w:trHeight w:val="282"/>
        </w:trPr>
        <w:tc>
          <w:tcPr>
            <w:tcW w:w="860" w:type="dxa"/>
            <w:vAlign w:val="bottom"/>
            <w:vMerge w:val="continue"/>
          </w:tcPr>
          <w:p>
            <w:pPr>
              <w:spacing w:after="0"/>
              <w:rPr>
                <w:sz w:val="24"/>
                <w:szCs w:val="24"/>
                <w:color w:val="auto"/>
              </w:rPr>
            </w:pPr>
          </w:p>
        </w:tc>
        <w:tc>
          <w:tcPr>
            <w:tcW w:w="100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the managing member of OrbiMed Genesis GP LLC.</w:t>
            </w: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10/20/2025</w:t>
            </w:r>
          </w:p>
        </w:tc>
        <w:tc>
          <w:tcPr>
            <w:tcW w:w="0" w:type="dxa"/>
            <w:vAlign w:val="bottom"/>
          </w:tcPr>
          <w:p>
            <w:pPr>
              <w:spacing w:after="0"/>
              <w:rPr>
                <w:sz w:val="1"/>
                <w:szCs w:val="1"/>
                <w:color w:val="auto"/>
              </w:rPr>
            </w:pPr>
          </w:p>
        </w:tc>
      </w:tr>
      <w:tr>
        <w:trPr>
          <w:trHeight w:val="161"/>
        </w:trPr>
        <w:tc>
          <w:tcPr>
            <w:tcW w:w="8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0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9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980" w:right="360" w:hanging="931"/>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/s/ Douglas Coon, Chief Compliance Officer, OrbiMed Advisors LLC, managing member of the general partner of OrbiMed Genesis Master Fund, L.P.</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2025-10-20T19:53:27Z</dcterms:created>
  <dcterms:modified xsi:type="dcterms:W3CDTF">2025-10-20T19:53:27Z</dcterms:modified>
</cp:coreProperties>
</file>