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351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3516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Novo Holdings A/S</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900" w:type="dxa"/>
            <w:vAlign w:val="bottom"/>
            <w:tcBorders>
              <w:top w:val="single" w:sz="8" w:color="0000EE"/>
              <w:bottom w:val="single" w:sz="8" w:color="9A9A9A"/>
            </w:tcBorders>
          </w:tcPr>
          <w:p>
            <w:pPr>
              <w:spacing w:after="0"/>
              <w:rPr>
                <w:sz w:val="16"/>
                <w:szCs w:val="16"/>
                <w:color w:val="auto"/>
              </w:rPr>
            </w:pPr>
          </w:p>
        </w:tc>
        <w:tc>
          <w:tcPr>
            <w:tcW w:w="88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12/29/2022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Disc Medicine,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IRON</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28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8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TUBORG HAVNEVEJ 19</w:t>
            </w:r>
          </w:p>
        </w:tc>
      </w:tr>
      <w:tr>
        <w:trPr>
          <w:trHeight w:val="237"/>
        </w:trPr>
        <w:tc>
          <w:tcPr>
            <w:tcW w:w="78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9"/>
        </w:trPr>
        <w:tc>
          <w:tcPr>
            <w:tcW w:w="1800" w:type="dxa"/>
            <w:vAlign w:val="bottom"/>
            <w:gridSpan w:val="2"/>
          </w:tcPr>
          <w:p>
            <w:pPr>
              <w:ind w:left="40"/>
              <w:spacing w:after="0"/>
              <w:rPr>
                <w:sz w:val="20"/>
                <w:szCs w:val="20"/>
                <w:color w:val="auto"/>
              </w:rPr>
            </w:pPr>
            <w:r>
              <w:rPr>
                <w:rFonts w:ascii="Arial" w:cs="Arial" w:eastAsia="Arial" w:hAnsi="Arial"/>
                <w:sz w:val="20"/>
                <w:szCs w:val="20"/>
                <w:color w:val="0000FF"/>
              </w:rPr>
              <w:t>HELLERUP G7</w:t>
            </w:r>
          </w:p>
        </w:tc>
        <w:tc>
          <w:tcPr>
            <w:tcW w:w="1300" w:type="dxa"/>
            <w:vAlign w:val="bottom"/>
          </w:tcPr>
          <w:p>
            <w:pPr>
              <w:ind w:left="300"/>
              <w:spacing w:after="0"/>
              <w:rPr>
                <w:sz w:val="20"/>
                <w:szCs w:val="20"/>
                <w:color w:val="auto"/>
              </w:rPr>
            </w:pPr>
            <w:r>
              <w:rPr>
                <w:rFonts w:ascii="Arial" w:cs="Arial" w:eastAsia="Arial" w:hAnsi="Arial"/>
                <w:sz w:val="20"/>
                <w:szCs w:val="20"/>
                <w:color w:val="0000FF"/>
              </w:rPr>
              <w:t>2900</w:t>
            </w:r>
          </w:p>
        </w:tc>
      </w:tr>
      <w:tr>
        <w:trPr>
          <w:trHeight w:val="177"/>
        </w:trPr>
        <w:tc>
          <w:tcPr>
            <w:tcW w:w="7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4"/>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20" w:type="dxa"/>
            <w:vAlign w:val="bottom"/>
          </w:tcPr>
          <w:p>
            <w:pPr>
              <w:ind w:left="28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r>
              <w:rPr>
                <w:rFonts w:ascii="Arial" w:cs="Arial" w:eastAsia="Arial" w:hAnsi="Arial"/>
                <w:sz w:val="25"/>
                <w:szCs w:val="25"/>
                <w:color w:val="008000"/>
                <w:vertAlign w:val="superscript"/>
              </w:rPr>
              <w:t>(1)</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ind w:left="380"/>
              <w:spacing w:after="0"/>
              <w:rPr>
                <w:sz w:val="20"/>
                <w:szCs w:val="20"/>
                <w:color w:val="auto"/>
              </w:rPr>
            </w:pPr>
            <w:r>
              <w:rPr>
                <w:rFonts w:ascii="Arial" w:cs="Arial" w:eastAsia="Arial" w:hAnsi="Arial"/>
                <w:sz w:val="20"/>
                <w:szCs w:val="20"/>
                <w:color w:val="0000FF"/>
              </w:rPr>
              <w:t>2,340,772</w:t>
            </w:r>
            <w:r>
              <w:rPr>
                <w:rFonts w:ascii="Arial" w:cs="Arial" w:eastAsia="Arial" w:hAnsi="Arial"/>
                <w:sz w:val="25"/>
                <w:szCs w:val="25"/>
                <w:color w:val="008000"/>
                <w:vertAlign w:val="superscript"/>
              </w:rPr>
              <w:t>(2)</w:t>
            </w:r>
          </w:p>
        </w:tc>
        <w:tc>
          <w:tcPr>
            <w:tcW w:w="980" w:type="dxa"/>
            <w:vAlign w:val="bottom"/>
            <w:tcBorders>
              <w:bottom w:val="single" w:sz="8" w:color="2C2C2C"/>
            </w:tcBorders>
            <w:gridSpan w:val="2"/>
          </w:tcPr>
          <w:p>
            <w:pPr>
              <w:ind w:left="820"/>
              <w:spacing w:after="0"/>
              <w:rPr>
                <w:sz w:val="20"/>
                <w:szCs w:val="20"/>
                <w:color w:val="auto"/>
              </w:rPr>
            </w:pPr>
            <w:r>
              <w:rPr>
                <w:rFonts w:ascii="Arial" w:cs="Arial" w:eastAsia="Arial" w:hAnsi="Arial"/>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980" w:type="dxa"/>
            <w:vAlign w:val="bottom"/>
            <w:gridSpan w:val="2"/>
            <w:vMerge w:val="restart"/>
          </w:tcPr>
          <w:p>
            <w:pPr>
              <w:ind w:left="2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92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80" w:type="dxa"/>
            <w:vAlign w:val="bottom"/>
            <w:gridSpan w:val="2"/>
          </w:tcPr>
          <w:p>
            <w:pPr>
              <w:ind w:left="2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80" w:type="dxa"/>
            <w:vAlign w:val="bottom"/>
            <w:gridSpan w:val="2"/>
          </w:tcPr>
          <w:p>
            <w:pPr>
              <w:ind w:left="280"/>
              <w:spacing w:after="0" w:line="161"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80" w:type="dxa"/>
            <w:vAlign w:val="bottom"/>
          </w:tcPr>
          <w:p>
            <w:pPr>
              <w:spacing w:after="0"/>
              <w:rPr>
                <w:sz w:val="14"/>
                <w:szCs w:val="14"/>
                <w:color w:val="auto"/>
              </w:rPr>
            </w:pPr>
          </w:p>
        </w:tc>
        <w:tc>
          <w:tcPr>
            <w:tcW w:w="980" w:type="dxa"/>
            <w:vAlign w:val="bottom"/>
            <w:gridSpan w:val="2"/>
          </w:tcPr>
          <w:p>
            <w:pPr>
              <w:ind w:left="2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80" w:type="dxa"/>
            <w:vAlign w:val="bottom"/>
            <w:gridSpan w:val="2"/>
          </w:tcPr>
          <w:p>
            <w:pPr>
              <w:ind w:left="2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380" w:firstLine="5"/>
        <w:spacing w:after="0" w:line="241"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Effective as of December 29, 2022 (the "Effective Time"), a wholly-owned subsidiary of Gemini Therapeutics, Inc. ("Gemini"), merged (the "Merger") with and into Disc Medicine, Inc. ("Disc") resulting in, among other things, Disc becoming a wholly owned subsidiary of Gemini. At the Effective Time, Gemini effected a name change to "Disc Medicine, Inc." (hereinafter, the "Issuer").</w:t>
      </w:r>
    </w:p>
    <w:p>
      <w:pPr>
        <w:spacing w:after="0" w:line="35" w:lineRule="exact"/>
        <w:rPr>
          <w:rFonts w:ascii="Arial" w:cs="Arial" w:eastAsia="Arial" w:hAnsi="Arial"/>
          <w:sz w:val="15"/>
          <w:szCs w:val="15"/>
          <w:color w:val="008000"/>
        </w:rPr>
      </w:pPr>
    </w:p>
    <w:p>
      <w:pPr>
        <w:jc w:val="both"/>
        <w:ind w:left="40" w:right="180" w:firstLine="5"/>
        <w:spacing w:after="0" w:line="241"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Represents the number of shares of common stock of the Issuer received by the Reporting Person in the Merger in exchange for the shares of Disc held by the Reporting Person prior to the Merger. Each share of Disc common stock held at the Effective Time was exchanged for 0.1096 shares of the Issuer's common stock, which gives effect to the reverse split of common stock effected by the Issuer and the Merger exchange ratio.</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31"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84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8"/>
              </w:rPr>
              <w:t>/s/ Barbara Fiorini Due,</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3080" w:type="dxa"/>
            <w:vAlign w:val="bottom"/>
            <w:gridSpan w:val="5"/>
          </w:tcPr>
          <w:p>
            <w:pPr>
              <w:spacing w:after="0" w:line="220" w:lineRule="exact"/>
              <w:rPr>
                <w:sz w:val="20"/>
                <w:szCs w:val="20"/>
                <w:color w:val="auto"/>
              </w:rPr>
            </w:pPr>
            <w:r>
              <w:rPr>
                <w:rFonts w:ascii="Arial" w:cs="Arial" w:eastAsia="Arial" w:hAnsi="Arial"/>
                <w:sz w:val="20"/>
                <w:szCs w:val="20"/>
                <w:color w:val="0000FF"/>
                <w:w w:val="89"/>
              </w:rPr>
              <w:t>General Counsel, Finance  01/03/2023</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180" w:type="dxa"/>
            <w:vAlign w:val="bottom"/>
            <w:tcBorders>
              <w:top w:val="single" w:sz="8" w:color="auto"/>
              <w:bottom w:val="single" w:sz="8" w:color="auto"/>
            </w:tcBorders>
          </w:tcPr>
          <w:p>
            <w:pPr>
              <w:spacing w:after="0" w:line="220" w:lineRule="exact"/>
              <w:rPr>
                <w:sz w:val="20"/>
                <w:szCs w:val="20"/>
                <w:color w:val="auto"/>
              </w:rPr>
            </w:pPr>
            <w:r>
              <w:rPr>
                <w:rFonts w:ascii="Arial" w:cs="Arial" w:eastAsia="Arial" w:hAnsi="Arial"/>
                <w:sz w:val="20"/>
                <w:szCs w:val="20"/>
                <w:color w:val="0000FF"/>
                <w:w w:val="84"/>
              </w:rPr>
              <w:t>and Operations</w:t>
            </w:r>
          </w:p>
        </w:tc>
        <w:tc>
          <w:tcPr>
            <w:tcW w:w="6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184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184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18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38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38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6"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388325" TargetMode="External"/><Relationship Id="rId11"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2023-01-03T15:43:32Z</dcterms:created>
  <dcterms:modified xsi:type="dcterms:W3CDTF">2023-01-03T15:43:32Z</dcterms:modified>
</cp:coreProperties>
</file>