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Lubner David Charles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Gemini Therapeutics, Inc. /DE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CAMBRIDGE,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shall vest and become exercisable in 36 equal monthly installments following the Grant Date, provided that as of each such date the Grantee remains in a business relationship with the Company.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200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2021-03-15T15:32:03Z</dcterms:created>
  <dcterms:modified xsi:type="dcterms:W3CDTF">2021-03-15T15:32:03Z</dcterms:modified>
</cp:coreProperties>
</file>