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321 Arsenal Street</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101</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44"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January 22, 2025, Disc Medicine, Inc. (the “Company”) entered into an Underwriting Agreement (the “Underwriting Agreement”) with Jefferies LLC, Leerink Partners LLC, Stifel, Nicolaus &amp; Company, Incorporated and Cantor Fitzgerald &amp; Co. as representatives of the several underwriters listed on Schedule I thereto (the “Underwriters”), related to an underwritten offering (the “Offering”) of (i) 3,918,182 shares of common stock of the Company, par value $0.0001 per share (“Common Stock”) at a price to the public of $55.00 per share and (ii) pre-funded warrants to purchase an aggregate of 181,818 shares of Common Stock (the “Pre-Funded Warrants”), at a price to the public of $54.9999 per Pre-Funded Warrant, which represents the per share public offering price for the Common Stock less the $0.0001 per share exercise price for each such Pre-Funded Warrant. In addition, the Company granted the Underwriters an option exercisable for 30 days from the date of the Underwriting Agreement to purchase, at the public offering price less any underwriting discounts and commissions, up to an additional 615,000 shares of Common Stock, which the Underwriters exercised in full on January 23, 2025.</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net proceeds from the Offering are expected to be approximately $243.3 million, which includes the proceeds from the Underwriters’ exercise in full of their option to purchase additional shares, after deducting the underwriting discount and estimated offering expenses. The Company will receive nominal proceeds, if any, from the exercise of the Pre-Funded Warrants. The Company expects that its cash, cash equivalents and marketable securities, together with the estimated net proceeds from the Offering, will be sufficient to fund its current operating and capital expenditure plans into 2028, without taking into account any potential cash inflows from bitopertin or any other marketed product, if approved during such period. The Offering closed on January 24, 2025.</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Pre-Funded Warrant will be exercisable for one share Common Stock at an exercise price of $0.0001 per share, or alternatively, at the election of each holder, shares of Common Stock may be issued through a cashless exercise, with the net number of shares of Common Stock determined according to the formula set forth in each Pre-Funded Warrant. The Pre-Funded Warrants will be immediately exercisable and may be exercised at any time until all of the Pre-Funded Warrants are exercised in full. A holder (together with its “attribution parties,” as defined in the Pre-Funded Warrant) may not exercise any portion of the Pre-Funded Warrants if immediately after exercise, the holder (together with its attribution parties),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if the exercise of a Pre-Funded Warrant would result in a holder of Pre-Funded Warrants (together with its attribution parties) acquiring beneficial ownership of Common Stock (together with all other equity owned by such holder at such time) equal to or in excess of the notification threshold applicable to such holder (the “HSR Threshold”) under the Hart-Scott-Rodino Antitrust Improvements Act of 1976, as amended (the “HSR Act”), as of the date of delivery of the applicable exercise notice,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either the HSR Threshold or the Ownership Limit. The Company does not intend to list the Pre-Funded Warrants on the Nasdaq Global Market, any other national securities exchange or any other nationally recognized trading system.</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made certain customary representations, warranties and covenants concerning the Company and the registration statement in the Underwriting Agreement and also agreed to indemnify the Underwriters against certain liabilities, including liabilities under the Securities Act of 1933, as amended (the “Securities Act”). The Offering is being made pursuant to the Company’s automatic shelf registration statement on Form S-3 (File No. 333-281359),</w:t>
      </w:r>
    </w:p>
    <w:p>
      <w:pPr>
        <w:sectPr>
          <w:pgSz w:w="11900" w:h="16838" w:orient="portrait"/>
          <w:cols w:equalWidth="0" w:num="1">
            <w:col w:w="10980"/>
          </w:cols>
          <w:pgMar w:left="440" w:top="293" w:right="479" w:bottom="1440" w:gutter="0" w:footer="0" w:header="0"/>
        </w:sectPr>
      </w:pPr>
    </w:p>
    <w:bookmarkStart w:id="2" w:name="page3"/>
    <w:bookmarkEnd w:id="2"/>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filed with the Securities and Exchange Commission (the “Commission”) on August 8, 2024, as supplemented by a final prospectus supplement dated January 22, 2025, filed on January 23, 2025. This Current Report on Form 8-K does not constitute an offer to sell or a solicitation of an offer to buy any of the shares of Common Stock or the Pre-Funded Warrants.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foregoing description of certain terms of the Underwriting Agreement and the transactions contemplated thereby does not purport to be complete and is subject to, and qualified in its entirety by, the full text of the Underwriting Agreement, which is attached as Exhibit 1.1 hereto and is incorporated by reference herein. The form of Pre-Funded Warrant to Purchase Common Stock is filed as Exhibit 4.1 to this Current Report on Form 8-K and is incorporated herein by reference, and the foregoing description of the terms of the Pre-Funded Warrants is qualified in its entirety by reference to such exhibit. A copy of the opinion of Goodwin Procter LLP, relating to the legality of the shares of Common Stock, the Pre-Funded Warrants and the shares of Common Stock issuable upon exercise of the Pre-Funded Warrants, is filed as Exhibit 5.1 hereto and is incorporated by reference herein.</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January 21, 2025, the Company issued a press release announcing the Offering. On January 22, 2025, the Company issued a press release announcing that it had priced the Offering. Copies of these press releases are attached hereto as Exhibit 99.1 and Exhibit 99.2, respectively, and are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but not limited to, express or implied statements regarding the Company’s anticipated cash runway. The use of words such as, but not limited to, “believe,” “expect,” “estimate,” “project,” “intend,” “future,” “potential,” “continue,” “may,” “might,” “plan,” “will,” “should,” “seek,” “anticipate,” or “could” or the negative of these terms and other similar words or expressions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nature, strategy and focus of the Company; the Company’s plans to research, develop and commercialize its current and future product candidates; the timing of the availability of data from the Company’s clinical trials; the timing and anticipated results of the Company’s preclinical studies and clinical trials and the risk that the results of the Company’s clinical trials may not be predictive of future results in connection with future studies or clinical trials and may not support further development and marketing approval; and the other risks and uncertainties described in the Company’s filings with the Securities and Exchange Commission, including in the “Risk Factors” section of the Company’s Annual Report on Form 10-K for the year ended December 31, 2023 and in the Company’s Quarterly Report on Form 10-Q for the quarterly period ended September 30, 2024.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w:t>
      </w:r>
    </w:p>
    <w:p>
      <w:pPr>
        <w:sectPr>
          <w:pgSz w:w="11900" w:h="16838" w:orient="portrait"/>
          <w:cols w:equalWidth="0" w:num="1">
            <w:col w:w="10960"/>
          </w:cols>
          <w:pgMar w:left="440" w:top="297" w:right="499" w:bottom="1440" w:gutter="0" w:footer="0" w:header="0"/>
        </w:sectPr>
      </w:pPr>
    </w:p>
    <w:bookmarkStart w:id="3" w:name="page4"/>
    <w:bookmarkEnd w:id="3"/>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4" w:right="36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as of January 22, 2025, by and among the Company and Jefferies LLC and Leerink Partners LLC, as representatives of the several underwriters listed on Schedule A thereto.</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Pre-Funded Warrant.</w:t>
      </w:r>
    </w:p>
    <w:p>
      <w:pPr>
        <w:spacing w:after="0" w:line="128" w:lineRule="exact"/>
        <w:rPr>
          <w:rFonts w:ascii="Times New Roman" w:cs="Times New Roman" w:eastAsia="Times New Roman" w:hAnsi="Times New Roman"/>
          <w:sz w:val="16"/>
          <w:szCs w:val="16"/>
          <w:color w:val="auto"/>
        </w:rPr>
      </w:pPr>
    </w:p>
    <w:p>
      <w:pPr>
        <w:ind w:left="884"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0000EE"/>
        </w:rPr>
        <w:t>Opinion of Goodwin Procter LLP regarding the issue of Common Stock, Pre-Funded Warrants and Common Stock issuable upon exercise of the Pre-Funded Warrants being registered.</w:t>
      </w:r>
    </w:p>
    <w:p>
      <w:pPr>
        <w:spacing w:after="0" w:line="4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r>
      <w:tr>
        <w:trPr>
          <w:trHeight w:val="20"/>
        </w:trPr>
        <w:tc>
          <w:tcPr>
            <w:tcW w:w="88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announcing the Offering, dated January 21, 2025.</w:t>
            </w:r>
          </w:p>
        </w:tc>
        <w:tc>
          <w:tcPr>
            <w:tcW w:w="1220" w:type="dxa"/>
            <w:vAlign w:val="bottom"/>
            <w:gridSpan w:val="2"/>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announcing the pricing of the Offering, dated January 22, 2025.</w:t>
            </w:r>
          </w:p>
        </w:tc>
      </w:tr>
      <w:tr>
        <w:trPr>
          <w:trHeight w:val="20"/>
        </w:trPr>
        <w:tc>
          <w:tcPr>
            <w:tcW w:w="880" w:type="dxa"/>
            <w:vAlign w:val="bottom"/>
          </w:tcPr>
          <w:p>
            <w:pPr>
              <w:spacing w:after="0" w:line="20" w:lineRule="exact"/>
              <w:rPr>
                <w:sz w:val="1"/>
                <w:szCs w:val="1"/>
                <w:color w:val="auto"/>
              </w:rPr>
            </w:pPr>
          </w:p>
        </w:tc>
        <w:tc>
          <w:tcPr>
            <w:tcW w:w="55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824"/>
          </w:cols>
          <w:pgMar w:left="436" w:top="293" w:right="639" w:bottom="1440" w:gutter="0" w:footer="0" w:header="0"/>
        </w:sectPr>
      </w:pPr>
    </w:p>
    <w:bookmarkStart w:id="4" w:name="page5"/>
    <w:bookmarkEnd w:id="4"/>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January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260"/>
          </w:cols>
          <w:pgMar w:left="440" w:top="297"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ind w:left="220"/>
        <w:spacing w:after="0" w:line="196" w:lineRule="auto"/>
        <w:rPr>
          <w:sz w:val="20"/>
          <w:szCs w:val="20"/>
          <w:color w:val="auto"/>
        </w:rPr>
      </w:pPr>
      <w:r>
        <w:rPr>
          <w:rFonts w:ascii="Times New Roman" w:cs="Times New Roman" w:eastAsia="Times New Roman" w:hAnsi="Times New Roman"/>
          <w:sz w:val="18"/>
          <w:szCs w:val="18"/>
          <w:color w:val="auto"/>
        </w:rPr>
        <w:t>53 State Street,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Stifel, Nicolaus &amp; Company, Incorporated</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787 7th Avenue, 11th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110 East 59th Street, 6th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 3,918,182 shares of its common stock, par value $0.0001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and (b) pre-funded warrants to purchase up to 181,818 shares of the Company’s common stock, par value $0.0001 per share, in a form to be mutually agreed upon by the Company and the Representatives (as defined below)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Firm Shares,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at an exercise price of $0.0001.</w:t>
      </w:r>
    </w:p>
    <w:p>
      <w:pPr>
        <w:spacing w:after="0" w:line="18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 also proposes to issue and sell to the several Underwriters not more than an additional 615,000 shares of its common stock, par value $0.0001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Jefferies LLC, Leerink Partners LLC, Stifel, Nicolaus &amp; Company, Incorporated and Cantor Fitzgerald &amp; Co. (together,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as representatives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Pre-Funded Warrants,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shares of the Company’s common stock, par value $0.0001 per share, issuable upon exercise of the Pre-Funded Warrants are herein referred to as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common stock, par value $0.0001 per share, of the Company to be outstanding after giving effect to the sales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6" w:name="page7"/>
    <w:bookmarkEnd w:id="6"/>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on Form S-3 (File No. 333-281359), relating to the various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Securities,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dated August 8, 2024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any preliminary form of the Prospectus.</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Basic Prospectus as supplemented by the documents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b w:val="1"/>
          <w:bCs w:val="1"/>
          <w:color w:val="auto"/>
        </w:rPr>
        <w:t>bona fide electronic road show</w:t>
      </w:r>
      <w:r>
        <w:rPr>
          <w:rFonts w:ascii="Times New Roman" w:cs="Times New Roman" w:eastAsia="Times New Roman" w:hAnsi="Times New Roman"/>
          <w:sz w:val="18"/>
          <w:szCs w:val="18"/>
          <w:color w:val="auto"/>
        </w:rPr>
        <w:t>” as defined in Rule 433(h)(5) under the Securities Act that has been made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restriction to any person. As used herein, the terms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79" w:lineRule="exact"/>
        <w:rPr>
          <w:sz w:val="20"/>
          <w:szCs w:val="20"/>
          <w:color w:val="auto"/>
        </w:rPr>
      </w:pPr>
    </w:p>
    <w:p>
      <w:pPr>
        <w:ind w:left="1040" w:hanging="181"/>
        <w:spacing w:after="0"/>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knowledge of the Company, threatened by the Commission. At the time the Registration Statement was effective and at the time the Company’s most recent annual report on Form 10-K was filed with the Commission, if later, the Company was, or will be, a “well known seasoned issuer” as defined in Rule 405 under the Securities Act and met or will meet the then applicable requirements for the use of Form S-3 under the Securities Act, including, but not limited to, General Instruction I.B.1 of Form S-3. The Registration Statement is an “automatic shelf</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as defined in Rule 405 under the Securities Act, and became effective upon filing. The Company has not received from the Commission any notice pursuant to Rule 401(g)(2) under the Securities Act objecting to the Company’s use of the automatic shelf registration form. The Company is not a shell company (as defined in Rule 405) and has not been a shell company for at least 12 calendar months previously.</w:t>
      </w:r>
    </w:p>
    <w:p>
      <w:pPr>
        <w:spacing w:after="0" w:line="68" w:lineRule="exact"/>
        <w:rPr>
          <w:sz w:val="20"/>
          <w:szCs w:val="20"/>
          <w:color w:val="auto"/>
        </w:rPr>
      </w:pPr>
    </w:p>
    <w:p>
      <w:pPr>
        <w:ind w:right="20" w:firstLine="436"/>
        <w:spacing w:after="0" w:line="25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and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such Underwriter through the Representatives expressly for use therein, it being understood and agreed upon that the only such information in the Prospectus furnished on behalf of each Underwriter is the concession figure appearing in the third paragraph under the caption “Underwriting”, and the information regarding selling restrictions contained in the eighteenth and nineteenth paragraphs under the caption “Underwriting”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right="260" w:firstLine="436"/>
        <w:spacing w:after="0" w:line="266"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75" w:lineRule="exact"/>
        <w:rPr>
          <w:sz w:val="20"/>
          <w:szCs w:val="20"/>
          <w:color w:val="auto"/>
        </w:rPr>
      </w:pPr>
    </w:p>
    <w:p>
      <w:pPr>
        <w:ind w:right="500" w:firstLine="436"/>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ind w:right="540" w:firstLine="436"/>
        <w:spacing w:after="0" w:line="266"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Company’s Registration Statement on Form S-1 (File No. 333-240098) to the Commission through December 31, 2024, the Company was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120" w:firstLine="436"/>
        <w:spacing w:after="0" w:line="266"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Time of Sale Prospectus and the Prospectus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of the Exchange Act and is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Shares and the Warrant Shares.</w:t>
      </w:r>
    </w:p>
    <w:p>
      <w:pPr>
        <w:spacing w:after="0" w:line="79"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 such term is defined in Rule 1-02 of Regulation S-X promulgated under the Securities Act) has the right to act as an underwriter or as a financial advisor to the Company in connection with the offer and sale of the Securities hereunder, whether as a result of the filing or effectiveness of the Registration Statement or the sale of the Securities as contemplated hereby or otherwise. Except for the Underwriters,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9" w:name="page10"/>
    <w:bookmarkEnd w:id="9"/>
    <w:p>
      <w:pPr>
        <w:ind w:left="-40" w:right="40" w:firstLine="436"/>
        <w:spacing w:after="0" w:line="254"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 the Time of Sale Prospectus and the Prospectus and to enter into and perform its obligations under this Agreement.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prospects,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0" w:firstLine="436"/>
        <w:spacing w:after="0" w:line="268" w:lineRule="auto"/>
        <w:tabs>
          <w:tab w:leader="none" w:pos="6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“subsidiaries” (for purposes of this Agreement, as defined in Rule 405 under the Securities Act) (each, a “</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u w:val="single" w:color="auto"/>
          <w:color w:val="auto"/>
        </w:rPr>
        <w:t>Subsidiaries</w:t>
      </w:r>
      <w:r>
        <w:rPr>
          <w:rFonts w:ascii="Times New Roman" w:cs="Times New Roman" w:eastAsia="Times New Roman" w:hAnsi="Times New Roman"/>
          <w:sz w:val="17"/>
          <w:szCs w:val="17"/>
          <w:color w:val="auto"/>
        </w:rPr>
        <w:t>”) has been duly incorporated, organized or formed and is validly existing in good standing (where such concept exists) under the laws of the jurisdiction of its incorporation or organization and has full power and authority to acquire, own, lease and operate its properties, and to conduct its business as described in the Registration Statement, the Time of Sale Prospectus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Except for Disc Medicine Opco, Inc., a Delaware corporation, Disc Medicine B.V., a Netherlands private limited company, Disc Medicine Securities Corp., a Massachusetts corporation, and Disc Medicine Pty Ltd, an Australian proprietary limited company, the Company does not own or control, directly or indirectly, any corporation, association or other entity. Only Disc Medicine Opco, Inc. constitutes a “significant subsidiary” within the meaning of Rule 1-02 of Regulation S-X.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70" w:right="499" w:bottom="1440" w:gutter="0" w:footer="0" w:header="0"/>
        </w:sectPr>
      </w:pPr>
    </w:p>
    <w:bookmarkStart w:id="10" w:name="page11"/>
    <w:bookmarkEnd w:id="10"/>
    <w:p>
      <w:pPr>
        <w:ind w:right="460" w:firstLine="436"/>
        <w:spacing w:after="0" w:line="28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authorized capital stock of the Company conforms as to legal matters to the description thereof contained in each of the Registration Statement, the Time of Sale Prospectus and the Prospectus.</w:t>
      </w:r>
    </w:p>
    <w:p>
      <w:pPr>
        <w:spacing w:after="0" w:line="53" w:lineRule="exact"/>
        <w:rPr>
          <w:rFonts w:ascii="Times New Roman" w:cs="Times New Roman" w:eastAsia="Times New Roman" w:hAnsi="Times New Roman"/>
          <w:sz w:val="18"/>
          <w:szCs w:val="18"/>
          <w:color w:val="auto"/>
        </w:rPr>
      </w:pPr>
    </w:p>
    <w:p>
      <w:pPr>
        <w:ind w:right="100" w:firstLine="436"/>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conforms in all material respects to the description thereof contained in the Registration Statement, the Time of Sale Prospectus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80" w:lineRule="exact"/>
        <w:rPr>
          <w:rFonts w:ascii="Times New Roman" w:cs="Times New Roman" w:eastAsia="Times New Roman" w:hAnsi="Times New Roman"/>
          <w:sz w:val="18"/>
          <w:szCs w:val="18"/>
          <w:color w:val="auto"/>
        </w:rPr>
      </w:pPr>
    </w:p>
    <w:p>
      <w:pPr>
        <w:ind w:right="60" w:firstLine="436"/>
        <w:spacing w:after="0" w:line="266" w:lineRule="auto"/>
        <w:tabs>
          <w:tab w:leader="none" w:pos="7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Securities will not be subject to any preemptive or similar rights that have not been validly waived. This Agreement has been duly authorized, executed and delivered by the Company.</w:t>
      </w:r>
    </w:p>
    <w:p>
      <w:pPr>
        <w:spacing w:after="0" w:line="6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conform in all material respects to the description thereof contained in the Time of Sale Prospectus and the Prospectus, including under the heading “Description of Warrants.” The Pre-Funded Warrants have been duly authorized and, when executed and delivered by the Company in accordance with this Agreement, will be valid and legally binding agreements of the Company, enforceable against the Company in accordance with their terms except as the enforcement thereof may be limited by applicable bankruptcy, insolvency, reorganization, moratorium or other similar laws relating to or affecting the rights and remedies of creditors or by general equitable principles. The maximum number of Warrant Shares to be issued by the Company upon exercise of the Pre-Funded Warrants in accordance therewith have been duly authorized and have been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similar rights not otherwise validly waived or satisfied.</w:t>
      </w:r>
    </w:p>
    <w:p>
      <w:pPr>
        <w:spacing w:after="0" w:line="80"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ind w:firstLine="436"/>
        <w:spacing w:after="0" w:line="254"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and delivery by the Company of, and the performance by the Company of its obligations under, this Agreement will not contravene any provision of (i) applicable law, (ii) the certificate of incorporation or by 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Securities.</w:t>
      </w:r>
    </w:p>
    <w:p>
      <w:pPr>
        <w:spacing w:after="0" w:line="83"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Effect, or any development involving a prospective Material Adverse Effect, in the condition, financial or otherwise, or in the earnings, business or operations of the Company and its subsidiaries, taken as a whole, from that set forth in the Time of Sale Prospectus.</w:t>
      </w:r>
    </w:p>
    <w:p>
      <w:pPr>
        <w:spacing w:after="0" w:line="67" w:lineRule="exact"/>
        <w:rPr>
          <w:rFonts w:ascii="Times New Roman" w:cs="Times New Roman" w:eastAsia="Times New Roman" w:hAnsi="Times New Roman"/>
          <w:sz w:val="18"/>
          <w:szCs w:val="18"/>
          <w:color w:val="auto"/>
        </w:rPr>
      </w:pPr>
    </w:p>
    <w:p>
      <w:pPr>
        <w:ind w:right="120" w:firstLine="436"/>
        <w:spacing w:after="0" w:line="261" w:lineRule="auto"/>
        <w:tabs>
          <w:tab w:leader="none" w:pos="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except as have been validly waived or complied with in connection with the issuance and sale of the Securities contemplated hereby.</w:t>
      </w:r>
    </w:p>
    <w:p>
      <w:pPr>
        <w:spacing w:after="0" w:line="71" w:lineRule="exact"/>
        <w:rPr>
          <w:rFonts w:ascii="Times New Roman" w:cs="Times New Roman" w:eastAsia="Times New Roman" w:hAnsi="Times New Roman"/>
          <w:sz w:val="18"/>
          <w:szCs w:val="18"/>
          <w:color w:val="auto"/>
        </w:rPr>
      </w:pPr>
    </w:p>
    <w:p>
      <w:pPr>
        <w:ind w:firstLine="436"/>
        <w:spacing w:after="0" w:line="254" w:lineRule="auto"/>
        <w:tabs>
          <w:tab w:leader="none" w:pos="6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forma adjustments have been properly applied to the historical amounts in the compilation of those statements and data. There are no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(historical or pro forma) that are required to be included or incorporated by reference in the Registration Statement, the Time of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or the Prospectus that are not included or incorporated by reference therein as required. The Company and the Subsidiaries do not have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liabilities or obligations, direct or contingent (including any off-balance sheet obligations), not disclosed in the Registration Statement, the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Sale Prospectus and the Prospectus. All disclosures contained in the Registration Statement, the Time of Sale Prospectus or the Prospectus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 “non-GAAP financial measures” (as such term is defined by the rules and regulations of the Commission) comply, in all material respects,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G under the Exchange Act and Item 10 of Regulation S-K under the Securities Act, to the extent applicable. The statistical, industry-related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market-related data included in each of the Registration Statement, the Time of Sale Prospectus and the Prospectus are based on or derived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which the Company reasonably and in good faith believes are reliable and accurate and such data is consistent with the sources from which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derived, in each case in all material respects and the Company has obtained the written consent to the use of such data from such sources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required. To the Company’s knowledge, no person who has been suspended or barred from being associated with a registered public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or who has failed to comply with any sanction pursuant to Rule 5300 promulgated by the Public Company Accounting Oversight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Commission as a part of the Registration Statement and the Prospectus.</w:t>
      </w:r>
    </w:p>
    <w:p>
      <w:pPr>
        <w:spacing w:after="0" w:line="99" w:lineRule="exact"/>
        <w:rPr>
          <w:sz w:val="20"/>
          <w:szCs w:val="20"/>
          <w:color w:val="auto"/>
        </w:rPr>
      </w:pPr>
    </w:p>
    <w:p>
      <w:pPr>
        <w:ind w:right="20" w:firstLine="436"/>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80"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 w:name="page14"/>
    <w:bookmarkEnd w:id="13"/>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of Sale Prospectus and the Prospectus, is an independent registered public accounting firm with respect to the Company within the meaning of the Securities Act and the applicable rules and regulations thereunder adopted by the Commission and the PCAOB. Ernst &amp; Young LLP has not been engaged by the Company to perform any “prohibited activities” or provided to the Company any “non-audit services” (as defined in Section 10A of the Exchange Act).</w:t>
      </w:r>
    </w:p>
    <w:p>
      <w:pPr>
        <w:spacing w:after="0" w:line="72" w:lineRule="exact"/>
        <w:rPr>
          <w:sz w:val="20"/>
          <w:szCs w:val="20"/>
          <w:color w:val="auto"/>
        </w:rPr>
      </w:pPr>
    </w:p>
    <w:p>
      <w:pPr>
        <w:ind w:firstLine="436"/>
        <w:spacing w:after="0" w:line="26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Securities.</w:t>
      </w:r>
    </w:p>
    <w:p>
      <w:pPr>
        <w:spacing w:after="0" w:line="67" w:lineRule="exact"/>
        <w:rPr>
          <w:rFonts w:ascii="Times New Roman" w:cs="Times New Roman" w:eastAsia="Times New Roman" w:hAnsi="Times New Roman"/>
          <w:sz w:val="18"/>
          <w:szCs w:val="18"/>
          <w:color w:val="auto"/>
        </w:rPr>
      </w:pPr>
    </w:p>
    <w:p>
      <w:pPr>
        <w:ind w:right="220" w:firstLine="436"/>
        <w:spacing w:after="0" w:line="261"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right="200" w:firstLine="436"/>
        <w:spacing w:after="0" w:line="25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right="340" w:firstLine="436"/>
        <w:spacing w:after="0" w:line="274" w:lineRule="auto"/>
        <w:tabs>
          <w:tab w:leader="none" w:pos="69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64" w:lineRule="exact"/>
        <w:rPr>
          <w:rFonts w:ascii="Times New Roman" w:cs="Times New Roman" w:eastAsia="Times New Roman" w:hAnsi="Times New Roman"/>
          <w:sz w:val="17"/>
          <w:szCs w:val="17"/>
          <w:color w:val="auto"/>
        </w:rPr>
      </w:pPr>
    </w:p>
    <w:p>
      <w:pPr>
        <w:ind w:firstLine="436"/>
        <w:spacing w:after="0" w:line="256"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 the Time of Sale Prospectus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ind w:left="764" w:hanging="324"/>
        <w:spacing w:after="0"/>
        <w:tabs>
          <w:tab w:leader="none" w:pos="7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of its Subsidiaries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the Registration Statement, the Time of Sale Prospectus and the Prospectus, since the end of the Company’s most recent audited fiscal year, (i)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 and (ii) the interactive data in the eXtensible Business Reporting Language included or incorporated by reference in the Registration Statement, the Time of Sale Prospectus and the Prospectus fairly presents the information called for in all respects and has been prepared in accordance with the Commission’s rules and guidelines applicable thereto.</w:t>
      </w:r>
    </w:p>
    <w:p>
      <w:pPr>
        <w:spacing w:after="0" w:line="84" w:lineRule="exact"/>
        <w:rPr>
          <w:rFonts w:ascii="Times New Roman" w:cs="Times New Roman" w:eastAsia="Times New Roman" w:hAnsi="Times New Roman"/>
          <w:sz w:val="18"/>
          <w:szCs w:val="18"/>
          <w:color w:val="auto"/>
        </w:rPr>
      </w:pPr>
    </w:p>
    <w:p>
      <w:pPr>
        <w:jc w:val="both"/>
        <w:ind w:left="4" w:right="100" w:firstLine="436"/>
        <w:spacing w:after="0" w:line="258" w:lineRule="auto"/>
        <w:tabs>
          <w:tab w:leader="none" w:pos="7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Underwriters, (i) any action designed to or that might constitute or reasonably be expected to cause or result in, under the Exchange Act or otherwise, stabilization or manipulation of the price of any security of the Company to facilitate the sale or resale of the Securities or (ii) any action designed to or that might constitute or reasonably be expected to cause or result in a violation of Regulation M under the Exchange Act.</w:t>
      </w:r>
    </w:p>
    <w:p>
      <w:pPr>
        <w:spacing w:after="0" w:line="75"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76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4"/>
          </w:cols>
          <w:pgMar w:left="436" w:top="270" w:right="519" w:bottom="1440" w:gutter="0" w:footer="0" w:header="0"/>
        </w:sectPr>
      </w:pPr>
    </w:p>
    <w:bookmarkStart w:id="15" w:name="page16"/>
    <w:bookmarkEnd w:id="15"/>
    <w:p>
      <w:pPr>
        <w:ind w:left="-20" w:right="360" w:firstLine="436"/>
        <w:spacing w:after="0" w:line="261" w:lineRule="auto"/>
        <w:tabs>
          <w:tab w:leader="none" w:pos="7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left="-20" w:firstLine="436"/>
        <w:spacing w:after="0" w:line="252" w:lineRule="auto"/>
        <w:tabs>
          <w:tab w:leader="none" w:pos="7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85" w:lineRule="exact"/>
        <w:rPr>
          <w:rFonts w:ascii="Times New Roman" w:cs="Times New Roman" w:eastAsia="Times New Roman" w:hAnsi="Times New Roman"/>
          <w:sz w:val="18"/>
          <w:szCs w:val="18"/>
          <w:color w:val="auto"/>
        </w:rPr>
      </w:pPr>
    </w:p>
    <w:p>
      <w:pPr>
        <w:ind w:left="-20" w:right="160" w:firstLine="436"/>
        <w:spacing w:after="0" w:line="258" w:lineRule="auto"/>
        <w:tabs>
          <w:tab w:leader="none" w:pos="7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actions to ensure that it is in compliance with all applicable provisions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16" w:name="page17"/>
    <w:bookmarkEnd w:id="16"/>
    <w:p>
      <w:pPr>
        <w:ind w:left="-20" w:right="20" w:firstLine="436"/>
        <w:spacing w:after="0" w:line="253" w:lineRule="auto"/>
        <w:tabs>
          <w:tab w:leader="none" w:pos="7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3" w:lineRule="exact"/>
        <w:rPr>
          <w:rFonts w:ascii="Times New Roman" w:cs="Times New Roman" w:eastAsia="Times New Roman" w:hAnsi="Times New Roman"/>
          <w:sz w:val="18"/>
          <w:szCs w:val="18"/>
          <w:color w:val="auto"/>
        </w:rPr>
      </w:pPr>
    </w:p>
    <w:p>
      <w:pPr>
        <w:ind w:left="-20" w:firstLine="436"/>
        <w:spacing w:after="0" w:line="254" w:lineRule="auto"/>
        <w:tabs>
          <w:tab w:leader="none" w:pos="7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Times New Roman" w:cs="Times New Roman" w:eastAsia="Times New Roman" w:hAnsi="Times New Roman"/>
          <w:sz w:val="18"/>
          <w:szCs w:val="18"/>
          <w:color w:val="auto"/>
        </w:rPr>
      </w:pPr>
    </w:p>
    <w:p>
      <w:pPr>
        <w:jc w:val="both"/>
        <w:ind w:left="-20" w:right="360" w:firstLine="436"/>
        <w:spacing w:after="0" w:line="26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60" w:right="40" w:firstLine="408"/>
        <w:spacing w:after="0" w:line="266" w:lineRule="auto"/>
        <w:tabs>
          <w:tab w:leader="none" w:pos="16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17" w:name="page18"/>
    <w:bookmarkEnd w:id="17"/>
    <w:p>
      <w:pPr>
        <w:jc w:val="both"/>
        <w:ind w:left="980" w:right="120" w:firstLine="408"/>
        <w:spacing w:after="0" w:line="266" w:lineRule="auto"/>
        <w:tabs>
          <w:tab w:leader="none" w:pos="166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located, organized or resident in a country or territory that is the subject of Sanctions (including, without limitation, Crimea, the so-called Donetsk People’s Republic, the so-called Luhansk People’s Republic, the non-government controlled areas of Zaporizhzhia and Kherson regions of Ukraine, Cuba, Iran, North Korea and Syria).</w:t>
      </w:r>
    </w:p>
    <w:p>
      <w:pPr>
        <w:spacing w:after="0" w:line="67" w:lineRule="exact"/>
        <w:rPr>
          <w:rFonts w:ascii="Times New Roman" w:cs="Times New Roman" w:eastAsia="Times New Roman" w:hAnsi="Times New Roman"/>
          <w:sz w:val="18"/>
          <w:szCs w:val="18"/>
          <w:color w:val="auto"/>
        </w:rPr>
      </w:pPr>
    </w:p>
    <w:p>
      <w:pPr>
        <w:ind w:right="340" w:firstLine="987"/>
        <w:spacing w:after="0" w:line="282" w:lineRule="auto"/>
        <w:tabs>
          <w:tab w:leader="none" w:pos="125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7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except to the extent permitted for a Person required to comply with Sanctions; or</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6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30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firstLine="436"/>
        <w:spacing w:after="0" w:line="253" w:lineRule="auto"/>
        <w:tabs>
          <w:tab w:leader="none" w:pos="7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left="4"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72" w:lineRule="exact"/>
        <w:rPr>
          <w:sz w:val="20"/>
          <w:szCs w:val="20"/>
          <w:color w:val="auto"/>
        </w:rPr>
      </w:pPr>
    </w:p>
    <w:p>
      <w:pPr>
        <w:ind w:left="4" w:firstLine="436"/>
        <w:spacing w:after="0" w:line="253"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w:t>
      </w:r>
    </w:p>
    <w:p>
      <w:pPr>
        <w:spacing w:after="0" w:line="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distributed in source code form, (2) licensed for the purpose of making derivative works or (3) redistributed at no charge.</w:t>
      </w:r>
    </w:p>
    <w:p>
      <w:pPr>
        <w:spacing w:after="0" w:line="98"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7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notification of or complaint regarding any material non-compliance 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8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9" w:name="page20"/>
    <w:bookmarkEnd w:id="19"/>
    <w:p>
      <w:pPr>
        <w:ind w:left="4" w:firstLine="436"/>
        <w:spacing w:after="0" w:line="252" w:lineRule="auto"/>
        <w:tabs>
          <w:tab w:leader="none" w:pos="78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preclinical studies and tests and clinical trials conducted by or on behalf of the Company that are described in the Registration Statement, the Time of Sale Prospectus and the Prospectus (the “</w:t>
      </w:r>
      <w:r>
        <w:rPr>
          <w:rFonts w:ascii="Times New Roman" w:cs="Times New Roman" w:eastAsia="Times New Roman" w:hAnsi="Times New Roman"/>
          <w:sz w:val="18"/>
          <w:szCs w:val="18"/>
          <w:b w:val="1"/>
          <w:bCs w:val="1"/>
          <w:color w:val="auto"/>
        </w:rPr>
        <w:t>Company Studies and Trials</w:t>
      </w:r>
      <w:r>
        <w:rPr>
          <w:rFonts w:ascii="Times New Roman" w:cs="Times New Roman" w:eastAsia="Times New Roman" w:hAnsi="Times New Roman"/>
          <w:sz w:val="18"/>
          <w:szCs w:val="18"/>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the Time of Sale Prospectus and the Prospectus are accurate in all material respects; the Company has no knowledge of any other studies or trials not described in the Registration Statement, the Time of Sale Prospectus and the Prospectus, the results of which are inconsistent with or reasonably call into question the results described or referred to in such documents when viewed in the context in which such results are described and the stage of development; and the Company has not received any written notices, correspondence or other written communication from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89" w:lineRule="exact"/>
        <w:rPr>
          <w:rFonts w:ascii="Times New Roman" w:cs="Times New Roman" w:eastAsia="Times New Roman" w:hAnsi="Times New Roman"/>
          <w:sz w:val="18"/>
          <w:szCs w:val="18"/>
          <w:color w:val="auto"/>
        </w:rPr>
      </w:pPr>
    </w:p>
    <w:p>
      <w:pPr>
        <w:ind w:left="4" w:firstLine="436"/>
        <w:spacing w:after="0" w:line="268" w:lineRule="auto"/>
        <w:tabs>
          <w:tab w:leader="none" w:pos="78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described in the Registration Statement, the Time of Sale Prospectus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except for such non-compliance as would not, individually or in the aggregate, have a Material Adverse Effect;</w:t>
      </w:r>
    </w:p>
    <w:p>
      <w:pPr>
        <w:spacing w:after="0" w:line="4" w:lineRule="exact"/>
        <w:rPr>
          <w:rFonts w:ascii="Times New Roman" w:cs="Times New Roman" w:eastAsia="Times New Roman" w:hAnsi="Times New Roman"/>
          <w:sz w:val="17"/>
          <w:szCs w:val="17"/>
          <w:color w:val="auto"/>
        </w:rPr>
      </w:pPr>
    </w:p>
    <w:p>
      <w:pPr>
        <w:ind w:left="4" w:right="220" w:hanging="4"/>
        <w:spacing w:after="0" w:line="265" w:lineRule="auto"/>
        <w:tabs>
          <w:tab w:leader="none" w:pos="26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not received any written 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Times New Roman" w:cs="Times New Roman" w:eastAsia="Times New Roman" w:hAnsi="Times New Roman"/>
          <w:sz w:val="17"/>
          <w:szCs w:val="17"/>
          <w:b w:val="1"/>
          <w:bCs w:val="1"/>
          <w:color w:val="auto"/>
        </w:rPr>
        <w:t>Authorizations</w:t>
      </w:r>
      <w:r>
        <w:rPr>
          <w:rFonts w:ascii="Times New Roman" w:cs="Times New Roman" w:eastAsia="Times New Roman" w:hAnsi="Times New Roman"/>
          <w:sz w:val="17"/>
          <w:szCs w:val="17"/>
          <w:color w:val="auto"/>
        </w:rPr>
        <w:t>”), except for such non-compliance as would not, individually or in the aggregate, have a Material Adverse Effect;</w:t>
      </w: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possesses all material Authorizations and such Authorizations are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0" w:name="page21"/>
    <w:bookmarkEnd w:id="20"/>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Effect;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79" w:lineRule="exact"/>
        <w:rPr>
          <w:sz w:val="20"/>
          <w:szCs w:val="20"/>
          <w:color w:val="auto"/>
        </w:rPr>
      </w:pPr>
    </w:p>
    <w:p>
      <w:pPr>
        <w:ind w:firstLine="436"/>
        <w:spacing w:after="0" w:line="254" w:lineRule="auto"/>
        <w:tabs>
          <w:tab w:leader="none" w:pos="7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any member firm of FINRA. To the Company’s knowledge, no relationship, direct or indirect, exists between or among the Company, on the one hand, and the directors, officers or shareholders of the Company, on the other hand, which is required by the rules of FINRA to be described in the Registration Statement, the Time of Sale Prospectus and the Prospectus, which is not so described. All of the information (including, but not limited to, information regarding affiliations, security ownership and trading activity) provided to the Agent or its counsel by the Company in connection with the filing to be made and other supplemental information to be provided to FINRA pursuant to FINRA Rule 5110 in connection with the transactions contemplated by this Agreement is true, complete and correct.</w:t>
      </w:r>
    </w:p>
    <w:p>
      <w:pPr>
        <w:spacing w:after="0" w:line="83" w:lineRule="exact"/>
        <w:rPr>
          <w:rFonts w:ascii="Times New Roman" w:cs="Times New Roman" w:eastAsia="Times New Roman" w:hAnsi="Times New Roman"/>
          <w:sz w:val="18"/>
          <w:szCs w:val="18"/>
          <w:color w:val="auto"/>
        </w:rPr>
      </w:pPr>
    </w:p>
    <w:p>
      <w:pPr>
        <w:ind w:right="440" w:firstLine="436"/>
        <w:spacing w:after="0" w:line="266" w:lineRule="auto"/>
        <w:tabs>
          <w:tab w:leader="none" w:pos="7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Securities nor the application of the proceeds thereof by the Company as described in the Registration Statement, the Time of Sale Prospectus and the Prospectus will violate Regulation T, U or X of the Board of Governors of the Federal Reserve System or any other regulation of such Board of Governors.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1" w:name="page22"/>
    <w:bookmarkEnd w:id="21"/>
    <w:p>
      <w:pPr>
        <w:ind w:right="140" w:firstLine="436"/>
        <w:spacing w:after="0" w:line="289" w:lineRule="auto"/>
        <w:tabs>
          <w:tab w:leader="none" w:pos="72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independent directors (or independent director nominees, once appointed, if applicable) named in the Registration Statement, the Time of Sale Prospectus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49" w:lineRule="exact"/>
        <w:rPr>
          <w:rFonts w:ascii="Times New Roman" w:cs="Times New Roman" w:eastAsia="Times New Roman" w:hAnsi="Times New Roman"/>
          <w:sz w:val="17"/>
          <w:szCs w:val="17"/>
          <w:color w:val="auto"/>
        </w:rPr>
      </w:pPr>
    </w:p>
    <w:p>
      <w:pPr>
        <w:ind w:right="20" w:firstLine="436"/>
        <w:spacing w:after="0" w:line="256" w:lineRule="auto"/>
        <w:tabs>
          <w:tab w:leader="none" w:pos="7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79" w:lineRule="exact"/>
        <w:rPr>
          <w:rFonts w:ascii="Times New Roman" w:cs="Times New Roman" w:eastAsia="Times New Roman" w:hAnsi="Times New Roman"/>
          <w:sz w:val="18"/>
          <w:szCs w:val="18"/>
          <w:color w:val="auto"/>
        </w:rPr>
      </w:pPr>
    </w:p>
    <w:p>
      <w:pPr>
        <w:ind w:right="20" w:firstLine="436"/>
        <w:spacing w:after="0" w:line="256" w:lineRule="auto"/>
        <w:tabs>
          <w:tab w:leader="none" w:pos="7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the Time of Sale Prospectus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79"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or subject to a bankruptcy or insolvency proceeding in any jurisdiction.</w:t>
      </w:r>
    </w:p>
    <w:p>
      <w:pPr>
        <w:spacing w:after="0" w:line="117" w:lineRule="exact"/>
        <w:rPr>
          <w:rFonts w:ascii="Times New Roman" w:cs="Times New Roman" w:eastAsia="Times New Roman" w:hAnsi="Times New Roman"/>
          <w:sz w:val="18"/>
          <w:szCs w:val="18"/>
          <w:color w:val="auto"/>
        </w:rPr>
      </w:pPr>
    </w:p>
    <w:p>
      <w:pPr>
        <w:ind w:firstLine="436"/>
        <w:spacing w:after="0" w:line="254" w:lineRule="auto"/>
        <w:tabs>
          <w:tab w:leader="none" w:pos="7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U.S.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2" w:name="page23"/>
    <w:bookmarkEnd w:id="2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72" w:lineRule="exact"/>
        <w:rPr>
          <w:sz w:val="20"/>
          <w:szCs w:val="20"/>
          <w:color w:val="auto"/>
        </w:rPr>
      </w:pPr>
    </w:p>
    <w:p>
      <w:pPr>
        <w:ind w:right="60" w:firstLine="436"/>
        <w:spacing w:after="0" w:line="282" w:lineRule="auto"/>
        <w:tabs>
          <w:tab w:leader="none" w:pos="8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the registration fee for this offering pursuant to Rule 456(b)(1) of the Act or will pay such fee within the time period required by such rule (without giving effect to the proviso therein) and in any event prior to the Closing Date.</w:t>
      </w:r>
    </w:p>
    <w:p>
      <w:pPr>
        <w:spacing w:after="0" w:line="53" w:lineRule="exact"/>
        <w:rPr>
          <w:rFonts w:ascii="Times New Roman" w:cs="Times New Roman" w:eastAsia="Times New Roman" w:hAnsi="Times New Roman"/>
          <w:sz w:val="18"/>
          <w:szCs w:val="18"/>
          <w:color w:val="auto"/>
        </w:rPr>
      </w:pPr>
    </w:p>
    <w:p>
      <w:pPr>
        <w:ind w:right="80" w:firstLine="436"/>
        <w:spacing w:after="0" w:line="258" w:lineRule="auto"/>
        <w:tabs>
          <w:tab w:leader="none" w:pos="7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75" w:lineRule="exact"/>
        <w:rPr>
          <w:rFonts w:ascii="Times New Roman" w:cs="Times New Roman" w:eastAsia="Times New Roman" w:hAnsi="Times New Roman"/>
          <w:sz w:val="18"/>
          <w:szCs w:val="18"/>
          <w:color w:val="auto"/>
        </w:rPr>
      </w:pPr>
    </w:p>
    <w:p>
      <w:pPr>
        <w:ind w:right="20" w:firstLine="436"/>
        <w:spacing w:after="0" w:line="258" w:lineRule="auto"/>
        <w:tabs>
          <w:tab w:leader="none" w:pos="7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Securities in connection with the offering when the Prospectus is not yet available to prospective purchasers, none of (i) the Time of Sale Prospectus (ii) any free writing prospectus, when considered together with the Time of Sale Prospectus, and (iii)any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3" w:lineRule="exact"/>
        <w:rPr>
          <w:rFonts w:ascii="Times New Roman" w:cs="Times New Roman" w:eastAsia="Times New Roman" w:hAnsi="Times New Roman"/>
          <w:sz w:val="18"/>
          <w:szCs w:val="18"/>
          <w:color w:val="auto"/>
        </w:rPr>
      </w:pPr>
    </w:p>
    <w:p>
      <w:pPr>
        <w:ind w:left="440" w:firstLine="419"/>
        <w:spacing w:after="0" w:line="257" w:lineRule="auto"/>
        <w:tabs>
          <w:tab w:leader="none" w:pos="104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to Sell and Purchase. </w:t>
      </w:r>
      <w:r>
        <w:rPr>
          <w:rFonts w:ascii="Times New Roman" w:cs="Times New Roman" w:eastAsia="Times New Roman" w:hAnsi="Times New Roman"/>
          <w:sz w:val="18"/>
          <w:szCs w:val="18"/>
          <w:color w:val="auto"/>
        </w:rPr>
        <w:t>The Company hereby agrees to sell to the several Underwriters, and each Underwriter, upon the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representations and warranties herein contained, but subject to the terms and conditions hereinafter stated, agrees, severally and not jointly, to purchase from the Company the respective numbers of Firm Securities set forth in Schedule I hereto opposite its name. The purchase price per Firm Share to be paid by the several Underwriters to the Company shall be $51.70 a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 the purchase price per Pre-Funded Warrant to be paid by the several Underwriters to the Company equals the Purchase Price minus $0.0001 (the “</w:t>
      </w:r>
      <w:r>
        <w:rPr>
          <w:rFonts w:ascii="Times New Roman" w:cs="Times New Roman" w:eastAsia="Times New Roman" w:hAnsi="Times New Roman"/>
          <w:sz w:val="18"/>
          <w:szCs w:val="18"/>
          <w:b w:val="1"/>
          <w:bCs w:val="1"/>
          <w:color w:val="auto"/>
        </w:rPr>
        <w:t>Warrant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615,000 Additional Shares at the Purchase Price, provided, however, that the amount paid by the Underwriters for any Additional Shares shall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3" w:name="page24"/>
    <w:bookmarkEnd w:id="23"/>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Securities or later than ten business days after the date of such notice. Additional Shares may be purchased as provided in Section 4 hereof. On each day, if any, that Additional Shares are to be purchased (an “</w:t>
      </w:r>
      <w:r>
        <w:rPr>
          <w:rFonts w:ascii="Times New Roman" w:cs="Times New Roman" w:eastAsia="Times New Roman" w:hAnsi="Times New Roman"/>
          <w:sz w:val="17"/>
          <w:szCs w:val="17"/>
          <w:b w:val="1"/>
          <w:bCs w:val="1"/>
          <w:color w:val="auto"/>
        </w:rPr>
        <w:t>Option Closing Date</w:t>
      </w:r>
      <w:r>
        <w:rPr>
          <w:rFonts w:ascii="Times New Roman" w:cs="Times New Roman" w:eastAsia="Times New Roman" w:hAnsi="Times New Roman"/>
          <w:sz w:val="17"/>
          <w:szCs w:val="17"/>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aggregate number of Firm Securities set forth in Schedule I hereto opposite the name of such Underwriter bears to the total number of Firm Securities.</w:t>
      </w:r>
    </w:p>
    <w:p>
      <w:pPr>
        <w:spacing w:after="0" w:line="63" w:lineRule="exact"/>
        <w:rPr>
          <w:sz w:val="20"/>
          <w:szCs w:val="20"/>
          <w:color w:val="auto"/>
        </w:rPr>
      </w:pPr>
    </w:p>
    <w:p>
      <w:pPr>
        <w:ind w:left="440" w:firstLine="419"/>
        <w:spacing w:after="0" w:line="256" w:lineRule="auto"/>
        <w:tabs>
          <w:tab w:leader="none" w:pos="10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Representatives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Securities as soon after the Registration Statement and this Agreement have become effective as in the Representatives’ judgment is advisable. The Company is further advised by the Representatives that (i) the Shares are to be offered to the public initially at $55.00 a share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$1.98 a share under the Public Offering Price and (ii) the Pre-Funded Warrants are to be offered to the public initially at $54.9999 per pre-funded warrant (the “</w:t>
      </w:r>
      <w:r>
        <w:rPr>
          <w:rFonts w:ascii="Times New Roman" w:cs="Times New Roman" w:eastAsia="Times New Roman" w:hAnsi="Times New Roman"/>
          <w:sz w:val="18"/>
          <w:szCs w:val="18"/>
          <w:b w:val="1"/>
          <w:bCs w:val="1"/>
          <w:color w:val="auto"/>
        </w:rPr>
        <w:t>Public Offering Price Per Warrant</w:t>
      </w:r>
      <w:r>
        <w:rPr>
          <w:rFonts w:ascii="Times New Roman" w:cs="Times New Roman" w:eastAsia="Times New Roman" w:hAnsi="Times New Roman"/>
          <w:sz w:val="18"/>
          <w:szCs w:val="18"/>
          <w:color w:val="auto"/>
        </w:rPr>
        <w:t>”) and to certain dealers selected by the Representatives at a price that represents a concession not in excess of $1.98 per pre-funded warrant under the Public Offering Price Per Warrant.</w:t>
      </w:r>
    </w:p>
    <w:p>
      <w:pPr>
        <w:spacing w:after="0" w:line="76"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0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for the Firm Securities shall be made to the Company in Federal or other funds immediately available in New York City against delivery of the Firm Securities for the respective accounts of the several Underwriters at 10:00 a.m., New York City time, on January 24, 2025, or at such other time on the same or such other date, not later than February 1, 2025, as shall be designated in writing by the Representatives. The time and date of such payment are hereinafter referred to as the “Closing Date.”</w:t>
      </w:r>
    </w:p>
    <w:p>
      <w:pPr>
        <w:spacing w:after="0" w:line="180"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Company and the Representatives shall instruct purchasers of the Pre-Funded Warrants in the public offering to make payment for the Pre-Funded Warrants at the Public Offering Price Per Warrant on the Closing Date to the Company by wire transfer in immediately available funds to the account specified by the Company, in lieu of payment by the Underwriters for such Pre-Funded Warrants, and the Company shall deliver such Pre-Funded Warrants to such purchasers on the Closing Date in definitive form against such payment, in lieu of the Company’s obligation to deliver such Pre-Funded Warrants to the Underwriters; provided that the Company shall promptly (but in no event later than the Closing Date) pay $3.30 per such Pre-Funded Warrant to the Underwriters by wire transfer in immediately available funds to the account specified by the Representatives.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4" w:name="page25"/>
    <w:bookmarkEnd w:id="24"/>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purchasers of the Pre-Funded Warrants in the public offering fail to make payment to the Company for all or part of the Pre-Funded Warrants on the Closing Date, the Representatives may elect, by written notice to the Company, to receive shares of Common Stock in lieu of all or a portion of such Pre-Funded Warrants to be delivered to the Underwriters under this Agreement.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February 21, 2025 as shall be designated in writing by the Representatives.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Firm Securities and Additional Shares shall be registered in such names and in such denominations as the Representatives shall request in writing not later than one full business day prior to the Closing Date or the applicable Option Closing Date, as the case may be. The Firm Securities and Additional Shares shall be delivered to the Representatives on the Closing Date or an Option Closing Date, as the case may be, for the respective accounts of the several Underwriters, with any transfer taxes payable in connection with the transfer of the Securities to the Underwriters duly paid, against payment of the Purchase Price therefor and Warrant Purchase Price therefor. The Pre-Funded Warrants will be made available for inspection by the Representatives on the day prior to the Closing Date.</w:t>
      </w:r>
    </w:p>
    <w:p>
      <w:pPr>
        <w:spacing w:after="0" w:line="77" w:lineRule="exact"/>
        <w:rPr>
          <w:sz w:val="20"/>
          <w:szCs w:val="20"/>
          <w:color w:val="auto"/>
        </w:rPr>
      </w:pPr>
    </w:p>
    <w:p>
      <w:pPr>
        <w:ind w:left="440" w:right="200" w:firstLine="419"/>
        <w:spacing w:after="0" w:line="284" w:lineRule="auto"/>
        <w:tabs>
          <w:tab w:leader="none" w:pos="104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to sell the Securities to the Underwriters and the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Underwriters to purchase and pay for the Securities on the Closing Date are subject to the following conditions:</w:t>
      </w:r>
    </w:p>
    <w:p>
      <w:pPr>
        <w:spacing w:after="0" w:line="52"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61" w:lineRule="auto"/>
        <w:tabs>
          <w:tab w:leader="none" w:pos="1596"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to the knowledge of the Company, threatened by the Commission and no notice of objection of the Commission to the use of the Registration Statement pursuant to Rule 401(g)(2) under the Securities Act has been received by the Company;</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25" w:name="page26"/>
    <w:bookmarkEnd w:id="25"/>
    <w:p>
      <w:pPr>
        <w:ind w:left="980" w:firstLine="408"/>
        <w:spacing w:after="0" w:line="261" w:lineRule="auto"/>
        <w:tabs>
          <w:tab w:leader="none" w:pos="16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71" w:lineRule="exact"/>
        <w:rPr>
          <w:rFonts w:ascii="Times New Roman" w:cs="Times New Roman" w:eastAsia="Times New Roman" w:hAnsi="Times New Roman"/>
          <w:sz w:val="18"/>
          <w:szCs w:val="18"/>
          <w:color w:val="auto"/>
        </w:rPr>
      </w:pPr>
    </w:p>
    <w:p>
      <w:pPr>
        <w:ind w:left="980" w:right="100" w:firstLine="408"/>
        <w:spacing w:after="0" w:line="261" w:lineRule="auto"/>
        <w:tabs>
          <w:tab w:leader="none" w:pos="16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Securities on the terms and in the manner contemplated in the Time of Sale Prospectus.</w:t>
      </w:r>
    </w:p>
    <w:p>
      <w:pPr>
        <w:spacing w:after="0" w:line="71"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right="18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Goodwin Procter LLP, outside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White &amp; Case LLP, intellectual property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Wolf, Greenfield &amp; Sacks, P.C., intellectual property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120" w:firstLine="436"/>
        <w:spacing w:after="0" w:line="282"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Wilmer Cutler Pickering Hale and Dorr LLP, counsel for the Underwriters, dated the Closing Date, in form and substance reasonably satisfactory to the Representatives.</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5(c) and 5(f) above, Goodwin Procter LLP and Wilmer Cutler Pickering Hale and Dorr LLP, respectively,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6" w:name="page27"/>
    <w:bookmarkEnd w:id="26"/>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opinions of Goodwin Procter LLP, White &amp; Case LLP and Wolf, Greenfield &amp; Sacks, P.C. described in Sections 5(c), 5(d) and 5(e), respectively, shall be rendered to the Underwriters at the request of the Company and shall so state therein.</w:t>
      </w:r>
    </w:p>
    <w:p>
      <w:pPr>
        <w:spacing w:after="0" w:line="54" w:lineRule="exact"/>
        <w:rPr>
          <w:sz w:val="20"/>
          <w:szCs w:val="20"/>
          <w:color w:val="auto"/>
        </w:rPr>
      </w:pPr>
    </w:p>
    <w:p>
      <w:pPr>
        <w:ind w:firstLine="436"/>
        <w:spacing w:after="0" w:line="258"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Representatives,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right="280" w:firstLine="436"/>
        <w:spacing w:after="0" w:line="289" w:lineRule="auto"/>
        <w:tabs>
          <w:tab w:leader="none" w:pos="69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“lock-up” agreements, each substantially in the form of Exhibit A hereto, between Jefferies LLC and Leerink Partners LLC, certain officers and directors of the Company relating to restrictions on sales and certain other dispositions of shares of Common Stock or certain other securities, delivered to the Jefferies LLC and Leerink Partners LLC on or before the date hereof, shall be in full force and effect on the Closing Date.</w:t>
      </w:r>
    </w:p>
    <w:p>
      <w:pPr>
        <w:spacing w:after="0" w:line="49" w:lineRule="exact"/>
        <w:rPr>
          <w:rFonts w:ascii="Times New Roman" w:cs="Times New Roman" w:eastAsia="Times New Roman" w:hAnsi="Times New Roman"/>
          <w:sz w:val="17"/>
          <w:szCs w:val="17"/>
          <w:color w:val="auto"/>
        </w:rPr>
      </w:pPr>
    </w:p>
    <w:p>
      <w:pPr>
        <w:ind w:right="320" w:firstLine="436"/>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sold pursuant to this Agreement and the shares of the Company’s common stock, par value $0.0001 per share, equivalent to the number of Warrant Shares sold pursuant to this Agreement shall have been submitted for listing on Nasdaq.</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 form of Pre-Funded Warrant in form and substance reasonably acceptable to the Representatives.</w:t>
      </w:r>
    </w:p>
    <w:p>
      <w:pPr>
        <w:spacing w:after="0" w:line="117"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Underwriters on the Closing Date of such other documents as the Representatives may reasonably request with respect to the good standing of the Company and the Subsidiary, the due authorization and issuance of the Firm Securities to be sold on the Closing Date and other matters related to the issuance of the Firm Securities.</w:t>
      </w:r>
    </w:p>
    <w:p>
      <w:pPr>
        <w:spacing w:after="0" w:line="67" w:lineRule="exact"/>
        <w:rPr>
          <w:rFonts w:ascii="Times New Roman" w:cs="Times New Roman" w:eastAsia="Times New Roman" w:hAnsi="Times New Roman"/>
          <w:sz w:val="18"/>
          <w:szCs w:val="18"/>
          <w:color w:val="auto"/>
        </w:rPr>
      </w:pPr>
    </w:p>
    <w:p>
      <w:pPr>
        <w:ind w:right="200" w:firstLine="436"/>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Representatives on the applicable Option Closing Date of the following:</w:t>
      </w:r>
    </w:p>
    <w:p>
      <w:pPr>
        <w:spacing w:after="0" w:line="53"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5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Goodwin Procter LLP, outside counsel for the Company, dated the Option Closing Date, relating to the Additional Shares to be purchased on such Option Closing Date and otherwise to the same effect as the opinion and negative assurance letter required by Section 5(c) 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7" w:name="page28"/>
    <w:bookmarkEnd w:id="27"/>
    <w:p>
      <w:pPr>
        <w:jc w:val="both"/>
        <w:ind w:left="920" w:right="120" w:firstLine="408"/>
        <w:spacing w:after="0" w:line="266" w:lineRule="auto"/>
        <w:tabs>
          <w:tab w:leader="none" w:pos="163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opinion of White &amp; Case LLP, intellectual property counsel for the Company, dated the Option Closing Date, relating to the Additional Shares to be purchased on such Option Closing Date and otherwise to the same effect as the opinion required by Section 5(d) hereof;</w:t>
      </w:r>
    </w:p>
    <w:p>
      <w:pPr>
        <w:spacing w:after="0" w:line="67" w:lineRule="exact"/>
        <w:rPr>
          <w:rFonts w:ascii="Times New Roman" w:cs="Times New Roman" w:eastAsia="Times New Roman" w:hAnsi="Times New Roman"/>
          <w:sz w:val="18"/>
          <w:szCs w:val="18"/>
          <w:color w:val="auto"/>
        </w:rPr>
      </w:pPr>
    </w:p>
    <w:p>
      <w:pPr>
        <w:ind w:left="920" w:right="40" w:firstLine="408"/>
        <w:spacing w:after="0" w:line="266" w:lineRule="auto"/>
        <w:tabs>
          <w:tab w:leader="none" w:pos="162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Wolf, Greenfield &amp; Sacks, P.C., intellectual property counsel for the Company, dated the Option Closing Date, relating to the Additional Shares to be purchased on such Option Closing Date and otherwise to the same effect as the opinion required by Section 5(e) hereof;</w:t>
      </w:r>
    </w:p>
    <w:p>
      <w:pPr>
        <w:spacing w:after="0" w:line="67" w:lineRule="exact"/>
        <w:rPr>
          <w:rFonts w:ascii="Times New Roman" w:cs="Times New Roman" w:eastAsia="Times New Roman" w:hAnsi="Times New Roman"/>
          <w:sz w:val="18"/>
          <w:szCs w:val="18"/>
          <w:color w:val="auto"/>
        </w:rPr>
      </w:pPr>
    </w:p>
    <w:p>
      <w:pPr>
        <w:ind w:left="920" w:right="100" w:firstLine="408"/>
        <w:spacing w:after="0" w:line="266" w:lineRule="auto"/>
        <w:tabs>
          <w:tab w:leader="none" w:pos="157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Wilmer Cutler Pickering Hale and Dorr LLP, counsel for the Underwriters, dated the Option Closing Date, relating to the Additional Shares to be purchased on such Option Closing Date and otherwise to the same effect as the opinion and negative assurance letter required by Section 5(f) hereof;</w:t>
      </w:r>
    </w:p>
    <w:p>
      <w:pPr>
        <w:spacing w:after="0" w:line="67" w:lineRule="exact"/>
        <w:rPr>
          <w:rFonts w:ascii="Times New Roman" w:cs="Times New Roman" w:eastAsia="Times New Roman" w:hAnsi="Times New Roman"/>
          <w:sz w:val="18"/>
          <w:szCs w:val="18"/>
          <w:color w:val="auto"/>
        </w:rPr>
      </w:pPr>
    </w:p>
    <w:p>
      <w:pPr>
        <w:ind w:left="920" w:right="180" w:firstLine="408"/>
        <w:spacing w:after="0" w:line="261" w:lineRule="auto"/>
        <w:tabs>
          <w:tab w:leader="none" w:pos="162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satisfactory to the Representatives, from Ernst &amp; Young LLP, independent public accountants, substantially in the same form and substance as the letter furnished to the Underwriters pursuant to Section 5(g)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 and</w:t>
      </w:r>
    </w:p>
    <w:p>
      <w:pPr>
        <w:spacing w:after="0" w:line="71" w:lineRule="exact"/>
        <w:rPr>
          <w:rFonts w:ascii="Times New Roman" w:cs="Times New Roman" w:eastAsia="Times New Roman" w:hAnsi="Times New Roman"/>
          <w:sz w:val="18"/>
          <w:szCs w:val="18"/>
          <w:color w:val="auto"/>
        </w:rPr>
      </w:pPr>
    </w:p>
    <w:p>
      <w:pPr>
        <w:ind w:left="920" w:right="20" w:firstLine="408"/>
        <w:spacing w:after="0" w:line="266" w:lineRule="auto"/>
        <w:tabs>
          <w:tab w:leader="none" w:pos="1676"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65" w:lineRule="exact"/>
        <w:rPr>
          <w:rFonts w:ascii="Times New Roman" w:cs="Times New Roman" w:eastAsia="Times New Roman" w:hAnsi="Times New Roman"/>
          <w:sz w:val="18"/>
          <w:szCs w:val="18"/>
          <w:color w:val="auto"/>
        </w:rPr>
      </w:pPr>
    </w:p>
    <w:p>
      <w:pPr>
        <w:ind w:left="980" w:hanging="181"/>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left="-60" w:firstLine="436"/>
        <w:spacing w:after="0" w:line="256" w:lineRule="auto"/>
        <w:tabs>
          <w:tab w:leader="none" w:pos="6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without charge, four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500" w:top="270" w:right="499" w:bottom="1440" w:gutter="0" w:footer="0" w:header="0"/>
        </w:sectPr>
      </w:pPr>
    </w:p>
    <w:bookmarkStart w:id="28" w:name="page29"/>
    <w:bookmarkEnd w:id="28"/>
    <w:p>
      <w:pPr>
        <w:ind w:left="-20" w:firstLine="436"/>
        <w:spacing w:after="0" w:line="261" w:lineRule="auto"/>
        <w:tabs>
          <w:tab w:leader="none" w:pos="6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1" w:lineRule="exact"/>
        <w:rPr>
          <w:rFonts w:ascii="Times New Roman" w:cs="Times New Roman" w:eastAsia="Times New Roman" w:hAnsi="Times New Roman"/>
          <w:sz w:val="18"/>
          <w:szCs w:val="18"/>
          <w:color w:val="auto"/>
        </w:rPr>
      </w:pPr>
    </w:p>
    <w:p>
      <w:pPr>
        <w:ind w:left="-20" w:right="140" w:firstLine="436"/>
        <w:spacing w:after="0" w:line="282" w:lineRule="auto"/>
        <w:tabs>
          <w:tab w:leader="none" w:pos="6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objects.</w:t>
      </w:r>
    </w:p>
    <w:p>
      <w:pPr>
        <w:spacing w:after="0" w:line="53"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6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left="-20" w:right="40" w:firstLine="436"/>
        <w:spacing w:after="0" w:line="256" w:lineRule="auto"/>
        <w:tabs>
          <w:tab w:leader="none" w:pos="6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70" w:right="459" w:bottom="1440" w:gutter="0" w:footer="0" w:header="0"/>
        </w:sectPr>
      </w:pPr>
    </w:p>
    <w:bookmarkStart w:id="29" w:name="page30"/>
    <w:bookmarkEnd w:id="29"/>
    <w:p>
      <w:pPr>
        <w:ind w:left="4"/>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0" w:lineRule="exact"/>
        <w:rPr>
          <w:sz w:val="20"/>
          <w:szCs w:val="20"/>
          <w:color w:val="auto"/>
        </w:rPr>
      </w:pPr>
    </w:p>
    <w:p>
      <w:pPr>
        <w:ind w:left="4" w:right="60" w:firstLine="436"/>
        <w:spacing w:after="0" w:line="282"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Securities for offer and sale under the securities or Blue Sky laws of such jurisdictions as the Representatives shall reasonably request.</w:t>
      </w:r>
    </w:p>
    <w:p>
      <w:pPr>
        <w:spacing w:after="0" w:line="53"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Representatives as soon as reasonably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67" w:lineRule="exact"/>
        <w:rPr>
          <w:rFonts w:ascii="Times New Roman" w:cs="Times New Roman" w:eastAsia="Times New Roman" w:hAnsi="Times New Roman"/>
          <w:sz w:val="18"/>
          <w:szCs w:val="18"/>
          <w:color w:val="auto"/>
        </w:rPr>
      </w:pPr>
    </w:p>
    <w:p>
      <w:pPr>
        <w:ind w:left="4" w:right="80" w:firstLine="436"/>
        <w:spacing w:after="0" w:line="268" w:lineRule="auto"/>
        <w:tabs>
          <w:tab w:leader="none" w:pos="659"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and Warrant Shares under the Securities Act, including the costs of reproducing and distributing each of the Pre-Funded Warrants,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w:t>
      </w:r>
    </w:p>
    <w:p>
      <w:pPr>
        <w:ind w:left="4" w:right="20" w:hanging="4"/>
        <w:spacing w:after="0" w:line="252" w:lineRule="auto"/>
        <w:tabs>
          <w:tab w:leader="none" w:pos="3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the Financial Industry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payable by the Company with respect to fees and disbursements of counsel for the Underwriters pursuant to subsections (iii) and (iv) shall not exceed $30,000 in the aggregate, (v) all costs and expenses incident to listing the Shares on</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4"/>
          </w:cols>
          <w:pgMar w:left="436" w:top="270" w:right="519" w:bottom="1440" w:gutter="0" w:footer="0" w:header="0"/>
        </w:sectPr>
      </w:pPr>
    </w:p>
    <w:bookmarkStart w:id="30" w:name="page31"/>
    <w:bookmarkEnd w:id="3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Nasdaq, (vi) the cost of printing certificates representing the Securities and Warrant Shares, (vii) the costs and charges of any transfer agent, registrar or depositary,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84" w:lineRule="exact"/>
        <w:rPr>
          <w:sz w:val="20"/>
          <w:szCs w:val="20"/>
          <w:color w:val="auto"/>
        </w:rPr>
      </w:pPr>
    </w:p>
    <w:p>
      <w:pPr>
        <w:ind w:right="60" w:firstLine="436"/>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Jefferies LLC and Leerink Partners LLC on behalf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Underwriters, it will not, and will not publicly disclose an intention to, during the period ending 45 days after the date of the Prospectus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right or warrant to purchase, lend, or otherwise transfer or dispose of, directly or indirectly, any shares of Common Stock or any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into or exercisable or exchangeable for Common Stock, or (2) enter into any swap or other arrangement that transfers to another, in whole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 any of the economic consequences of ownership of the Common Stock, whether any such transaction described in clause 1 or 2 above is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settled by delivery of Common Stock or such other securities, in cash or otherwise or (3) file any registration statement with the Commission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of any shares of Common Stock or any securities convertible into or exercisable or exchangeable for Common Stock.</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1" w:name="page32"/>
    <w:bookmarkEnd w:id="31"/>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restrictions contained in the preceding paragraph shall not apply to (A) the Securities to be sold hereunder, including, for the avoidance of doubt, the issuance by the Company of the Warrant Shares upon the exercise of Pre-Funded Warrants, (B) the issuance by the Company of shares of common stock or securities convertible into or exercisable for shares of Common Stock upon the exercise of an option or warrant or the conversion of a security outstanding on the date hereof as described in each of the Time of Sale Prospectus and Prospectus, (C) the issuance by the Company of shares of Common Stock or options to purchase shares of, Common Stock to employees, officers, directors, advisors or consultants of the Company pursuant to employee benefit plans as described in each of the Time of Sale Prospectus and Prospectus, provided that, prior to the issuance of any such shares or the grant of any such options to any director or executive officer elected or appointed following the date of this Agreement and prior to the end of the Restricted Period, the Company shall cause each such recipient of such grant or issuance to execute and deliver a “lock-up” agreement, substantially in the form of Exhibit A hereto, (D) the filing by the Company of registration statements on Form S-8 with respect to the employee benefit plans described in the Time of Sale Prospectus and Prospectus, (E) the sale or issuance of or entry into an agreement to sell or issue shares of the Common Stock in connection with the Company’s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to execute and deliver to you, on or prior to such issuance, a “lock up” agreement, substantially in the form of Exhibit A hereto,</w:t>
      </w:r>
    </w:p>
    <w:p>
      <w:pPr>
        <w:spacing w:after="0" w:line="11" w:lineRule="exact"/>
        <w:rPr>
          <w:sz w:val="20"/>
          <w:szCs w:val="20"/>
          <w:color w:val="auto"/>
        </w:rPr>
      </w:pPr>
    </w:p>
    <w:p>
      <w:pPr>
        <w:ind w:left="4" w:right="180" w:hanging="4"/>
        <w:spacing w:after="0" w:line="252" w:lineRule="auto"/>
        <w:tabs>
          <w:tab w:leader="none" w:pos="2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or (G) 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w:t>
      </w:r>
    </w:p>
    <w:p>
      <w:pPr>
        <w:spacing w:after="0" w:line="78" w:lineRule="exact"/>
        <w:rPr>
          <w:rFonts w:ascii="Times New Roman" w:cs="Times New Roman" w:eastAsia="Times New Roman" w:hAnsi="Times New Roman"/>
          <w:sz w:val="18"/>
          <w:szCs w:val="18"/>
          <w:color w:val="auto"/>
        </w:rPr>
      </w:pPr>
    </w:p>
    <w:p>
      <w:pPr>
        <w:ind w:left="444" w:right="120" w:firstLine="419"/>
        <w:spacing w:after="0" w:line="267" w:lineRule="auto"/>
        <w:tabs>
          <w:tab w:leader="none" w:pos="104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2" w:name="page33"/>
    <w:bookmarkEnd w:id="32"/>
    <w:p>
      <w:pPr>
        <w:ind w:left="420" w:firstLine="419"/>
        <w:spacing w:after="0" w:line="253" w:lineRule="auto"/>
        <w:tabs>
          <w:tab w:leader="none" w:pos="102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 it being understood and agreed that the only such information furnished by the Underwriters through the Representatives consists of the Underwriter Information.</w:t>
      </w:r>
    </w:p>
    <w:p>
      <w:pPr>
        <w:spacing w:after="0" w:line="79" w:lineRule="exact"/>
        <w:rPr>
          <w:rFonts w:ascii="Times New Roman" w:cs="Times New Roman" w:eastAsia="Times New Roman" w:hAnsi="Times New Roman"/>
          <w:sz w:val="18"/>
          <w:szCs w:val="18"/>
          <w:color w:val="auto"/>
        </w:rPr>
      </w:pPr>
    </w:p>
    <w:p>
      <w:pPr>
        <w:ind w:left="-20" w:firstLine="436"/>
        <w:spacing w:after="0" w:line="255"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Underwriters consists of the Underwriter Information.</w:t>
      </w:r>
    </w:p>
    <w:p>
      <w:pPr>
        <w:spacing w:after="0" w:line="80" w:lineRule="exact"/>
        <w:rPr>
          <w:rFonts w:ascii="Times New Roman" w:cs="Times New Roman" w:eastAsia="Times New Roman" w:hAnsi="Times New Roman"/>
          <w:sz w:val="18"/>
          <w:szCs w:val="18"/>
          <w:color w:val="auto"/>
        </w:rPr>
      </w:pPr>
    </w:p>
    <w:p>
      <w:pPr>
        <w:ind w:left="-20" w:right="60" w:firstLine="436"/>
        <w:spacing w:after="0" w:line="255" w:lineRule="auto"/>
        <w:tabs>
          <w:tab w:leader="none" w:pos="6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68" w:right="47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84" w:lineRule="exact"/>
        <w:rPr>
          <w:sz w:val="20"/>
          <w:szCs w:val="20"/>
          <w:color w:val="auto"/>
        </w:rPr>
      </w:pPr>
    </w:p>
    <w:p>
      <w:pPr>
        <w:ind w:right="100" w:firstLine="436"/>
        <w:spacing w:after="0" w:line="254"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4" w:name="page35"/>
    <w:bookmarkEnd w:id="34"/>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deemed to be in the same respective proportions as the net proceeds from the offering of the Securities (before deducting expenses) received by the Company and the total underwriting discounts and commissions received by the Underwriters, in each case as set forth in the table on the cover of the Prospectus, bear to the aggregate (i) Public Offering Price of the Shares and (ii) the Public Offering Price Per Warrant of the Pre-Funded Warrants.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w:t>
      </w:r>
    </w:p>
    <w:p>
      <w:pPr>
        <w:spacing w:after="0" w:line="84" w:lineRule="exact"/>
        <w:rPr>
          <w:sz w:val="20"/>
          <w:szCs w:val="20"/>
          <w:color w:val="auto"/>
        </w:rPr>
      </w:pPr>
    </w:p>
    <w:p>
      <w:pPr>
        <w:ind w:firstLine="436"/>
        <w:spacing w:after="0" w:line="253"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allocation (even if the Underwriters were treated as one entity for such purpose) or by any other method of allocation that does not take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3" w:lineRule="exact"/>
        <w:rPr>
          <w:rFonts w:ascii="Times New Roman" w:cs="Times New Roman" w:eastAsia="Times New Roman" w:hAnsi="Times New Roman"/>
          <w:sz w:val="18"/>
          <w:szCs w:val="18"/>
          <w:color w:val="auto"/>
        </w:rPr>
      </w:pPr>
    </w:p>
    <w:p>
      <w:pPr>
        <w:jc w:val="both"/>
        <w:ind w:firstLine="436"/>
        <w:spacing w:after="0" w:line="261"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5" w:name="page36"/>
    <w:bookmarkEnd w:id="35"/>
    <w:p>
      <w:pPr>
        <w:ind w:left="1040" w:hanging="181"/>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 Underwriters may terminate this Agreement by notice given by the Representatives to the Company, if after the</w:t>
      </w:r>
    </w:p>
    <w:p>
      <w:pPr>
        <w:spacing w:after="0" w:line="29" w:lineRule="exact"/>
        <w:rPr>
          <w:rFonts w:ascii="Times New Roman" w:cs="Times New Roman" w:eastAsia="Times New Roman" w:hAnsi="Times New Roman"/>
          <w:sz w:val="18"/>
          <w:szCs w:val="18"/>
          <w:color w:val="auto"/>
        </w:rPr>
      </w:pPr>
    </w:p>
    <w:p>
      <w:pPr>
        <w:ind w:left="440" w:right="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2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 number of Firm Securities set forth opposite their respective names in Schedule I bears to the aggregate number of Firm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Securities that any Underwriter has agreed to purchase pursuant to this Agreement be increased pursuant to this Section 10 by an amount in excess of one-ninth of such number of Securities without the written consent of such Underwriter. If, on the Closing Date, any Underwriter or Underwriters shall fail or refuse to purchase Firm Securities and the aggregate number of Firm Securities with respect to which such default occurs is more than one-tenth of the aggregate number of Firm Securities to be purchased on such date, and arrangements satisfactory to the Representatives and the Company for the purchase of such Firm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8" w:right="459" w:bottom="1440" w:gutter="0" w:footer="0" w:header="0"/>
        </w:sectPr>
      </w:pPr>
    </w:p>
    <w:bookmarkStart w:id="36" w:name="page37"/>
    <w:bookmarkEnd w:id="36"/>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0"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73" w:lineRule="exact"/>
        <w:rPr>
          <w:sz w:val="20"/>
          <w:szCs w:val="20"/>
          <w:color w:val="auto"/>
        </w:rPr>
      </w:pPr>
    </w:p>
    <w:p>
      <w:pPr>
        <w:ind w:left="444" w:right="100" w:firstLine="419"/>
        <w:spacing w:after="0" w:line="261" w:lineRule="auto"/>
        <w:tabs>
          <w:tab w:leader="none" w:pos="113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73" w:lineRule="exact"/>
        <w:rPr>
          <w:rFonts w:ascii="Times New Roman" w:cs="Times New Roman" w:eastAsia="Times New Roman" w:hAnsi="Times New Roman"/>
          <w:sz w:val="18"/>
          <w:szCs w:val="18"/>
          <w:color w:val="auto"/>
        </w:rPr>
      </w:pPr>
    </w:p>
    <w:p>
      <w:pPr>
        <w:ind w:left="4" w:firstLine="436"/>
        <w:spacing w:after="0" w:line="272" w:lineRule="auto"/>
        <w:tabs>
          <w:tab w:leader="none" w:pos="69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3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w:t>
      </w:r>
    </w:p>
    <w:p>
      <w:pPr>
        <w:spacing w:after="0" w:line="78" w:lineRule="exact"/>
        <w:rPr>
          <w:rFonts w:ascii="Times New Roman" w:cs="Times New Roman" w:eastAsia="Times New Roman" w:hAnsi="Times New Roman"/>
          <w:sz w:val="18"/>
          <w:szCs w:val="18"/>
          <w:color w:val="auto"/>
        </w:rPr>
      </w:pPr>
    </w:p>
    <w:p>
      <w:pPr>
        <w:jc w:val="both"/>
        <w:ind w:left="444" w:right="140" w:firstLine="419"/>
        <w:spacing w:after="0" w:line="261" w:lineRule="auto"/>
        <w:tabs>
          <w:tab w:leader="none" w:pos="1137"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37" w:name="page38"/>
    <w:bookmarkEnd w:id="37"/>
    <w:p>
      <w:pPr>
        <w:ind w:right="40" w:firstLine="436"/>
        <w:spacing w:after="0" w:line="261"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77" w:lineRule="exact"/>
        <w:rPr>
          <w:sz w:val="20"/>
          <w:szCs w:val="20"/>
          <w:color w:val="auto"/>
        </w:rPr>
      </w:pPr>
    </w:p>
    <w:p>
      <w:pPr>
        <w:ind w:left="440" w:firstLine="419"/>
        <w:spacing w:after="0" w:line="258" w:lineRule="auto"/>
        <w:tabs>
          <w:tab w:leader="none" w:pos="113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4" w:lineRule="auto"/>
        <w:tabs>
          <w:tab w:leader="none" w:pos="113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part of this Agreement.</w:t>
      </w:r>
    </w:p>
    <w:p>
      <w:pPr>
        <w:spacing w:after="0" w:line="50"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3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communications hereunder shall be in writing and effective only upon receipt and if to the Underwriters shall be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mailed or sent to in care of Jefferies LLC, 520 Madison Avenue, New York, New York 10022, Attention: Global Head of Syndicate; Leerink Partners LLC in the care of Leerink Partners LLC, 1301 Avenue of the Americas, 12th Floor, New York, New York 10022, Attention: Stuart Nayman; and if to the Company shall be delivered, mailed or sent to 321 Arsenal Street, Suite 101, Watertown, Massachusetts 02472, Attention: Chief Executive Officer.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38" w:name="page39"/>
    <w:bookmarkEnd w:id="3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Quisel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ectPr>
          <w:pgSz w:w="11900" w:h="16838" w:orient="portrait"/>
          <w:cols w:equalWidth="0" w:num="1">
            <w:col w:w="9140"/>
          </w:cols>
          <w:pgMar w:left="1440" w:top="270" w:right="1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Michael Brinkman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Pitt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Sean Pitt</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Senior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Stifel, Nicolaus &amp; Company,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Ken Clausman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Ken Clausman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Cantor Fitzgerald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Asif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Asif Ahmed</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Co-Head of ECM</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 Firm</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Pre-</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44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Funded Warrants</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4060" w:type="dxa"/>
            <w:vAlign w:val="bottom"/>
          </w:tcPr>
          <w:p>
            <w:pPr>
              <w:spacing w:after="0"/>
              <w:rPr>
                <w:sz w:val="15"/>
                <w:szCs w:val="15"/>
                <w:color w:val="auto"/>
              </w:rPr>
            </w:pPr>
          </w:p>
        </w:tc>
        <w:tc>
          <w:tcPr>
            <w:tcW w:w="158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1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LLC</w:t>
            </w:r>
          </w:p>
        </w:tc>
        <w:tc>
          <w:tcPr>
            <w:tcW w:w="40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1,273,409</w:t>
            </w:r>
          </w:p>
        </w:tc>
        <w:tc>
          <w:tcPr>
            <w:tcW w:w="5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59,091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56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1,077,500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56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548,546</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25,455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56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391,818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18,182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56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195,909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56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176,318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Wedbush Securities Inc.</w:t>
            </w:r>
          </w:p>
        </w:tc>
        <w:tc>
          <w:tcPr>
            <w:tcW w:w="56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176,318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8,181</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40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78,364</w:t>
            </w:r>
          </w:p>
        </w:tc>
        <w:tc>
          <w:tcPr>
            <w:tcW w:w="5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3,918,182</w:t>
            </w:r>
          </w:p>
        </w:tc>
        <w:tc>
          <w:tcPr>
            <w:tcW w:w="5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4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I-1</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dated August 8, 2024 relating to the Shelf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Supplement dated January 21,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to the public: $55.00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offered by the Company: 3,918,182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 from the Company: 615,000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pre-funded warrant to the public: $54.9999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pre-funded warrants offered by the Company: 181,818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color w:val="auto"/>
        </w:rPr>
        <w:t>The undersigned understands that Jefferies LLC and Leerink Partners LLC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Disc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several 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common stock, par value $0.0001 per share, of the Company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in lieu of Common Stock to certain investors that so choose, 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45 days after the date of the prospectus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43" w:name="page44"/>
    <w:bookmarkEnd w:id="43"/>
    <w:p>
      <w:pPr>
        <w:jc w:val="both"/>
        <w:ind w:left="4" w:right="340" w:firstLine="436"/>
        <w:spacing w:after="0" w:line="266"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Common Stock or other securities acquired in the Public Offering or in such open market transactions;</w:t>
      </w:r>
    </w:p>
    <w:p>
      <w:pPr>
        <w:spacing w:after="0" w:line="17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161"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w:t>
      </w:r>
    </w:p>
    <w:p>
      <w:pPr>
        <w:spacing w:after="0" w:line="175"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general or limited partners, members, beneficiaries or other equityholders of the undersigned, its direct or indirect affiliates (as defined in Rule 405 promulgated under the Securities Act of 1933, as amended) or to an investment fund or other entity that controls or manages, or is under common control with, the undersigned;</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by operation of law pursuant to orders of a court or regulatory agency, in connection with a negotiated divorce settlement or pursuant to a qualified domestic relations order;</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9" w:lineRule="auto"/>
        <w:tabs>
          <w:tab w:leader="none" w:pos="669"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transfers or dispositions of shares of Common Stock or any security convertible into or exercisable or exchangeable for Common Stock to the Company pursuant to any contractual arrangement in effect on the date of this agreement and disclosed to the Underwriters in writing that provides for the repurchase of the undersigned’s Common Stock or other securities by the Company or in connection with the termination of the undersigned’s employment with or service to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repurchase price for any such shares or securities shall not exceed the original purchase price (subject to appropriate adjustment in the event of any stock dividend, stock split, combination or other similar recapitalization) paid and</w:t>
      </w:r>
    </w:p>
    <w:p>
      <w:pPr>
        <w:spacing w:after="0" w:line="2" w:lineRule="exact"/>
        <w:rPr>
          <w:rFonts w:ascii="Times New Roman" w:cs="Times New Roman" w:eastAsia="Times New Roman" w:hAnsi="Times New Roman"/>
          <w:sz w:val="17"/>
          <w:szCs w:val="17"/>
          <w:color w:val="auto"/>
        </w:rPr>
      </w:pPr>
    </w:p>
    <w:p>
      <w:pPr>
        <w:ind w:left="4" w:right="500" w:hanging="4"/>
        <w:spacing w:after="0" w:line="260" w:lineRule="auto"/>
        <w:tabs>
          <w:tab w:leader="none" w:pos="2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filing under Section 16(a) of the Exchange Act reporting a reduction in beneficial ownership of shares of Common Stock shall indicate by footnote disclosure or otherwise the nature of the transfer or disposition);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4" w:name="page45"/>
    <w:bookmarkEnd w:id="44"/>
    <w:p>
      <w:pPr>
        <w:ind w:left="-40" w:firstLine="436"/>
        <w:spacing w:after="0" w:line="253"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transfers or dispositions of shares of Common Stock or other securities to the Company in connection with the conversion of any convertible security into, or the exercise of any option or warrant for, shares of Common Stock (including by way of “net” or “cashless” exercise solely to cover withholding tax obligations in connection with such exercise or transfer to the Company for the payment of taxes as a result of such exercise);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194"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Common Stock in connection with the vesting or settlement of restricted stock units, so long as such sale is effected pursuant to the Company’s sell to cover policy solely in an amount sufficient to cover withholding taxes due in connection with such restricted stock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filing under Section 16(a) of the Exchange Act shall indicate in the footnotes thereto that the filing relates to the applicable circumstances described in this clause and (ii) no other public announcement shall be required or shall be made voluntarily in connection with such transfer;</w:t>
      </w:r>
    </w:p>
    <w:p>
      <w:pPr>
        <w:spacing w:after="0" w:line="183" w:lineRule="exact"/>
        <w:rPr>
          <w:rFonts w:ascii="Times New Roman" w:cs="Times New Roman" w:eastAsia="Times New Roman" w:hAnsi="Times New Roman"/>
          <w:sz w:val="18"/>
          <w:szCs w:val="18"/>
          <w:color w:val="auto"/>
        </w:rPr>
      </w:pPr>
    </w:p>
    <w:p>
      <w:pPr>
        <w:ind w:left="-40" w:right="80" w:firstLine="436"/>
        <w:spacing w:after="0" w:line="258" w:lineRule="auto"/>
        <w:tabs>
          <w:tab w:leader="none" w:pos="6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on behalf of a stockholder,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or</w:t>
      </w:r>
    </w:p>
    <w:p>
      <w:pPr>
        <w:spacing w:after="0" w:line="183" w:lineRule="exact"/>
        <w:rPr>
          <w:rFonts w:ascii="Times New Roman" w:cs="Times New Roman" w:eastAsia="Times New Roman" w:hAnsi="Times New Roman"/>
          <w:sz w:val="18"/>
          <w:szCs w:val="18"/>
          <w:color w:val="auto"/>
        </w:rPr>
      </w:pPr>
    </w:p>
    <w:p>
      <w:pPr>
        <w:ind w:left="-40" w:right="60" w:firstLine="436"/>
        <w:spacing w:after="0" w:line="254" w:lineRule="auto"/>
        <w:tabs>
          <w:tab w:leader="none" w:pos="6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and occurring after the closing of the Public Offering,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change of control transaction is not completed, the shares of Common Stock (or any security convertible into or exercisable or exchangeable for Common Stock) owned by the undersigned shall remain subject to the restrictions contained in this agreement and title to the undersigned’s shares shall remain with the undersigned;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70" w:right="499" w:bottom="1440" w:gutter="0" w:footer="0" w:header="0"/>
        </w:sectPr>
      </w:pPr>
    </w:p>
    <w:bookmarkStart w:id="45" w:name="page46"/>
    <w:bookmarkEnd w:id="45"/>
    <w:p>
      <w:pPr>
        <w:ind w:firstLine="436"/>
        <w:spacing w:after="0" w:line="258"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sale or transfer of shares of Common Stock pursuant to a written trading plan that has been entered into by the undersigned prior to the date of this letter agreement pursuant to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amendments or other modifications are made to such plans during the Restricted Period and that, to the extent a public announcement or filing under the Exchange Act, if any, is required or voluntarily made by or on behalf of the undersigned or the Company regarding such sales or transfers, such announcement or filing shall include a statement to the effect that the sale or transfer was made pursuant to a trading plan pursuant to Rule 10b5-1 of the Exchange Act;</w:t>
      </w:r>
    </w:p>
    <w:p>
      <w:pPr>
        <w:spacing w:after="0" w:line="18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 (b), (c), (d) or (e), (i) each transferee, donee or distributee shall sign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with respect to the Company under the Exchange Act, in which case any such filing will indicate by footnote disclosure or otherwise the nature of the transfer or disposition).</w:t>
      </w:r>
    </w:p>
    <w:p>
      <w:pPr>
        <w:spacing w:after="0" w:line="184"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agreement, “immediate family” shall mean any relationship by blood, marriage, domestic partnership or adoption, not more remote than first cousin.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 In addition, the undersigned agrees that, without the prior written consent of each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8"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right="540" w:firstLine="440"/>
        <w:spacing w:after="0" w:line="289" w:lineRule="auto"/>
        <w:rPr>
          <w:sz w:val="20"/>
          <w:szCs w:val="20"/>
          <w:color w:val="auto"/>
        </w:rPr>
      </w:pPr>
      <w:r>
        <w:rPr>
          <w:rFonts w:ascii="Times New Roman" w:cs="Times New Roman" w:eastAsia="Times New Roman" w:hAnsi="Times New Roman"/>
          <w:sz w:val="17"/>
          <w:szCs w:val="17"/>
          <w:color w:val="auto"/>
        </w:rPr>
        <w:t>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6" w:name="page47"/>
    <w:bookmarkEnd w:id="4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Securities at the price determined in the Public Offering, and nothing set forth in such disclosures or documentation is intended to suggest that any Underwriter is making such a recommendation. The undersigned further acknowledges and agrees that none of the Underwriters has made any recommendation or provided any investment or other advice to the undersigned with respect to this agreement or the subject matter hereof, and the undersigned has consulted its own legal, accounting, financial, regulatory, tax and other advisors with respect to this agreement and the subject matter hereof to the extent the undersigned has deemed appropriate.</w:t>
      </w:r>
    </w:p>
    <w:p>
      <w:pPr>
        <w:spacing w:after="0" w:line="189"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left="4" w:right="220" w:firstLine="440"/>
        <w:spacing w:after="0" w:line="270" w:lineRule="auto"/>
        <w:rPr>
          <w:sz w:val="20"/>
          <w:szCs w:val="20"/>
          <w:color w:val="auto"/>
        </w:rPr>
      </w:pPr>
      <w:r>
        <w:rPr>
          <w:rFonts w:ascii="Times New Roman" w:cs="Times New Roman" w:eastAsia="Times New Roman" w:hAnsi="Times New Roman"/>
          <w:sz w:val="17"/>
          <w:szCs w:val="17"/>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the execution of the Underwriting Agreement or</w:t>
      </w:r>
    </w:p>
    <w:p>
      <w:pPr>
        <w:spacing w:after="0" w:line="3" w:lineRule="exact"/>
        <w:rPr>
          <w:sz w:val="20"/>
          <w:szCs w:val="20"/>
          <w:color w:val="auto"/>
        </w:rPr>
      </w:pPr>
    </w:p>
    <w:p>
      <w:pPr>
        <w:jc w:val="both"/>
        <w:ind w:left="4" w:right="40" w:hanging="4"/>
        <w:spacing w:after="0" w:line="255" w:lineRule="auto"/>
        <w:tabs>
          <w:tab w:leader="none" w:pos="3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is not executed on or before February 21, 2025, then, in each case, this agreement shall automatically, and without any action on the part of any other party, be of no further force and effect, and the undersigned shall be automatically released from all obligations under this agreement.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37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32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FORM OF PRE-FUNDED WARRANT TO PURCHASE COMMON STOCK</w:t>
      </w:r>
    </w:p>
    <w:p>
      <w:pPr>
        <w:sectPr>
          <w:pgSz w:w="11900" w:h="16838" w:orient="portrait"/>
          <w:cols w:equalWidth="0" w:num="1">
            <w:col w:w="11024"/>
          </w:cols>
          <w:pgMar w:left="436" w:top="117" w:right="439" w:bottom="1440" w:gutter="0" w:footer="0" w:header="0"/>
        </w:sect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Warrant No. [ </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[   ]</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200" w:lineRule="exact"/>
        <w:rPr>
          <w:sz w:val="20"/>
          <w:szCs w:val="20"/>
          <w:color w:val="auto"/>
        </w:rPr>
      </w:pPr>
    </w:p>
    <w:p>
      <w:pPr>
        <w:sectPr>
          <w:pgSz w:w="11900" w:h="16838" w:orient="portrait"/>
          <w:cols w:equalWidth="0" w:num="3">
            <w:col w:w="1044" w:space="120"/>
            <w:col w:w="3860" w:space="720"/>
            <w:col w:w="5280"/>
          </w:cols>
          <w:pgMar w:left="436" w:top="117" w:right="439" w:bottom="1440" w:gutter="0" w:footer="0" w:header="0"/>
          <w:type w:val="continuous"/>
        </w:sectPr>
      </w:pPr>
    </w:p>
    <w:p>
      <w:pPr>
        <w:spacing w:after="0" w:line="7"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7"/>
          <w:szCs w:val="17"/>
          <w:color w:val="auto"/>
        </w:rPr>
        <w:t>Original Issue Date: January [__], 2025</w:t>
      </w:r>
    </w:p>
    <w:p>
      <w:pPr>
        <w:sectPr>
          <w:pgSz w:w="11900" w:h="16838" w:orient="portrait"/>
          <w:cols w:equalWidth="0" w:num="1">
            <w:col w:w="11024"/>
          </w:cols>
          <w:pgMar w:left="436" w:top="117" w:right="439" w:bottom="1440" w:gutter="0" w:footer="0" w:header="0"/>
          <w:type w:val="continuous"/>
        </w:sect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for good and valuable consideration, the receipt and sufficiency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which are hereby acknowledged, [         ], or its permitted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to purchase from the Company up to a total of [   ] shares</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u w:val="single" w:color="auto"/>
          <w:color w:val="auto"/>
        </w:rPr>
        <w:t>Warrant Share</w:t>
      </w:r>
      <w:r>
        <w:rPr>
          <w:rFonts w:ascii="Times New Roman" w:cs="Times New Roman" w:eastAsia="Times New Roman" w:hAnsi="Times New Roman"/>
          <w:sz w:val="18"/>
          <w:szCs w:val="18"/>
          <w:color w:val="auto"/>
        </w:rPr>
        <w:t>” and all such shares,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at an exercise price per share equal to $0.0001 per share (as adjusted from time to time as provided in Section 9 herein, the “</w:t>
      </w:r>
      <w:r>
        <w:rPr>
          <w:rFonts w:ascii="Times New Roman" w:cs="Times New Roman" w:eastAsia="Times New Roman" w:hAnsi="Times New Roman"/>
          <w:sz w:val="18"/>
          <w:szCs w:val="18"/>
          <w:u w:val="single" w:color="auto"/>
          <w:color w:val="auto"/>
        </w:rPr>
        <w:t>Exercise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upon surrender of this Warrant to Purchase Common Stock (including any Warrants to Purchase Common Stock issued in exchange, transfer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replacement hereof,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and subject to the following terms and conditions:</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sz w:val="20"/>
          <w:szCs w:val="20"/>
          <w:color w:val="auto"/>
        </w:rPr>
      </w:pPr>
    </w:p>
    <w:p>
      <w:pPr>
        <w:ind w:left="4" w:right="120" w:hanging="4"/>
        <w:spacing w:after="0" w:line="282" w:lineRule="auto"/>
        <w:tabs>
          <w:tab w:leader="none" w:pos="2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3" w:lineRule="exact"/>
        <w:rPr>
          <w:rFonts w:ascii="Times New Roman" w:cs="Times New Roman" w:eastAsia="Times New Roman" w:hAnsi="Times New Roman"/>
          <w:sz w:val="18"/>
          <w:szCs w:val="18"/>
          <w:color w:val="auto"/>
        </w:rPr>
      </w:pPr>
    </w:p>
    <w:p>
      <w:pPr>
        <w:ind w:left="4" w:right="160" w:hanging="4"/>
        <w:spacing w:after="0" w:line="258"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 the other Attribution Parties for purposes of Section 13(d) or Section 16 of the Exchange Act. For clarity, the purpose of the foregoing is to subject collectively the Holder and all other Attribution Parties to the Maximum Percentage and the HSR Threshold (each as defined below).</w:t>
      </w:r>
    </w:p>
    <w:p>
      <w:pPr>
        <w:spacing w:after="0" w:line="75" w:lineRule="exact"/>
        <w:rPr>
          <w:rFonts w:ascii="Times New Roman" w:cs="Times New Roman" w:eastAsia="Times New Roman" w:hAnsi="Times New Roman"/>
          <w:sz w:val="18"/>
          <w:szCs w:val="18"/>
          <w:color w:val="auto"/>
        </w:rPr>
      </w:pPr>
    </w:p>
    <w:p>
      <w:pPr>
        <w:ind w:left="4" w:right="40" w:hanging="4"/>
        <w:spacing w:after="0" w:line="253" w:lineRule="auto"/>
        <w:tabs>
          <w:tab w:leader="none" w:pos="2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(formerly OTC Markets Inc.).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spacing w:after="0" w:line="8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117" w:lineRule="exact"/>
        <w:rPr>
          <w:sz w:val="20"/>
          <w:szCs w:val="20"/>
          <w:color w:val="auto"/>
        </w:rPr>
      </w:pPr>
    </w:p>
    <w:p>
      <w:pPr>
        <w:ind w:left="4" w:right="180" w:hanging="4"/>
        <w:spacing w:after="0" w:line="282"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48" w:name="page49"/>
    <w:bookmarkEnd w:id="48"/>
    <w:p>
      <w:pPr>
        <w:ind w:left="4" w:right="220" w:hanging="4"/>
        <w:spacing w:after="0" w:line="282"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5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S-3 (File No. 333-281359), that became effective on August 8, 2024.</w:t>
      </w:r>
    </w:p>
    <w:p>
      <w:pPr>
        <w:spacing w:after="0" w:line="128"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rFonts w:ascii="Times New Roman" w:cs="Times New Roman" w:eastAsia="Times New Roman" w:hAnsi="Times New Roman"/>
          <w:sz w:val="18"/>
          <w:szCs w:val="18"/>
          <w:color w:val="auto"/>
        </w:rPr>
      </w:pPr>
    </w:p>
    <w:p>
      <w:pPr>
        <w:ind w:left="4" w:right="420" w:hanging="4"/>
        <w:spacing w:after="0" w:line="266" w:lineRule="auto"/>
        <w:tabs>
          <w:tab w:leader="none" w:pos="2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Company’s primary trading market or quotation system with respect to the Common Stock that is in effect on the date of delivery of an applicable Exercise Notice (as defined below), which as of the Original Issue Date was “T+1”.</w:t>
      </w:r>
    </w:p>
    <w:p>
      <w:pPr>
        <w:spacing w:after="0" w:line="6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117" w:lineRule="exact"/>
        <w:rPr>
          <w:rFonts w:ascii="Times New Roman" w:cs="Times New Roman" w:eastAsia="Times New Roman" w:hAnsi="Times New Roman"/>
          <w:sz w:val="18"/>
          <w:szCs w:val="18"/>
          <w:color w:val="auto"/>
        </w:rPr>
      </w:pPr>
    </w:p>
    <w:p>
      <w:pPr>
        <w:ind w:left="4" w:right="320" w:hanging="4"/>
        <w:spacing w:after="0" w:line="282"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Company’s transfer agent and registrar for the Common Stock, and any successor appointed in such capacity.</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means the Company.</w:t>
      </w:r>
    </w:p>
    <w:p>
      <w:pPr>
        <w:spacing w:after="0" w:line="117" w:lineRule="exact"/>
        <w:rPr>
          <w:sz w:val="20"/>
          <w:szCs w:val="20"/>
          <w:color w:val="auto"/>
        </w:rPr>
      </w:pPr>
    </w:p>
    <w:p>
      <w:pPr>
        <w:ind w:left="4" w:right="20" w:hanging="4"/>
        <w:spacing w:after="0" w:line="254" w:lineRule="auto"/>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Warrants</w:t>
      </w:r>
      <w:r>
        <w:rPr>
          <w:rFonts w:ascii="Times New Roman" w:cs="Times New Roman" w:eastAsia="Times New Roman" w:hAnsi="Times New Roman"/>
          <w:sz w:val="18"/>
          <w:szCs w:val="18"/>
          <w:color w:val="auto"/>
        </w:rPr>
        <w:t>. This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Warrant Agent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83" w:lineRule="exact"/>
        <w:rPr>
          <w:rFonts w:ascii="Times New Roman" w:cs="Times New Roman" w:eastAsia="Times New Roman" w:hAnsi="Times New Roman"/>
          <w:sz w:val="18"/>
          <w:szCs w:val="18"/>
          <w:color w:val="auto"/>
        </w:rPr>
      </w:pPr>
    </w:p>
    <w:p>
      <w:pPr>
        <w:ind w:left="4" w:right="60" w:hanging="4"/>
        <w:spacing w:after="0" w:line="253" w:lineRule="auto"/>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the Warrant Agent to, register the transfer of all or any portion of this Warrant in the Warrant Register, upon surrender of this Warrant, together with a written assignment of this Warrant substantially in the form attached hereto as Schedule 2 duly executed by the Holder, and payment for all applicable transfer taxes accompanied by reasonable evidence of authority of the party making such request that may be required by the Warrant Agent. Upon any such registration or transfer, a new warrant to purchase Common Stock in substantially the form of this Warrant (any such new warrant, a “</w:t>
      </w:r>
      <w:r>
        <w:rPr>
          <w:rFonts w:ascii="Times New Roman" w:cs="Times New Roman" w:eastAsia="Times New Roman" w:hAnsi="Times New Roman"/>
          <w:sz w:val="18"/>
          <w:szCs w:val="18"/>
          <w:u w:val="single" w:color="auto"/>
          <w:color w:val="auto"/>
        </w:rPr>
        <w:t>New 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the Warrant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spacing w:after="0" w:line="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40" w:hanging="4"/>
        <w:spacing w:after="0" w:line="282"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Section 10 of this Warrant at any time and from time to time on or after the Original Issue Date and such rights shall not expire.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9" w:name="page50"/>
    <w:bookmarkEnd w:id="49"/>
    <w:p>
      <w:pPr>
        <w:ind w:left="4" w:right="20" w:hanging="4"/>
        <w:spacing w:after="0" w:line="255" w:lineRule="auto"/>
        <w:tabs>
          <w:tab w:leader="none" w:pos="2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 may exercise this Warrant by delivering to the Company (i) an exercise notice, in the form attached as Schedule 1 hereto (the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81" w:lineRule="exact"/>
        <w:rPr>
          <w:sz w:val="20"/>
          <w:szCs w:val="20"/>
          <w:color w:val="auto"/>
        </w:rPr>
      </w:pPr>
    </w:p>
    <w:p>
      <w:pPr>
        <w:ind w:left="184" w:hanging="184"/>
        <w:spacing w:after="0"/>
        <w:tabs>
          <w:tab w:leader="none" w:pos="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hanging="4"/>
        <w:spacing w:after="0" w:line="270" w:lineRule="auto"/>
        <w:tabs>
          <w:tab w:leader="none" w:pos="249"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exercise of this Warrant, the Company shall, or shall cause the Transfer Agent to, promptly (but in no event later than the number of Trading Days comprising the Standard Settlement Period)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through its Deposit/Withdrawal At Custodian system provided that the Transfer Agent is then a participant in the DTC Fast Automated Securities Transfer Program and either (A) there is an effective registration statement permitting the issuance of such Warrant Shares to or resale of such Warrant Shares by the Holder or (B) such Warrant Shares are eligible for resale by the Holder without volume or manner-of-sale limitations pursuant to Rule 144 promulgated under the Securities Act (assuming cashless exercise of this Warrant), and otherwise issue such Warrant Shares in the name of the Holder or its designee in restricted book-entry form in the Company’s share register. The Holder, or any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the book entry positions evidencing such Warrant Shares, as the case may be.</w:t>
      </w:r>
    </w:p>
    <w:p>
      <w:pPr>
        <w:spacing w:after="0" w:line="68"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the Standard Settlement Period after the Exercise Date, the Company fails to deliver to the Holder or its designee the required number of Warrant Shares in the manner required pursuant to Section 5(a) or fails to credit the Holder’s or its designee’s balance account with DTC for such number of Warrant Shares to which the Holder is entitled (other than a failure caused by incorrect or incomplete information provided by the Holder to the Company), and if after such number of Trading Days comprising the Standard Settlement Period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xml:space="preserve">”),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issue such Warrant Shares shall terminate or (2) promptly honor its obligation to deliver to the Holder or its designee such Warrant Shares or credit the Holder’s or its designee’s balance account with DTC for such Warrant Shares and pay cash to the Holder in an amount equal to the Holder’s total purchase price (including brokerage commissions, if any) for the shares of Common Stock so purchased in the Buy-In,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product of (A) the number of shares of Common Stock purchased in the Buy-In, and (B) the Closing Sale Price of a share of Common Stock on the Exercise Date.</w:t>
      </w:r>
    </w:p>
    <w:p>
      <w:pPr>
        <w:spacing w:after="0" w:line="81" w:lineRule="exact"/>
        <w:rPr>
          <w:rFonts w:ascii="Times New Roman" w:cs="Times New Roman" w:eastAsia="Times New Roman" w:hAnsi="Times New Roman"/>
          <w:sz w:val="18"/>
          <w:szCs w:val="18"/>
          <w:color w:val="auto"/>
        </w:rPr>
      </w:pPr>
    </w:p>
    <w:p>
      <w:pPr>
        <w:ind w:left="4" w:hanging="4"/>
        <w:spacing w:after="0" w:line="254" w:lineRule="auto"/>
        <w:tabs>
          <w:tab w:leader="none" w:pos="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50" w:name="page51"/>
    <w:bookmarkEnd w:id="50"/>
    <w:p>
      <w:pPr>
        <w:ind w:left="4" w:right="40" w:hanging="4"/>
        <w:spacing w:after="0" w:line="256"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Issuance and delivery of shares of Common Stock upon exercise of this Warrant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79" w:lineRule="exact"/>
        <w:rPr>
          <w:rFonts w:ascii="Times New Roman" w:cs="Times New Roman" w:eastAsia="Times New Roman" w:hAnsi="Times New Roman"/>
          <w:sz w:val="18"/>
          <w:szCs w:val="18"/>
          <w:color w:val="auto"/>
        </w:rPr>
      </w:pPr>
    </w:p>
    <w:p>
      <w:pPr>
        <w:ind w:left="4" w:right="20" w:hanging="4"/>
        <w:spacing w:after="0" w:line="256"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If a New Warrant is requested as a result of a mutilation of this Warrant, then the Holder shall deliver such mutilated Warrant to the Company as a condition precedent to the Company’s obligation to issue the New Warrant.</w:t>
      </w:r>
    </w:p>
    <w:p>
      <w:pPr>
        <w:spacing w:after="0" w:line="79" w:lineRule="exact"/>
        <w:rPr>
          <w:rFonts w:ascii="Times New Roman" w:cs="Times New Roman" w:eastAsia="Times New Roman" w:hAnsi="Times New Roman"/>
          <w:sz w:val="18"/>
          <w:szCs w:val="18"/>
          <w:color w:val="auto"/>
        </w:rPr>
      </w:pPr>
    </w:p>
    <w:p>
      <w:pPr>
        <w:ind w:left="4" w:hanging="4"/>
        <w:spacing w:after="0" w:line="252"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8"/>
          <w:szCs w:val="18"/>
          <w:u w:val="single" w:color="auto"/>
          <w:color w:val="auto"/>
        </w:rPr>
        <w:t>Authorized Share Failure</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w:t>
      </w:r>
    </w:p>
    <w:p>
      <w:pPr>
        <w:spacing w:after="0" w:line="85" w:lineRule="exact"/>
        <w:rPr>
          <w:rFonts w:ascii="Times New Roman" w:cs="Times New Roman" w:eastAsia="Times New Roman" w:hAnsi="Times New Roman"/>
          <w:sz w:val="18"/>
          <w:szCs w:val="18"/>
          <w:color w:val="auto"/>
        </w:rPr>
      </w:pPr>
    </w:p>
    <w:p>
      <w:pPr>
        <w:ind w:left="4" w:right="80" w:hanging="4"/>
        <w:spacing w:after="0" w:line="282" w:lineRule="auto"/>
        <w:tabs>
          <w:tab w:leader="none" w:pos="1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9.</w:t>
      </w:r>
    </w:p>
    <w:p>
      <w:pPr>
        <w:spacing w:after="0" w:line="54" w:lineRule="exact"/>
        <w:rPr>
          <w:sz w:val="20"/>
          <w:szCs w:val="20"/>
          <w:color w:val="auto"/>
        </w:rPr>
      </w:pPr>
    </w:p>
    <w:p>
      <w:pPr>
        <w:ind w:left="4" w:right="20" w:hanging="4"/>
        <w:spacing w:after="0" w:line="253" w:lineRule="auto"/>
        <w:tabs>
          <w:tab w:leader="none" w:pos="2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or combination.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51" w:name="page52"/>
    <w:bookmarkEnd w:id="51"/>
    <w:p>
      <w:pPr>
        <w:ind w:left="4" w:hanging="4"/>
        <w:spacing w:after="0" w:line="252"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 Rata Distributions</w:t>
      </w:r>
      <w:r>
        <w:rPr>
          <w:rFonts w:ascii="Times New Roman" w:cs="Times New Roman" w:eastAsia="Times New Roman" w:hAnsi="Times New Roman"/>
          <w:sz w:val="18"/>
          <w:szCs w:val="18"/>
          <w:color w:val="auto"/>
        </w:rPr>
        <w:t>.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Section 9(a), any distribution of Purchase Rights (as defined below) subject to Section 9(c) and any Fundamental Transaction (as defined below) subject to Section 9(d))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or the HSR Threshold)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or the HSR Threshold,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or the HSR Threshold,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85" w:lineRule="exact"/>
        <w:rPr>
          <w:rFonts w:ascii="Times New Roman" w:cs="Times New Roman" w:eastAsia="Times New Roman" w:hAnsi="Times New Roman"/>
          <w:sz w:val="18"/>
          <w:szCs w:val="18"/>
          <w:color w:val="auto"/>
        </w:rPr>
      </w:pPr>
    </w:p>
    <w:p>
      <w:pPr>
        <w:ind w:left="4" w:hanging="4"/>
        <w:spacing w:after="0" w:line="252" w:lineRule="auto"/>
        <w:tabs>
          <w:tab w:leader="none" w:pos="24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or the HSR Threshold)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or the HSR Threshold,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or the HSR Threshold,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 (ii)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86" w:lineRule="exact"/>
        <w:rPr>
          <w:rFonts w:ascii="Times New Roman" w:cs="Times New Roman" w:eastAsia="Times New Roman" w:hAnsi="Times New Roman"/>
          <w:sz w:val="18"/>
          <w:szCs w:val="18"/>
          <w:color w:val="auto"/>
        </w:rPr>
      </w:pPr>
    </w:p>
    <w:p>
      <w:pPr>
        <w:ind w:left="4" w:right="60" w:hanging="4"/>
        <w:spacing w:after="0" w:line="272" w:lineRule="auto"/>
        <w:tabs>
          <w:tab w:leader="none" w:pos="25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w:t>
      </w:r>
    </w:p>
    <w:p>
      <w:pPr>
        <w:spacing w:after="0" w:line="1" w:lineRule="exact"/>
        <w:rPr>
          <w:rFonts w:ascii="Times New Roman" w:cs="Times New Roman" w:eastAsia="Times New Roman" w:hAnsi="Times New Roman"/>
          <w:sz w:val="17"/>
          <w:szCs w:val="17"/>
          <w:color w:val="auto"/>
        </w:rPr>
      </w:pPr>
    </w:p>
    <w:p>
      <w:pPr>
        <w:jc w:val="both"/>
        <w:ind w:left="4" w:right="180" w:hanging="4"/>
        <w:spacing w:after="0" w:line="255"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effects any sale to another Person of all or substantially all of its assets in one or a series of related transactions, (iii) pursuant to any tender offer or exchange offer (whether by the Company or another Person), holders of capital stock who tender shares representing more than 50% of the voting power of the capital stock of</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2" w:name="page53"/>
    <w:bookmarkEnd w:id="52"/>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combination or reclassification of shares of Common Stock covered by Section 9(a) above) (in any such case, a “</w:t>
      </w:r>
      <w:r>
        <w:rPr>
          <w:rFonts w:ascii="Times New Roman" w:cs="Times New Roman" w:eastAsia="Times New Roman" w:hAnsi="Times New Roman"/>
          <w:sz w:val="17"/>
          <w:szCs w:val="17"/>
          <w:u w:val="single" w:color="auto"/>
          <w:color w:val="auto"/>
        </w:rPr>
        <w:t>Fundamental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including, without limitation, the Maximum Percentage or the HSR Threshold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69" w:lineRule="exact"/>
        <w:rPr>
          <w:sz w:val="20"/>
          <w:szCs w:val="20"/>
          <w:color w:val="auto"/>
        </w:rPr>
      </w:pPr>
    </w:p>
    <w:p>
      <w:pPr>
        <w:ind w:left="4" w:right="160" w:hanging="4"/>
        <w:spacing w:after="0" w:line="261" w:lineRule="auto"/>
        <w:tabs>
          <w:tab w:leader="none" w:pos="2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paragraph (a) of this Section 9,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7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9 shall be made to the nearest one tenth of one cent or the nearest share, as applicable.</w:t>
      </w:r>
    </w:p>
    <w:p>
      <w:pPr>
        <w:spacing w:after="0" w:line="117" w:lineRule="exact"/>
        <w:rPr>
          <w:rFonts w:ascii="Times New Roman" w:cs="Times New Roman" w:eastAsia="Times New Roman" w:hAnsi="Times New Roman"/>
          <w:sz w:val="18"/>
          <w:szCs w:val="18"/>
          <w:color w:val="auto"/>
        </w:rPr>
      </w:pPr>
    </w:p>
    <w:p>
      <w:pPr>
        <w:ind w:left="4" w:right="60" w:hanging="4"/>
        <w:spacing w:after="0" w:line="256"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79"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fifteen (15)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53" w:name="page54"/>
    <w:bookmarkEnd w:id="53"/>
    <w:p>
      <w:pPr>
        <w:ind w:left="4" w:right="80" w:hanging="4"/>
        <w:spacing w:after="0" w:line="266" w:lineRule="auto"/>
        <w:tabs>
          <w:tab w:leader="none" w:pos="2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SEC continues to take the position that such treatment is proper at the time of such exercise).</w:t>
      </w:r>
    </w:p>
    <w:p>
      <w:pPr>
        <w:spacing w:after="0" w:line="18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 the event that a registration statement registering the issuance of the Warrant Shares is, for any reason, not effective at the time of exercise of this Warrant, then the Warrant may only be exercised through a cashless exercise, as set forth in this Section 10. If Warrant Shares are issued in such a cashless exercise, the Company acknowledges and agrees that, in accordance with Section 3(a)(9) of the Securities Act, the Warrant Shares shall take on the characteristics of the Warrants being exercised, and the holding period of the Warrants being exercised may be tacked on to the holding period of the Warrant Shares (provided that the SEC continues to take the position that such treatment is proper at the time of such exercise).</w:t>
      </w:r>
    </w:p>
    <w:p>
      <w:pPr>
        <w:spacing w:after="0" w:line="75" w:lineRule="exact"/>
        <w:rPr>
          <w:sz w:val="20"/>
          <w:szCs w:val="20"/>
          <w:color w:val="auto"/>
        </w:rPr>
      </w:pPr>
    </w:p>
    <w:p>
      <w:pPr>
        <w:ind w:left="264" w:hanging="264"/>
        <w:spacing w:after="0"/>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hanging="4"/>
        <w:spacing w:after="0" w:line="252" w:lineRule="auto"/>
        <w:tabs>
          <w:tab w:leader="none" w:pos="24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[4.99%][9.99%][19.99%][24.99%]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any other Warrants) beneficially owned by the Holder or any other Attribution Party subject to a limitation on conversion or exercise analogous to the limitation contained in this Section 11(a). For purposes of this Section 11(a), beneficial ownership shall be calculated in accordance with Section 13(d) of the Exchange Act, it being acknowledged by the Holder that the Company is not representing to the Holder that such calculation is in compliance with Section 13(d) of the Exchange Act and the Holder is solely</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54" w:name="page55"/>
    <w:bookmarkEnd w:id="54"/>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responsible for any schedules required to be filed in accordance therewith.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Times New Roman" w:cs="Times New Roman" w:eastAsia="Times New Roman" w:hAnsi="Times New Roman"/>
          <w:sz w:val="18"/>
          <w:szCs w:val="18"/>
          <w:u w:val="single" w:color="auto"/>
          <w:color w:val="auto"/>
        </w:rPr>
        <w:t>Reported 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shall be deemed null and void and shall be cancelled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24.99% of the issued and outstanding shares of Common Stock immediately after giving effect to the issuance of the shares of Common Stock issuable upon exercise of this Warrant, regardless of whether exceeding that limit would result in a change of control under Nasdaq Listing Rule 5635(b)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 (iii) 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of the Exchange Act or Rule 16a-1(a)(1) promulgated under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spacing w:after="0" w:line="91" w:lineRule="exact"/>
        <w:rPr>
          <w:sz w:val="20"/>
          <w:szCs w:val="20"/>
          <w:color w:val="auto"/>
        </w:rPr>
      </w:pPr>
    </w:p>
    <w:p>
      <w:pPr>
        <w:ind w:left="4" w:right="80" w:hanging="4"/>
        <w:spacing w:after="0" w:line="254"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if any exercise of this Warrant would result in the Holder, together with the other Attribution Parties, acquiring beneficial ownership of Warrant Shares (together with all other equity of the Company owned by the Holder at such time) with a value equal to or in excess of the notification threshold applicable to the Holder under the HSR Act as of the date of delivery of the applicable Exercise Notice (the “HSR Threshold”), and no exemption to filing a notice and report form under the HSR Act is applicable, then only such portion of this Warrant, which when exercised does not exceed the HSR Threshold, shall be exercisable and the applicable Exercise Notice shall be deemed to relate only to such portion of this Warrant, and the remaining portion of this Warrant in excess of the HSR Threshold shall not be exercisable until the expiration or early termination of the applicable waiting period under the HSR Act or receipt of applicable approval. Upon expiration or early termination of the applicable waiting period under the HSR Act or receipt of applicable approval, such Holder shall not be subject to the limitations set forth in Section 11(a) hereto.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55" w:name="page56"/>
    <w:bookmarkEnd w:id="55"/>
    <w:p>
      <w:pPr>
        <w:jc w:val="both"/>
        <w:ind w:left="4" w:right="180" w:hanging="4"/>
        <w:spacing w:after="0" w:line="266" w:lineRule="auto"/>
        <w:tabs>
          <w:tab w:leader="none" w:pos="24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spacing w:after="0" w:line="68" w:lineRule="exact"/>
        <w:rPr>
          <w:sz w:val="20"/>
          <w:szCs w:val="20"/>
          <w:color w:val="auto"/>
        </w:rPr>
      </w:pPr>
    </w:p>
    <w:p>
      <w:pPr>
        <w:jc w:val="both"/>
        <w:ind w:left="4" w:right="260" w:hanging="4"/>
        <w:spacing w:after="0" w:line="266" w:lineRule="auto"/>
        <w:tabs>
          <w:tab w:leader="none" w:pos="2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67" w:lineRule="exact"/>
        <w:rPr>
          <w:rFonts w:ascii="Times New Roman" w:cs="Times New Roman" w:eastAsia="Times New Roman" w:hAnsi="Times New Roman"/>
          <w:sz w:val="18"/>
          <w:szCs w:val="18"/>
          <w:color w:val="auto"/>
        </w:rPr>
      </w:pPr>
    </w:p>
    <w:p>
      <w:pPr>
        <w:ind w:left="4" w:right="140" w:hanging="4"/>
        <w:spacing w:after="0" w:line="255" w:lineRule="auto"/>
        <w:tabs>
          <w:tab w:leader="none" w:pos="2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including, without limitation, an Exercise Notice, unless otherwise provided herein, such notice shall be given effective on the earliest of: (a) the time of transmission, if such notice or communication is delivered via email attachment at the email address as set forth below at or prior to 5:30 p.m. (New York City time) on a Trading Day, (b) the next Trading Day after the date of transmission, if such notice or communication is delivered via email attachment at the email address as set forth below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and will be delivered and addressed as follows:</w:t>
      </w:r>
    </w:p>
    <w:p>
      <w:pPr>
        <w:spacing w:after="0" w:line="81" w:lineRule="exact"/>
        <w:rPr>
          <w:sz w:val="20"/>
          <w:szCs w:val="20"/>
          <w:color w:val="auto"/>
        </w:rPr>
      </w:pPr>
    </w:p>
    <w:p>
      <w:pPr>
        <w:ind w:left="4" w:right="9200" w:hanging="4"/>
        <w:spacing w:after="0" w:line="375" w:lineRule="auto"/>
        <w:tabs>
          <w:tab w:leader="none" w:pos="2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Disc Medicine, Inc.</w:t>
      </w:r>
    </w:p>
    <w:p>
      <w:pPr>
        <w:spacing w:after="0" w:line="1" w:lineRule="exact"/>
        <w:rPr>
          <w:rFonts w:ascii="Times New Roman" w:cs="Times New Roman" w:eastAsia="Times New Roman" w:hAnsi="Times New Roman"/>
          <w:sz w:val="18"/>
          <w:szCs w:val="18"/>
          <w:color w:val="auto"/>
        </w:rPr>
      </w:pPr>
    </w:p>
    <w:p>
      <w:pPr>
        <w:ind w:left="4" w:right="890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 Arsenal Street, Suite 101 Watertown, MA 02472 Attention: John Quisel Email: [***]</w:t>
      </w:r>
    </w:p>
    <w:p>
      <w:pPr>
        <w:spacing w:after="0" w:line="2" w:lineRule="exact"/>
        <w:rPr>
          <w:rFonts w:ascii="Times New Roman" w:cs="Times New Roman" w:eastAsia="Times New Roman" w:hAnsi="Times New Roman"/>
          <w:sz w:val="18"/>
          <w:szCs w:val="18"/>
          <w:color w:val="auto"/>
        </w:rPr>
      </w:pPr>
    </w:p>
    <w:p>
      <w:pPr>
        <w:ind w:left="4" w:right="744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 Goodwin Procter LLP</w:t>
      </w:r>
    </w:p>
    <w:p>
      <w:pPr>
        <w:spacing w:after="0" w:line="1" w:lineRule="exact"/>
        <w:rPr>
          <w:rFonts w:ascii="Times New Roman" w:cs="Times New Roman" w:eastAsia="Times New Roman" w:hAnsi="Times New Roman"/>
          <w:sz w:val="18"/>
          <w:szCs w:val="18"/>
          <w:color w:val="auto"/>
        </w:rPr>
      </w:pPr>
    </w:p>
    <w:p>
      <w:pPr>
        <w:ind w:left="4" w:right="88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Northern Avenue Boston, MA 02210 Attention: William D. Collins Email: [***]</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at such address or other contact information delivered by the Holder to Company or as is on the books and records of the Company.</w:t>
      </w:r>
    </w:p>
    <w:p>
      <w:pPr>
        <w:spacing w:after="0" w:line="117" w:lineRule="exact"/>
        <w:rPr>
          <w:sz w:val="20"/>
          <w:szCs w:val="20"/>
          <w:color w:val="auto"/>
        </w:rPr>
      </w:pPr>
    </w:p>
    <w:p>
      <w:pPr>
        <w:ind w:left="4" w:hanging="4"/>
        <w:spacing w:after="0" w:line="256" w:lineRule="auto"/>
        <w:tabs>
          <w:tab w:leader="none" w:pos="27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Warrant Agent shall initially serve as warrant agent under this Warrant. Upon thirty (30) days’ notice to the Holder, the Company may appoint a new warrant agent. Any corporation into which the Warrant Agent or any new warrant agent may be merged or any corporation resulting from any consolidation to which the Warrant Agent or any new warrant agent shall be a party or any corporation to which the Warrant Agent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56" w:name="page57"/>
    <w:bookmarkEnd w:id="56"/>
    <w:p>
      <w:pPr>
        <w:ind w:left="264" w:hanging="264"/>
        <w:spacing w:after="0"/>
        <w:tabs>
          <w:tab w:leader="none" w:pos="2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hanging="4"/>
        <w:spacing w:after="0" w:line="272" w:lineRule="auto"/>
        <w:tabs>
          <w:tab w:leader="none" w:pos="24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a Stockholder</w:t>
      </w:r>
      <w:r>
        <w:rPr>
          <w:rFonts w:ascii="Times New Roman" w:cs="Times New Roman" w:eastAsia="Times New Roman" w:hAnsi="Times New Roman"/>
          <w:sz w:val="17"/>
          <w:szCs w:val="17"/>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Holder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63"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hanging="4"/>
        <w:spacing w:after="0" w:line="254" w:lineRule="auto"/>
        <w:tabs>
          <w:tab w:leader="none" w:pos="2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0" w:lineRule="exact"/>
        <w:rPr>
          <w:rFonts w:ascii="Times New Roman" w:cs="Times New Roman" w:eastAsia="Times New Roman" w:hAnsi="Times New Roman"/>
          <w:sz w:val="18"/>
          <w:szCs w:val="18"/>
          <w:color w:val="auto"/>
        </w:rPr>
      </w:pPr>
    </w:p>
    <w:p>
      <w:pPr>
        <w:jc w:val="both"/>
        <w:ind w:left="4" w:right="560" w:hanging="4"/>
        <w:spacing w:after="0" w:line="266" w:lineRule="auto"/>
        <w:tabs>
          <w:tab w:leader="none" w:pos="26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left="4" w:hanging="4"/>
        <w:spacing w:after="0" w:line="258" w:lineRule="auto"/>
        <w:tabs>
          <w:tab w:leader="none" w:pos="2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75" w:lineRule="exact"/>
        <w:rPr>
          <w:rFonts w:ascii="Times New Roman" w:cs="Times New Roman" w:eastAsia="Times New Roman" w:hAnsi="Times New Roman"/>
          <w:sz w:val="18"/>
          <w:szCs w:val="18"/>
          <w:color w:val="auto"/>
        </w:rPr>
      </w:pPr>
    </w:p>
    <w:p>
      <w:pPr>
        <w:ind w:left="4" w:right="40" w:hanging="4"/>
        <w:spacing w:after="0" w:line="312" w:lineRule="auto"/>
        <w:tabs>
          <w:tab w:leader="none" w:pos="25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if the Holder does not utilize cashless exercise after expiration of the Rule 144 holding period, will contain a legend to the effect that the Warrant Shares are not registered.</w:t>
      </w:r>
    </w:p>
    <w:p>
      <w:pPr>
        <w:spacing w:after="0" w:line="31"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w:t>
      </w:r>
    </w:p>
    <w:p>
      <w:pPr>
        <w:spacing w:after="0" w:line="27" w:lineRule="exact"/>
        <w:rPr>
          <w:rFonts w:ascii="Times New Roman" w:cs="Times New Roman" w:eastAsia="Times New Roman" w:hAnsi="Times New Roman"/>
          <w:sz w:val="18"/>
          <w:szCs w:val="18"/>
          <w:color w:val="auto"/>
        </w:rPr>
      </w:pPr>
    </w:p>
    <w:p>
      <w:pPr>
        <w:ind w:left="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73"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17" w:lineRule="exact"/>
        <w:rPr>
          <w:rFonts w:ascii="Times New Roman" w:cs="Times New Roman" w:eastAsia="Times New Roman" w:hAnsi="Times New Roman"/>
          <w:sz w:val="18"/>
          <w:szCs w:val="18"/>
          <w:color w:val="auto"/>
        </w:rPr>
      </w:pPr>
    </w:p>
    <w:p>
      <w:pPr>
        <w:ind w:left="4" w:right="220" w:hanging="4"/>
        <w:spacing w:after="0" w:line="258"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OF THE COMPANY AND THE HOLDER HEREBY IRREVOCABLY SUBMITS TO THE EXCLUSIVE JURISDICTION OF THE STATE AND FEDERAL COURTS SITTING IN THE STATE OF NEW YORK,</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57" w:name="page58"/>
    <w:bookmarkEnd w:id="5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84" w:lineRule="exact"/>
        <w:rPr>
          <w:sz w:val="20"/>
          <w:szCs w:val="20"/>
          <w:color w:val="auto"/>
        </w:rPr>
      </w:pPr>
    </w:p>
    <w:p>
      <w:pPr>
        <w:ind w:left="4" w:right="60" w:hanging="4"/>
        <w:spacing w:after="0" w:line="282"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53" w:lineRule="exact"/>
        <w:rPr>
          <w:rFonts w:ascii="Times New Roman" w:cs="Times New Roman" w:eastAsia="Times New Roman" w:hAnsi="Times New Roman"/>
          <w:sz w:val="18"/>
          <w:szCs w:val="18"/>
          <w:color w:val="auto"/>
        </w:rPr>
      </w:pPr>
    </w:p>
    <w:p>
      <w:pPr>
        <w:ind w:left="4" w:right="20" w:hanging="4"/>
        <w:spacing w:after="0" w:line="256" w:lineRule="auto"/>
        <w:tabs>
          <w:tab w:leader="none" w:pos="2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is held by a court of competent jurisdiction to be shall be invalid, illegal, void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as of the Original Issue Date set out above.</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59" w:name="page60"/>
    <w:bookmarkEnd w:id="59"/>
    <w:p>
      <w:pPr>
        <w:jc w:val="center"/>
        <w:ind w:right="-24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ind w:left="2344"/>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00" w:lineRule="exact"/>
        <w:rPr>
          <w:sz w:val="20"/>
          <w:szCs w:val="20"/>
          <w:color w:val="auto"/>
        </w:rPr>
      </w:pPr>
    </w:p>
    <w:p>
      <w:pPr>
        <w:spacing w:after="0" w:line="237"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80" w:hanging="4"/>
        <w:spacing w:after="0" w:line="282"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_____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17" w:lineRule="exact"/>
        <w:rPr>
          <w:sz w:val="20"/>
          <w:szCs w:val="20"/>
          <w:color w:val="auto"/>
        </w:rPr>
      </w:pPr>
    </w:p>
    <w:p>
      <w:pPr>
        <w:ind w:left="204" w:hanging="204"/>
        <w:spacing w:after="0"/>
        <w:tabs>
          <w:tab w:leader="none" w:pos="204" w:val="left"/>
        </w:tabs>
        <w:numPr>
          <w:ilvl w:val="0"/>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117" w:lineRule="exact"/>
        <w:rPr>
          <w:sz w:val="20"/>
          <w:szCs w:val="20"/>
          <w:color w:val="auto"/>
        </w:rPr>
      </w:pPr>
    </w:p>
    <w:p>
      <w:pPr>
        <w:ind w:left="4" w:right="540" w:hanging="4"/>
        <w:spacing w:after="0" w:line="282" w:lineRule="auto"/>
        <w:tabs>
          <w:tab w:leader="none" w:pos="25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$__________ in immediately available funds to the Company in accordance with the terms of the Warrant.</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this Exercise Notice, the Company shall deliver to the Holder Warrant Shares determined in accordance with the terms of the Warrant.</w:t>
      </w:r>
    </w:p>
    <w:p>
      <w:pPr>
        <w:spacing w:after="0" w:line="128"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the Holder, together with the other Attribution Parties, will not beneficially own in excess of the Maximum Percentage or the HSR Threshold.</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17145</wp:posOffset>
            </wp:positionV>
            <wp:extent cx="24003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784"/>
          </w:cols>
          <w:pgMar w:left="436" w:top="270" w:right="679" w:bottom="1440" w:gutter="0" w:footer="0" w:header="0"/>
        </w:sectPr>
      </w:pPr>
    </w:p>
    <w:bookmarkStart w:id="60" w:name="page61"/>
    <w:bookmarkEnd w:id="60"/>
    <w:p>
      <w:pPr>
        <w:ind w:left="4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the Transfer Agent to issue the above indicated number of shares of Common Stock within the Standard Settlement Period.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380"/>
          </w:cols>
          <w:pgMar w:left="440" w:top="266" w:right="1079" w:bottom="1440" w:gutter="0" w:footer="0" w:header="0"/>
        </w:sectPr>
      </w:pPr>
    </w:p>
    <w:bookmarkStart w:id="61" w:name="page62"/>
    <w:bookmarkEnd w:id="61"/>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Phone Number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Email Address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ectPr>
          <w:pgSz w:w="11900" w:h="16838" w:orient="portrait"/>
          <w:cols w:equalWidth="0" w:num="1">
            <w:col w:w="10019"/>
          </w:cols>
          <w:pgMar w:left="440" w:top="270"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333-281359) (as amended or supplemented, the “Registration Statement”) filed on August 8, 2024 with the Securities and Exchange Commission (the “Commission”) pursuant to the Securities Act of 1933, as amended (the “Securities Act”), relating to the registration of the offer by Disc Medicine, Inc., a Delaware corporation (the “Company”), of up to an indeterminate amount of any combination of securities of the types specified therein. Reference is made to our opinion letter dated August 8, 2024 and included as Exhibit 5.1 to the Registration Statement. We are delivering this supplemental opinion letter in connection with the prospectus supplement (the “Prospectus Supplement”) dated January 22, 2025, filed by the Company with the Commission pursuant to Rule 424 under the Securities Act. The Prospectus Supplement relates to the offering by the Company of up to (i) 4,533,182 shares (the “Common Shares”) of the Company’s common stock, par value $0.0001 per share (the “Common Stock”), and (ii) pre-funded warrants (the “Pre-Funded Warrants”) to purchase up to 181,818 shares of Common Stock (such shares issuable upon exercise of the Pre-Funded Warrants, the “Pre-Funded Warrant Shares,” and together with the Common Shares, the “Shares”) covered by the Registration Statement. The Shares include an over-allotment option granted to the underwriters of the offering to purchase 615,000 Shares. The Shares and Pre-Funded Warrants are being sold to the several underwriters named in, and pursuant to, an underwriting agreement among the Company and the representatives of the several underwriters named therein (the “Underwriting Agreement”).</w:t>
      </w:r>
    </w:p>
    <w:p>
      <w:pPr>
        <w:spacing w:after="0" w:line="1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For purposes of the opinion set forth in paragraph 3 below, we have assumed that before the Pre-Funded Warrant Shares are issued, the Company does not issue shares of Common Stock or reduce the total number of shares of Common Stock the Company is authorized to issue under its certificate of incorporation such that the number of unissued shares of Common Stock authorized under the Company’s certificate of incorporation is less than the number of Pre-Funded Warrant Shares.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with respect to opinion paragraph 2, the law of the State of New York.</w:t>
      </w:r>
    </w:p>
    <w:p>
      <w:pPr>
        <w:sectPr>
          <w:pgSz w:w="11900" w:h="16838" w:orient="portrait"/>
          <w:cols w:equalWidth="0" w:num="1">
            <w:col w:w="11020"/>
          </w:cols>
          <w:pgMar w:left="440" w:top="117"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we are of the opinion that:</w:t>
      </w:r>
    </w:p>
    <w:p>
      <w:pPr>
        <w:spacing w:after="0" w:line="131" w:lineRule="exact"/>
        <w:rPr>
          <w:sz w:val="20"/>
          <w:szCs w:val="20"/>
          <w:color w:val="auto"/>
        </w:rPr>
      </w:pPr>
    </w:p>
    <w:p>
      <w:pPr>
        <w:ind w:left="960" w:right="38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duly authorized and, when delivered and paid for in accordance with the terms of the Underwriting Agreement,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and executed by the Company and, when delivered and paid for in accordance with the terms of the Underwriting Agreement, will be valid and binding obligations of the Company.</w:t>
      </w:r>
    </w:p>
    <w:p>
      <w:pPr>
        <w:spacing w:after="0" w:line="67"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sufficient authorized but unissued shares of Common Stock are available for issuance when the Pre-Funded Warrants are exercised, the Pre-Funded Warrant Shares, when issued upon exercise of the Pre-Funded Warrants in accordance with the terms of the Pre-Funded Warrants, will be validly issued, fully paid and non-assessable.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opinions set forth above are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and Pre-Funded Warrants (the “Current Report”), which is incorporated by reference in the Registration Statement. We hereby consent to the inclusion of this opinion as Exhibit 5.1 to the Current Report and its incorporation by reference in the Registration Statement and the reference to our firm under the caption “Legal Matters” in the Prospectus Supplement. In giving our consent, we do not admit that we are in the category of persons whose consent is required under Section 7 of the Securities Act or the rules and regulations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800"/>
          </w:cols>
          <w:pgMar w:left="440" w:top="270" w:right="6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554605" cy="445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546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Disc Medicine Announces Proposed Public Offering</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Common Stock and Pre-Funded Warrants</w:t>
      </w:r>
    </w:p>
    <w:p>
      <w:pPr>
        <w:spacing w:after="0" w:line="207"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WATERTOWN, Mass. (January 21, 2025) – Disc Medicine, Inc. (NASDAQ: IRON) (Disc), a clinical-stage biopharmaceutical company focused on the discovery, development, and commercialization of novel treatments for patients suffering from serious hematologic diseases, today announced that it has commenced an underwritten offering of $200.0 million of shares of its common stock and, in lieu of common stock to certain investors that so choose, pre-funded warrants to purchase shares of its common stock. In addition, Disc intends to grant the underwriters a 30-day option to purchase up to an additional $30.0 million of shares of its common stock at the public offering price, less underwriting discounts and commissions. All of the securities being sold in the proposed offering are being offered by Disc. The proposed offering is subject to market and other conditions, and there can be no assurance as to whether or when the offering may be completed, or as to the actual size or terms of the offering.</w:t>
      </w:r>
    </w:p>
    <w:p>
      <w:pPr>
        <w:spacing w:after="0" w:line="18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Disc intends to use the net proceeds from the proposed offering to fund research and clinical development of its current or additional product candidates, to support the potential commercialization of bitopertin for erythropoietic protoporphyria (EPP) and X-linked protoporphyria (XLP), as well as for working capital and other general corporate purposes.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Jefferies, Leerink Partners, Stifel and Cantor are acting as joint book-running managers for the proposed offering.</w:t>
      </w:r>
    </w:p>
    <w:p>
      <w:pPr>
        <w:spacing w:after="0" w:line="225"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The securities described above are being offered by Disc pursuant to an automatic shelf registration statement on Form S-3 (No. 333-281359) that was previously filed with the Securities and Exchange Commission (SEC) on August 8, 2024. This proposed offering is being made only by means of a prospectus supplement and an accompanying prospectus that form a part of the registration statement. A preliminary prospectus supplement and an accompanying prospectus related to the proposed offering will be filed with the SEC and will be available on the SEC’s website at www.sec.gov. Copies of the preliminary prospectus supplement and the accompanying prospectus relating to this proposed offering may also be obtained, when available, by contacting: Jefferies LLC, Attention: Equity Syndicate Prospectus Department, 520 Madison Avenue, 2nd Floor, New York, NY 10022, by telephone at</w:t>
      </w:r>
    </w:p>
    <w:p>
      <w:pPr>
        <w:spacing w:after="0" w:line="5" w:lineRule="exact"/>
        <w:rPr>
          <w:sz w:val="20"/>
          <w:szCs w:val="20"/>
          <w:color w:val="auto"/>
        </w:rPr>
      </w:pPr>
    </w:p>
    <w:p>
      <w:pPr>
        <w:ind w:left="4" w:right="40" w:hanging="4"/>
        <w:spacing w:after="0" w:line="253" w:lineRule="auto"/>
        <w:tabs>
          <w:tab w:leader="none" w:pos="43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821-7388, or by email at prospectus_department@jefferies.com; Leerink Partners LLC, Attention: Syndicate Department, 53 State Street, 40th Floor, Boston, MA 02109, (800) 808-7525 ext. 6105 or by email at syndicate@leerink.com; Stifel , Nicolaus &amp; Company, Incorporated, Attention: Syndicate, One Montgomery Street, Suite 3700, San Francisco, California 94104, by telephone at (415) 364-2720 or by email at syndprospectus@stifel.com; or Cantor Fitzgerald &amp; Co., Attention: Capital Markets, 110 East 59th Street, 6th Floor, New York, New York, 10022, or by email at prospectus@cantor.com.</w:t>
      </w:r>
    </w:p>
    <w:p>
      <w:pPr>
        <w:spacing w:after="0" w:line="187"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left="4" w:right="320"/>
        <w:spacing w:after="0" w:line="261" w:lineRule="auto"/>
        <w:rPr>
          <w:sz w:val="20"/>
          <w:szCs w:val="20"/>
          <w:color w:val="auto"/>
        </w:rPr>
      </w:pPr>
      <w:r>
        <w:rPr>
          <w:rFonts w:ascii="Times New Roman" w:cs="Times New Roman" w:eastAsia="Times New Roman" w:hAnsi="Times New Roman"/>
          <w:sz w:val="18"/>
          <w:szCs w:val="18"/>
          <w:color w:val="auto"/>
        </w:rPr>
        <w:t>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ectPr>
          <w:pgSz w:w="11900" w:h="16838" w:orient="portrait"/>
          <w:cols w:equalWidth="0" w:num="1">
            <w:col w:w="11024"/>
          </w:cols>
          <w:pgMar w:left="436" w:top="117"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554605" cy="4457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554605" cy="44577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express or implied statements related to Disc’s expectations regarding the timing of the proposed offering, and the anticipated use of proceeds from the offering.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completion of the public offering on the anticipated terms or at all, the expectation to grant the underwriter a 30-day option to purchase additional shares and other risks identified in our SEC filings, including our Quarterly Report on Form 10-Q for the quarter ended September 30, 2024, and in the preliminary prospectus supplement related to the proposed offering we will file with the SEC. We caution you not to place undue reliance on any forward-looking statements, which speak only as of the date they are made. We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peg.rusconi@deerfieldgroup.com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christina.tartaglia@precisionaq.com</w:t>
      </w:r>
    </w:p>
    <w:p>
      <w:pPr>
        <w:sectPr>
          <w:pgSz w:w="11900" w:h="16838" w:orient="portrait"/>
          <w:cols w:equalWidth="0" w:num="1">
            <w:col w:w="10960"/>
          </w:cols>
          <w:pgMar w:left="440" w:top="1116" w:right="4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542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Announces Pricing of $225.5 Million Upsized Public Offering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Common Stock and Pre-Funded Warrants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WATERTOWN, Mass. (January 22, 2025) – Disc Medicine, Inc. (NASDAQ: IRON) (Disc), a clinical-stage biopharmaceutical company focused on the discovery, development, and commercialization of novel treatments for patients suffering from serious hematologic diseases, today announced the pricing of its upsized underwritten offering of shares of its common stock and, in lieu of common stock to certain investors that so choose, pre-funded warrants to purchase shares of its common stock. Disc is selling 3,918,182 shares of common stock and pre-funded warrants to purchase 181,818 shares of common stock in the offering. The shares of common stock are being sold at an offering price of $55.00 per share, and the pre-funded warrants are being sold at an offering price of $54.9999 per pre-funded warrant, which represents the per share offering price for the common stock less the $0.0001 per share exercise price for each such pre-funded warrant. The aggregate gross proceeds to Disc from this offering are expected to be approximately $225.5 million, before deducting underwriting discounts and commissions and other offering expenses, excluding the exercise of any pre-funded warrants. In addition, Disc has granted the underwriters a 30-day option to purchase up to an additional $33.825 million of shares of its common stock at the public offering price, less underwriting discounts and commissions. All of the securities being sold in the offering are being offered by Disc. The offering is expected to close on January 24, 2025, subject to the satisfaction of customary closing conditions.</w:t>
      </w:r>
    </w:p>
    <w:p>
      <w:pPr>
        <w:spacing w:after="0" w:line="19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Disc intends to use the net proceeds from the offering to fund research and clinical development of its current or additional product candidates, to support the potential commercialization of bitopertin for erythropoietic protoporphyria (EPP) and X-linked protoporphyria (XLP), as well as for working capital and other general corporate purposes.</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Jefferies, Leerink Partners, Stifel and Cantor are acting as joint book-running managers for the offering. BMO Capital Markets, LifeSci Capital, Wedbush PacGrow and H.C. Wainwright &amp; Co. are acting as co-managers for the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described above are being offered by Disc pursuant to an automatic shelf registration statement on Form S-3 (No. 333-281359) that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 with the Securities and Exchange Commission (SEC) on August 8, 2024. This offering is being made only by means of a prospectus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that form a part of the registration statement. A final prospectus supplement and accompanying prospectus related to the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filed with the SEC and will be available on the SEC’s website at www.sec.gov. Copies of the final prospectus supplement and the accompanying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relating to this offering may also be obtained, when available, by contacting: Jefferies LLC, Attention: Equity Syndicate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520 Madison Avenue, 2nd Floor, New York, NY 10022, by telephone at (877) 821-7388, or by email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prospectus_department@jefferies.com; Leerink Partners LLC, Attention: Syndicate Department, 53 State Street, 40th Floor, Boston, MA 02109,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808-7525 ext. 6105 or by email at syndicate@leerink.com; Stifel, Nicolaus &amp; Company, Incorporated, Attention: Syndicate, One Montgomery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3700, San Francisco, California 94104, by telephone at (415) 364-2720 or by email at syndprospectus@stifel.com; or 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Capital Markets, 110 East 59th Street, 6th Floor, New York, New York, 10022, or by email at prospectus@cantor.com.</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ectPr>
          <w:pgSz w:w="11900" w:h="16838" w:orient="portrait"/>
          <w:cols w:equalWidth="0" w:num="1">
            <w:col w:w="11020"/>
          </w:cols>
          <w:pgMar w:left="440" w:top="117"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About Disc Medicine</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express or implied statements related to Disc’s expectations regarding the timing and closing of the offering, and the anticipated use of proceeds from the offering.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satisfaction of customary closing conditions related to the underwritten offering, and other risks identified in our SEC filings, including our Quarterly Report on Form 10-Q for the quarter ended September 30, 2024, and in the prospectus supplement related to the offering we will file with the SEC. We caution you not to place undue reliance on any forward-looking statements, which speak only as of the date they are made. We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peg.rusconi@deerfieldgroup.com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christina.tartaglia@precisionaq.com</w:t>
      </w:r>
    </w:p>
    <w:sectPr>
      <w:pgSz w:w="11900" w:h="16838" w:orient="portrait"/>
      <w:cols w:equalWidth="0" w:num="1">
        <w:col w:w="11000"/>
      </w:cols>
      <w:pgMar w:left="440" w:top="9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
      <w:numFmt w:val="bullet"/>
      <w:start w:val="1"/>
    </w:lvl>
  </w:abstractNum>
  <w:abstractNum w:abstractNumId="2">
    <w:nsid w:val="2CD89A32"/>
    <w:multiLevelType w:val="hybridMultilevel"/>
    <w:lvl w:ilvl="0">
      <w:lvlJc w:val="left"/>
      <w:lvlText w:val="%1"/>
      <w:numFmt w:val="lowerLetter"/>
      <w:start w:val="1"/>
    </w:lvl>
    <w:lvl w:ilvl="1">
      <w:lvlJc w:val="left"/>
      <w:lvlText w:val="%2."/>
      <w:numFmt w:val="decimal"/>
      <w:start w:val="1"/>
    </w:lvl>
  </w:abstractNum>
  <w:abstractNum w:abstractNumId="3">
    <w:nsid w:val="57E4CCAF"/>
    <w:multiLevelType w:val="hybridMultilevel"/>
    <w:lvl w:ilvl="0">
      <w:lvlJc w:val="left"/>
      <w:lvlText w:val="(%1)"/>
      <w:numFmt w:val="lowerLetter"/>
      <w:start w:val="1"/>
    </w:lvl>
    <w:lvl w:ilvl="1">
      <w:lvlJc w:val="left"/>
      <w:lvlText w:val="%2"/>
      <w:numFmt w:val="decimal"/>
      <w:start w:val="1"/>
    </w:lvl>
  </w:abstractNum>
  <w:abstractNum w:abstractNumId="4">
    <w:nsid w:val="7A6D8D3C"/>
    <w:multiLevelType w:val="hybridMultilevel"/>
    <w:lvl w:ilvl="0">
      <w:lvlJc w:val="left"/>
      <w:lvlText w:val="(%1)"/>
      <w:numFmt w:val="lowerLetter"/>
      <w:start w:val="2"/>
    </w:lvl>
  </w:abstractNum>
  <w:abstractNum w:abstractNumId="5">
    <w:nsid w:val="4B588F54"/>
    <w:multiLevelType w:val="hybridMultilevel"/>
    <w:lvl w:ilvl="0">
      <w:lvlJc w:val="left"/>
      <w:lvlText w:val="(%1)"/>
      <w:numFmt w:val="lowerLetter"/>
      <w:start w:val="4"/>
    </w:lvl>
  </w:abstractNum>
  <w:abstractNum w:abstractNumId="6">
    <w:nsid w:val="542289EC"/>
    <w:multiLevelType w:val="hybridMultilevel"/>
    <w:lvl w:ilvl="0">
      <w:lvlJc w:val="left"/>
      <w:lvlText w:val="(%1)"/>
      <w:numFmt w:val="lowerLetter"/>
      <w:start w:val="9"/>
    </w:lvl>
  </w:abstractNum>
  <w:abstractNum w:abstractNumId="7">
    <w:nsid w:val="6DE91B18"/>
    <w:multiLevelType w:val="hybridMultilevel"/>
    <w:lvl w:ilvl="0">
      <w:lvlJc w:val="left"/>
      <w:lvlText w:val="(%1)"/>
      <w:numFmt w:val="lowerLetter"/>
      <w:start w:val="11"/>
    </w:lvl>
  </w:abstractNum>
  <w:abstractNum w:abstractNumId="8">
    <w:nsid w:val="38437FDB"/>
    <w:multiLevelType w:val="hybridMultilevel"/>
    <w:lvl w:ilvl="0">
      <w:lvlJc w:val="left"/>
      <w:lvlText w:val="(%1)"/>
      <w:numFmt w:val="lowerLetter"/>
      <w:start w:val="16"/>
    </w:lvl>
  </w:abstractNum>
  <w:abstractNum w:abstractNumId="9">
    <w:nsid w:val="7644A45C"/>
    <w:multiLevelType w:val="hybridMultilevel"/>
    <w:lvl w:ilvl="0">
      <w:lvlJc w:val="left"/>
      <w:lvlText w:val="(%1)"/>
      <w:numFmt w:val="lowerLetter"/>
      <w:start w:val="20"/>
    </w:lvl>
  </w:abstractNum>
  <w:abstractNum w:abstractNumId="10">
    <w:nsid w:val="32FFF902"/>
    <w:multiLevelType w:val="hybridMultilevel"/>
    <w:lvl w:ilvl="0">
      <w:lvlJc w:val="left"/>
      <w:lvlText w:val="(%1)"/>
      <w:numFmt w:val="lowerLetter"/>
      <w:start w:val="22"/>
    </w:lvl>
  </w:abstractNum>
  <w:abstractNum w:abstractNumId="11">
    <w:nsid w:val="684A481A"/>
    <w:multiLevelType w:val="hybridMultilevel"/>
    <w:lvl w:ilvl="0">
      <w:lvlJc w:val="left"/>
      <w:lvlText w:val="%1"/>
      <w:numFmt w:val="lowerLetter"/>
      <w:start w:val="1"/>
    </w:lvl>
    <w:lvl w:ilvl="1">
      <w:lvlJc w:val="left"/>
      <w:lvlText w:val="(%2)"/>
      <w:numFmt w:val="lowerLetter"/>
      <w:start w:val="27"/>
    </w:lvl>
  </w:abstractNum>
  <w:abstractNum w:abstractNumId="12">
    <w:nsid w:val="579478FE"/>
    <w:multiLevelType w:val="hybridMultilevel"/>
    <w:lvl w:ilvl="0">
      <w:lvlJc w:val="left"/>
      <w:lvlText w:val="(%1)"/>
      <w:numFmt w:val="lowerLetter"/>
      <w:start w:val="9"/>
    </w:lvl>
    <w:lvl w:ilvl="1">
      <w:lvlJc w:val="left"/>
      <w:lvlText w:val="(%2)"/>
      <w:numFmt w:val="lowerLetter"/>
      <w:start w:val="28"/>
    </w:lvl>
  </w:abstractNum>
  <w:abstractNum w:abstractNumId="13">
    <w:nsid w:val="749ABB43"/>
    <w:multiLevelType w:val="hybridMultilevel"/>
    <w:lvl w:ilvl="0">
      <w:lvlJc w:val="left"/>
      <w:lvlText w:val="(%1)"/>
      <w:numFmt w:val="lowerLetter"/>
      <w:start w:val="30"/>
    </w:lvl>
  </w:abstractNum>
  <w:abstractNum w:abstractNumId="14">
    <w:nsid w:val="3DC240FB"/>
    <w:multiLevelType w:val="hybridMultilevel"/>
    <w:lvl w:ilvl="0">
      <w:lvlJc w:val="left"/>
      <w:lvlText w:val="(%1)"/>
      <w:numFmt w:val="lowerLetter"/>
      <w:start w:val="33"/>
    </w:lvl>
    <w:lvl w:ilvl="1">
      <w:lvlJc w:val="left"/>
      <w:lvlText w:val="(%2)"/>
      <w:numFmt w:val="upperLetter"/>
      <w:start w:val="1"/>
    </w:lvl>
  </w:abstractNum>
  <w:abstractNum w:abstractNumId="15">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6">
    <w:nsid w:val="79A1DEA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
    <w:nsid w:val="75C6C33A"/>
    <w:multiLevelType w:val="hybridMultilevel"/>
    <w:lvl w:ilvl="0">
      <w:lvlJc w:val="left"/>
      <w:lvlText w:val="(%1)"/>
      <w:numFmt w:val="lowerLetter"/>
      <w:start w:val="36"/>
    </w:lvl>
    <w:lvl w:ilvl="1">
      <w:lvlJc w:val="left"/>
      <w:lvlText w:val="%2"/>
      <w:numFmt w:val="lowerRoman"/>
      <w:start w:val="1"/>
    </w:lvl>
    <w:lvl w:ilvl="2">
      <w:lvlJc w:val="left"/>
      <w:lvlText w:val="%3"/>
      <w:numFmt w:val="upperLetter"/>
      <w:start w:val="1"/>
    </w:lvl>
  </w:abstractNum>
  <w:abstractNum w:abstractNumId="18">
    <w:nsid w:val="12E685FB"/>
    <w:multiLevelType w:val="hybridMultilevel"/>
    <w:lvl w:ilvl="0">
      <w:lvlJc w:val="left"/>
      <w:lvlText w:val="%1"/>
      <w:numFmt w:val="decimal"/>
      <w:start w:val="1"/>
    </w:lvl>
    <w:lvl w:ilvl="1">
      <w:lvlJc w:val="left"/>
      <w:lvlText w:val="(%2)"/>
      <w:numFmt w:val="lowerLetter"/>
      <w:start w:val="37"/>
    </w:lvl>
  </w:abstractNum>
  <w:abstractNum w:abstractNumId="19">
    <w:nsid w:val="70C6A529"/>
    <w:multiLevelType w:val="hybridMultilevel"/>
    <w:lvl w:ilvl="0">
      <w:lvlJc w:val="left"/>
      <w:lvlText w:val="(%1)"/>
      <w:numFmt w:val="decimal"/>
      <w:start w:val="1"/>
    </w:lvl>
    <w:lvl w:ilvl="1">
      <w:lvlJc w:val="left"/>
      <w:lvlText w:val="(%2)"/>
      <w:numFmt w:val="lowerLetter"/>
      <w:start w:val="38"/>
    </w:lvl>
  </w:abstractNum>
  <w:abstractNum w:abstractNumId="20">
    <w:nsid w:val="520EEDD1"/>
    <w:multiLevelType w:val="hybridMultilevel"/>
    <w:lvl w:ilvl="0">
      <w:lvlJc w:val="left"/>
      <w:lvlText w:val="%1"/>
      <w:numFmt w:val="lowerRoman"/>
      <w:start w:val="1"/>
    </w:lvl>
    <w:lvl w:ilvl="1">
      <w:lvlJc w:val="left"/>
      <w:lvlText w:val="(%2)"/>
      <w:numFmt w:val="lowerLetter"/>
      <w:start w:val="40"/>
    </w:lvl>
  </w:abstractNum>
  <w:abstractNum w:abstractNumId="21">
    <w:nsid w:val="374A3FE6"/>
    <w:multiLevelType w:val="hybridMultilevel"/>
    <w:lvl w:ilvl="0">
      <w:lvlJc w:val="left"/>
      <w:lvlText w:val="(%1)"/>
      <w:numFmt w:val="lowerRoman"/>
      <w:start w:val="2"/>
    </w:lvl>
    <w:lvl w:ilvl="1">
      <w:lvlJc w:val="left"/>
      <w:lvlText w:val="%2"/>
      <w:numFmt w:val="lowerLetter"/>
      <w:start w:val="1"/>
    </w:lvl>
  </w:abstractNum>
  <w:abstractNum w:abstractNumId="22">
    <w:nsid w:val="4F4EF005"/>
    <w:multiLevelType w:val="hybridMultilevel"/>
    <w:lvl w:ilvl="0">
      <w:lvlJc w:val="left"/>
      <w:lvlText w:val="(%1)"/>
      <w:numFmt w:val="lowerLetter"/>
      <w:start w:val="42"/>
    </w:lvl>
  </w:abstractNum>
  <w:abstractNum w:abstractNumId="23">
    <w:nsid w:val="23F9C13C"/>
    <w:multiLevelType w:val="hybridMultilevel"/>
    <w:lvl w:ilvl="0">
      <w:lvlJc w:val="left"/>
      <w:lvlText w:val="(%1)"/>
      <w:numFmt w:val="lowerLetter"/>
      <w:start w:val="44"/>
    </w:lvl>
  </w:abstractNum>
  <w:abstractNum w:abstractNumId="24">
    <w:nsid w:val="649BB77C"/>
    <w:multiLevelType w:val="hybridMultilevel"/>
    <w:lvl w:ilvl="0">
      <w:lvlJc w:val="left"/>
      <w:lvlText w:val="(%1)"/>
      <w:numFmt w:val="lowerLetter"/>
      <w:start w:val="49"/>
    </w:lvl>
    <w:lvl w:ilvl="1">
      <w:lvlJc w:val="left"/>
      <w:lvlText w:val="%2."/>
      <w:numFmt w:val="decimal"/>
      <w:start w:val="2"/>
    </w:lvl>
  </w:abstractNum>
  <w:abstractNum w:abstractNumId="25">
    <w:nsid w:val="275AC794"/>
    <w:multiLevelType w:val="hybridMultilevel"/>
    <w:lvl w:ilvl="0">
      <w:lvlJc w:val="left"/>
      <w:lvlText w:val="%1."/>
      <w:numFmt w:val="decimal"/>
      <w:start w:val="3"/>
    </w:lvl>
  </w:abstractNum>
  <w:abstractNum w:abstractNumId="26">
    <w:nsid w:val="39386575"/>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7">
    <w:nsid w:val="1CF10FD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8">
    <w:nsid w:val="180115BE"/>
    <w:multiLevelType w:val="hybridMultilevel"/>
    <w:lvl w:ilvl="0">
      <w:lvlJc w:val="left"/>
      <w:lvlText w:val="%1"/>
      <w:numFmt w:val="lowerLetter"/>
      <w:start w:val="1"/>
    </w:lvl>
    <w:lvl w:ilvl="1">
      <w:lvlJc w:val="left"/>
      <w:lvlText w:val="(%2)"/>
      <w:numFmt w:val="lowerRoman"/>
      <w:start w:val="2"/>
    </w:lvl>
  </w:abstractNum>
  <w:abstractNum w:abstractNumId="29">
    <w:nsid w:val="235BA861"/>
    <w:multiLevelType w:val="hybridMultilevel"/>
    <w:lvl w:ilvl="0">
      <w:lvlJc w:val="left"/>
      <w:lvlText w:val="(%1)"/>
      <w:numFmt w:val="lowerLetter"/>
      <w:start w:val="2"/>
    </w:lvl>
    <w:lvl w:ilvl="1">
      <w:lvlJc w:val="left"/>
      <w:lvlText w:val="%2"/>
      <w:numFmt w:val="lowerRoman"/>
      <w:start w:val="1"/>
    </w:lvl>
  </w:abstractNum>
  <w:abstractNum w:abstractNumId="30">
    <w:nsid w:val="47398C89"/>
    <w:multiLevelType w:val="hybridMultilevel"/>
    <w:lvl w:ilvl="0">
      <w:lvlJc w:val="left"/>
      <w:lvlText w:val="(%1)"/>
      <w:numFmt w:val="lowerLetter"/>
      <w:start w:val="3"/>
    </w:lvl>
  </w:abstractNum>
  <w:abstractNum w:abstractNumId="31">
    <w:nsid w:val="354FE9F9"/>
    <w:multiLevelType w:val="hybridMultilevel"/>
    <w:lvl w:ilvl="0">
      <w:lvlJc w:val="left"/>
      <w:lvlText w:val="(%1)"/>
      <w:numFmt w:val="lowerLetter"/>
      <w:start w:val="7"/>
    </w:lvl>
    <w:lvl w:ilvl="1">
      <w:lvlJc w:val="left"/>
      <w:lvlText w:val="(%2)"/>
      <w:numFmt w:val="lowerRoman"/>
      <w:start w:val="1"/>
    </w:lvl>
  </w:abstractNum>
  <w:abstractNum w:abstractNumId="32">
    <w:nsid w:val="15B5AF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3">
    <w:nsid w:val="741226BB"/>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4">
    <w:nsid w:val="D34B6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5">
    <w:nsid w:val="10233C99"/>
    <w:multiLevelType w:val="hybridMultilevel"/>
    <w:lvl w:ilvl="0">
      <w:lvlJc w:val="left"/>
      <w:lvlText w:val="(%1)"/>
      <w:numFmt w:val="lowerLetter"/>
      <w:start w:val="2"/>
    </w:lvl>
  </w:abstractNum>
  <w:abstractNum w:abstractNumId="36">
    <w:nsid w:val="3F6AB60F"/>
    <w:multiLevelType w:val="hybridMultilevel"/>
    <w:lvl w:ilvl="0">
      <w:lvlJc w:val="left"/>
      <w:lvlText w:val="%1"/>
      <w:numFmt w:val="lowerLetter"/>
      <w:start w:val="1"/>
    </w:lvl>
    <w:lvl w:ilvl="1">
      <w:lvlJc w:val="left"/>
      <w:lvlText w:val="(%2)"/>
      <w:numFmt w:val="lowerLetter"/>
      <w:start w:val="7"/>
    </w:lvl>
  </w:abstractNum>
  <w:abstractNum w:abstractNumId="37">
    <w:nsid w:val="61574095"/>
    <w:multiLevelType w:val="hybridMultilevel"/>
    <w:lvl w:ilvl="0">
      <w:lvlJc w:val="left"/>
      <w:lvlText w:val="(%1)"/>
      <w:numFmt w:val="lowerLetter"/>
      <w:start w:val="61"/>
    </w:lvl>
    <w:lvl w:ilvl="1">
      <w:lvlJc w:val="left"/>
      <w:lvlText w:val="%2"/>
      <w:numFmt w:val="lowerLetter"/>
      <w:start w:val="1"/>
    </w:lvl>
  </w:abstractNum>
  <w:abstractNum w:abstractNumId="38">
    <w:nsid w:val="7E0C57B1"/>
    <w:multiLevelType w:val="hybridMultilevel"/>
    <w:lvl w:ilvl="0">
      <w:lvlJc w:val="left"/>
      <w:lvlText w:val="(%1)"/>
      <w:numFmt w:val="lowerLetter"/>
      <w:start w:val="10"/>
    </w:lvl>
  </w:abstractNum>
  <w:abstractNum w:abstractNumId="39">
    <w:nsid w:val="77AE35EB"/>
    <w:multiLevelType w:val="hybridMultilevel"/>
    <w:lvl w:ilvl="0">
      <w:lvlJc w:val="left"/>
      <w:lvlText w:val="(%1)"/>
      <w:numFmt w:val="upperLetter"/>
      <w:start w:val="6"/>
    </w:lvl>
    <w:lvl w:ilvl="1">
      <w:lvlJc w:val="left"/>
      <w:lvlText w:val="%2."/>
      <w:numFmt w:val="decimal"/>
      <w:start w:val="7"/>
    </w:lvl>
  </w:abstractNum>
  <w:abstractNum w:abstractNumId="40">
    <w:nsid w:val="579BE4F1"/>
    <w:multiLevelType w:val="hybridMultilevel"/>
    <w:lvl w:ilvl="0">
      <w:lvlJc w:val="left"/>
      <w:lvlText w:val="%1"/>
      <w:numFmt w:val="lowerLetter"/>
      <w:start w:val="1"/>
    </w:lvl>
    <w:lvl w:ilvl="1">
      <w:lvlJc w:val="left"/>
      <w:lvlText w:val="%2."/>
      <w:numFmt w:val="decimal"/>
      <w:start w:val="8"/>
    </w:lvl>
  </w:abstractNum>
  <w:abstractNum w:abstractNumId="41">
    <w:nsid w:val="310C50B3"/>
    <w:multiLevelType w:val="hybridMultilevel"/>
    <w:lvl w:ilvl="0">
      <w:lvlJc w:val="left"/>
      <w:lvlText w:val="(%1)"/>
      <w:numFmt w:val="lowerLetter"/>
      <w:start w:val="2"/>
    </w:lvl>
    <w:lvl w:ilvl="1">
      <w:lvlJc w:val="left"/>
      <w:lvlText w:val="%2"/>
      <w:numFmt w:val="decimal"/>
      <w:start w:val="1"/>
    </w:lvl>
  </w:abstractNum>
  <w:abstractNum w:abstractNumId="42">
    <w:nsid w:val="5FF87E05"/>
    <w:multiLevelType w:val="hybridMultilevel"/>
    <w:lvl w:ilvl="0">
      <w:lvlJc w:val="left"/>
      <w:lvlText w:val="(%1)"/>
      <w:numFmt w:val="lowerLetter"/>
      <w:start w:val="4"/>
    </w:lvl>
  </w:abstractNum>
  <w:abstractNum w:abstractNumId="43">
    <w:nsid w:val="2F305DEF"/>
    <w:multiLevelType w:val="hybridMultilevel"/>
    <w:lvl w:ilvl="0">
      <w:lvlJc w:val="left"/>
      <w:lvlText w:val="(%1)"/>
      <w:numFmt w:val="lowerLetter"/>
      <w:start w:val="5"/>
    </w:lvl>
  </w:abstractNum>
  <w:abstractNum w:abstractNumId="44">
    <w:nsid w:val="25A70BF7"/>
    <w:multiLevelType w:val="hybridMultilevel"/>
    <w:lvl w:ilvl="0">
      <w:lvlJc w:val="left"/>
      <w:lvlText w:val="%1."/>
      <w:numFmt w:val="decimal"/>
      <w:start w:val="9"/>
    </w:lvl>
  </w:abstractNum>
  <w:abstractNum w:abstractNumId="45">
    <w:nsid w:val="1DBABF0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1"/>
    </w:lvl>
  </w:abstractNum>
  <w:abstractNum w:abstractNumId="46">
    <w:nsid w:val="4AD084E9"/>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47">
    <w:nsid w:val="1F48EAA1"/>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2"/>
    </w:lvl>
  </w:abstractNum>
  <w:abstractNum w:abstractNumId="48">
    <w:nsid w:val="1381823A"/>
    <w:multiLevelType w:val="hybridMultilevel"/>
    <w:lvl w:ilvl="0">
      <w:lvlJc w:val="left"/>
      <w:lvlText w:val="(%1)"/>
      <w:numFmt w:val="lowerLetter"/>
      <w:start w:val="2"/>
    </w:lvl>
  </w:abstractNum>
  <w:abstractNum w:abstractNumId="49">
    <w:nsid w:val="5DB70AE5"/>
    <w:multiLevelType w:val="hybridMultilevel"/>
    <w:lvl w:ilvl="0">
      <w:lvlJc w:val="left"/>
      <w:lvlText w:val="%1."/>
      <w:numFmt w:val="decimal"/>
      <w:start w:val="13"/>
    </w:lvl>
  </w:abstractNum>
  <w:abstractNum w:abstractNumId="50">
    <w:nsid w:val="100F8FCA"/>
    <w:multiLevelType w:val="hybridMultilevel"/>
    <w:lvl w:ilvl="0">
      <w:lvlJc w:val="left"/>
      <w:lvlText w:val="%1"/>
      <w:numFmt w:val="lowerLetter"/>
      <w:start w:val="1"/>
    </w:lvl>
    <w:lvl w:ilvl="1">
      <w:lvlJc w:val="left"/>
      <w:lvlText w:val="(%2)"/>
      <w:numFmt w:val="lowerLetter"/>
      <w:start w:val="1"/>
    </w:lvl>
  </w:abstractNum>
  <w:abstractNum w:abstractNumId="51">
    <w:nsid w:val="6590700B"/>
    <w:multiLevelType w:val="hybridMultilevel"/>
    <w:lvl w:ilvl="0">
      <w:lvlJc w:val="left"/>
      <w:lvlText w:val="(%1)"/>
      <w:numFmt w:val="lowerLetter"/>
      <w:start w:val="35"/>
    </w:lvl>
    <w:lvl w:ilvl="1">
      <w:lvlJc w:val="left"/>
      <w:lvlText w:val="%2"/>
      <w:numFmt w:val="lowerLetter"/>
      <w:start w:val="1"/>
    </w:lvl>
  </w:abstractNum>
  <w:abstractNum w:abstractNumId="52">
    <w:nsid w:val="15014ACB"/>
    <w:multiLevelType w:val="hybridMultilevel"/>
    <w:lvl w:ilvl="0">
      <w:lvlJc w:val="left"/>
      <w:lvlText w:val="(%1)"/>
      <w:numFmt w:val="lowerLetter"/>
      <w:start w:val="7"/>
    </w:lvl>
  </w:abstractNum>
  <w:abstractNum w:abstractNumId="53">
    <w:nsid w:val="5F5E7FD0"/>
    <w:multiLevelType w:val="hybridMultilevel"/>
    <w:lvl w:ilvl="0">
      <w:lvlJc w:val="left"/>
      <w:lvlText w:val="(%1)"/>
      <w:numFmt w:val="lowerLetter"/>
      <w:start w:val="11"/>
    </w:lvl>
  </w:abstractNum>
  <w:abstractNum w:abstractNumId="54">
    <w:nsid w:val="98A3148"/>
    <w:multiLevelType w:val="hybridMultilevel"/>
    <w:lvl w:ilvl="0">
      <w:lvlJc w:val="left"/>
      <w:lvlText w:val="(%1)"/>
      <w:numFmt w:val="lowerRoman"/>
      <w:start w:val="4"/>
    </w:lvl>
  </w:abstractNum>
  <w:abstractNum w:abstractNumId="55">
    <w:nsid w:val="799D0247"/>
    <w:multiLevelType w:val="hybridMultilevel"/>
    <w:lvl w:ilvl="0">
      <w:lvlJc w:val="left"/>
      <w:lvlText w:val="(%1)"/>
      <w:numFmt w:val="lowerLetter"/>
      <w:start w:val="1"/>
    </w:lvl>
  </w:abstractNum>
  <w:abstractNum w:abstractNumId="56">
    <w:nsid w:val="6B94764"/>
    <w:multiLevelType w:val="hybridMultilevel"/>
    <w:lvl w:ilvl="0">
      <w:lvlJc w:val="left"/>
      <w:lvlText w:val="(%1)"/>
      <w:numFmt w:val="lowerLetter"/>
      <w:start w:val="7"/>
    </w:lvl>
  </w:abstractNum>
  <w:abstractNum w:abstractNumId="57">
    <w:nsid w:val="42C296BD"/>
    <w:multiLevelType w:val="hybridMultilevel"/>
    <w:lvl w:ilvl="0">
      <w:lvlJc w:val="left"/>
      <w:lvlText w:val="(%1)"/>
      <w:numFmt w:val="lowerLetter"/>
      <w:start w:val="8"/>
    </w:lvl>
  </w:abstractNum>
  <w:abstractNum w:abstractNumId="58">
    <w:nsid w:val="168E121F"/>
    <w:multiLevelType w:val="hybridMultilevel"/>
    <w:lvl w:ilvl="0">
      <w:lvlJc w:val="left"/>
      <w:lvlText w:val="%1."/>
      <w:numFmt w:val="decimal"/>
      <w:start w:val="2"/>
    </w:lvl>
  </w:abstractNum>
  <w:abstractNum w:abstractNumId="59">
    <w:nsid w:val="1EBA5D23"/>
    <w:multiLevelType w:val="hybridMultilevel"/>
    <w:lvl w:ilvl="0">
      <w:lvlJc w:val="left"/>
      <w:lvlText w:val="(%1)"/>
      <w:numFmt w:val="lowerLetter"/>
      <w:start w:val="1"/>
    </w:lvl>
  </w:abstractNum>
  <w:abstractNum w:abstractNumId="60">
    <w:nsid w:val="661E3F1E"/>
    <w:multiLevelType w:val="hybridMultilevel"/>
    <w:lvl w:ilvl="0">
      <w:lvlJc w:val="left"/>
      <w:lvlText w:val="(%1)"/>
      <w:numFmt w:val="lowerLetter"/>
      <w:start w:val="2"/>
    </w:lvl>
  </w:abstractNum>
  <w:abstractNum w:abstractNumId="61">
    <w:nsid w:val="5DC79EA8"/>
    <w:multiLevelType w:val="hybridMultilevel"/>
    <w:lvl w:ilvl="0">
      <w:lvlJc w:val="left"/>
      <w:lvlText w:val="%1."/>
      <w:numFmt w:val="decimal"/>
      <w:start w:val="5"/>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decimal"/>
      <w:start w:val="6"/>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Letter"/>
      <w:start w:val="2"/>
    </w:lvl>
  </w:abstractNum>
  <w:abstractNum w:abstractNumId="66">
    <w:nsid w:val="BF72B14"/>
    <w:multiLevelType w:val="hybridMultilevel"/>
    <w:lvl w:ilvl="0">
      <w:lvlJc w:val="left"/>
      <w:lvlText w:val="(%1)"/>
      <w:numFmt w:val="lowerLetter"/>
      <w:start w:val="35"/>
    </w:lvl>
  </w:abstractNum>
  <w:abstractNum w:abstractNumId="67">
    <w:nsid w:val="11447B73"/>
    <w:multiLevelType w:val="hybridMultilevel"/>
    <w:lvl w:ilvl="0">
      <w:lvlJc w:val="left"/>
      <w:lvlText w:val="(%1)"/>
      <w:numFmt w:val="lowerLetter"/>
      <w:start w:val="5"/>
    </w:lvl>
  </w:abstractNum>
  <w:abstractNum w:abstractNumId="68">
    <w:nsid w:val="42963E5A"/>
    <w:multiLevelType w:val="hybridMultilevel"/>
    <w:lvl w:ilvl="0">
      <w:lvlJc w:val="left"/>
      <w:lvlText w:val="%1."/>
      <w:numFmt w:val="decimal"/>
      <w:start w:val="10"/>
    </w:lvl>
  </w:abstractNum>
  <w:abstractNum w:abstractNumId="69">
    <w:nsid w:val="A0382C5"/>
    <w:multiLevelType w:val="hybridMultilevel"/>
    <w:lvl w:ilvl="0">
      <w:lvlJc w:val="left"/>
      <w:lvlText w:val="%1."/>
      <w:numFmt w:val="decimal"/>
      <w:start w:val="11"/>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Letter"/>
      <w:start w:val="2"/>
    </w:lvl>
  </w:abstractNum>
  <w:abstractNum w:abstractNumId="72">
    <w:nsid w:val="3B0FD379"/>
    <w:multiLevelType w:val="hybridMultilevel"/>
    <w:lvl w:ilvl="0">
      <w:lvlJc w:val="left"/>
      <w:lvlText w:val="(%1)"/>
      <w:numFmt w:val="lowerLetter"/>
      <w:start w:val="3"/>
    </w:lvl>
  </w:abstractNum>
  <w:abstractNum w:abstractNumId="73">
    <w:nsid w:val="68EB2F63"/>
    <w:multiLevelType w:val="hybridMultilevel"/>
    <w:lvl w:ilvl="0">
      <w:lvlJc w:val="left"/>
      <w:lvlText w:val="%1."/>
      <w:numFmt w:val="decimal"/>
      <w:start w:val="12"/>
    </w:lvl>
  </w:abstractNum>
  <w:abstractNum w:abstractNumId="74">
    <w:nsid w:val="4962813B"/>
    <w:multiLevelType w:val="hybridMultilevel"/>
    <w:lvl w:ilvl="0">
      <w:lvlJc w:val="left"/>
      <w:lvlText w:val="(%1)"/>
      <w:numFmt w:val="lowerRoman"/>
      <w:start w:val="1"/>
    </w:lvl>
  </w:abstractNum>
  <w:abstractNum w:abstractNumId="75">
    <w:nsid w:val="60B6DF70"/>
    <w:multiLevelType w:val="hybridMultilevel"/>
    <w:lvl w:ilvl="0">
      <w:lvlJc w:val="left"/>
      <w:lvlText w:val="%1."/>
      <w:numFmt w:val="decimal"/>
      <w:start w:val="14"/>
    </w:lvl>
  </w:abstractNum>
  <w:abstractNum w:abstractNumId="76">
    <w:nsid w:val="6A5EE64"/>
    <w:multiLevelType w:val="hybridMultilevel"/>
    <w:lvl w:ilvl="0">
      <w:lvlJc w:val="left"/>
      <w:lvlText w:val="%1."/>
      <w:numFmt w:val="decimal"/>
      <w:start w:val="15"/>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Roman"/>
      <w:start w:val="1"/>
    </w:lvl>
  </w:abstractNum>
  <w:abstractNum w:abstractNumId="79">
    <w:nsid w:val="1A27709E"/>
    <w:multiLevelType w:val="hybridMultilevel"/>
    <w:lvl w:ilvl="0">
      <w:lvlJc w:val="left"/>
      <w:lvlText w:val="(%1)"/>
      <w:numFmt w:val="lowerLetter"/>
      <w:start w:val="3"/>
    </w:lvl>
  </w:abstractNum>
  <w:abstractNum w:abstractNumId="80">
    <w:nsid w:val="71EA1109"/>
    <w:multiLevelType w:val="hybridMultilevel"/>
    <w:lvl w:ilvl="0">
      <w:lvlJc w:val="left"/>
      <w:lvlText w:val="(%1)"/>
      <w:numFmt w:val="lowerLetter"/>
      <w:start w:val="8"/>
    </w:lvl>
  </w:abstractNum>
  <w:abstractNum w:abstractNumId="81">
    <w:nsid w:val="100F59DC"/>
    <w:multiLevelType w:val="hybridMultilevel"/>
    <w:lvl w:ilvl="0">
      <w:lvlJc w:val="left"/>
      <w:lvlText w:val="(%1)"/>
      <w:numFmt w:val="decimal"/>
      <w:start w:val="1"/>
    </w:lvl>
  </w:abstractNum>
  <w:abstractNum w:abstractNumId="82">
    <w:nsid w:val="7FB7E0AA"/>
    <w:multiLevelType w:val="hybridMultilevel"/>
    <w:lvl w:ilvl="0">
      <w:lvlJc w:val="left"/>
      <w:lvlText w:val="☐"/>
      <w:numFmt w:val="bullet"/>
      <w:start w:val="1"/>
    </w:lvl>
  </w:abstractNum>
  <w:abstractNum w:abstractNumId="83">
    <w:nsid w:val="6EB5BD4"/>
    <w:multiLevelType w:val="hybridMultilevel"/>
    <w:lvl w:ilvl="0">
      <w:lvlJc w:val="left"/>
      <w:lvlText w:val="(%1)"/>
      <w:numFmt w:val="decimal"/>
      <w:start w:val="4"/>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2025-01-24T15:24:01Z</dcterms:created>
  <dcterms:modified xsi:type="dcterms:W3CDTF">2025-01-24T15:24:01Z</dcterms:modified>
</cp:coreProperties>
</file>