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764"/>
        <w:spacing w:after="0"/>
        <w:rPr>
          <w:sz w:val="20"/>
          <w:szCs w:val="20"/>
          <w:color w:val="auto"/>
        </w:rPr>
      </w:pPr>
      <w:r>
        <w:rPr>
          <w:rFonts w:ascii="Times New Roman" w:cs="Times New Roman" w:eastAsia="Times New Roman" w:hAnsi="Times New Roman"/>
          <w:sz w:val="17"/>
          <w:szCs w:val="17"/>
          <w:b w:val="1"/>
          <w:bCs w:val="1"/>
          <w:color w:val="auto"/>
        </w:rPr>
        <w:t>321 Arsenal Street, Suite 101, Watertown, MA 02472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02472</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 xml:space="preserve">On November 15, 2024, Disc Medicine, Inc. (the “Company”) entered into a Controlled Equity Offering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(the “Agreement”) with Cantor Fitzgerald &amp; Co. (“Cantor”), pursuant to which the Company may, from time to time in its sole discretion, issue and sell to or through Cantor, acting as sales agent, shares of the Company’s common stock, par value $0.0001 per share (“common stock”). The issuance and sale, if any, of shares of common stock having an aggregate offering price of up to $200.0 million by the Company under the Agreement (the “Placement Shares”) will only be made pursuant to the Company’s effective registration statement on Form S-3 (No. 333-281359) and a prospectus supplement related thereto.</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the Agreement, Cantor may sell the Placement Shares by any method permitted by law deemed to be an “at the market” offering as defined in Rule 415 of the Securities Act of 1933, as amended (the “Securities Act”). Cantor will use commercially reasonable efforts consistent with its normal trading and sales practices to sell the Placement Shares from time to time, based upon instructions from the Company (including any price or size limits the Company may impose). The Company and Cantor may also agree to sell Placement Shares to Cantor as principal at a price agreed upon by the parties at each relevant time Placement Shares are sold pursuant to the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pay Cantor a commission of up to 3.0% of the gross proceeds of any Placement Shares sold pursuant to the Agreement.</w:t>
      </w:r>
    </w:p>
    <w:p>
      <w:pPr>
        <w:spacing w:after="0" w:line="22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 is not obligated to make any sales of Placement Shares under the Agreement. The offering of Placement Shares pursuant to the Agreement will terminate upon the termination of the Agreement in accordance with its terms.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Agreement contains representations, warranties and covenants that are customary for transactions of this type. In addition, the Company has agreed to indemnify Cantor against certain liabilities, including liabilities under the Securities Act or the Securities Exchange Act of 1934, as amended.</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Agreement is not complete and is qualified in its entirety by reference to the full text of the Agreement, a copy of which is filed herewith as Exhibit 1.1 to this Current Report on Form 8-K and is incorporated herein by reference. A copy of the opinion of Goodwin Procter LLP relating to the validity of the Placement Shares in the offering is attached as Exhibit 5.1 hereto.</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the securities discussed herein, nor shall there be any offer, solicitation or sale of the securities in any jurisdiction in which such offer, solicitation or sale would be unlawful prior to registration or qualification under the securities laws of any such jurisdiction.</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November 15, 2024, the Company delivered written notice to Jefferies LLC (“Jefferies”) that it was terminating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(the “Prior Sales Agreement”) dated October 10, 2023, by and between the Company and Jefferies, as amended by Amendment No. 1 to the Prior Sales Agreement dated December 5, 2023 and that no further offers or sales of shares of common stock would be made pursuant to the prospectus supplement filed with the Securities and Exchange Commission on December 5, 2023 under the Company’s shelf Registration Statement on Form S-3 (File No. 333-275652), which became effective on November 29, 2023. The termination of the Prior Sales Agreement and offering of common stock pursuant thereto became effective on November 15, 2024.</w:t>
      </w:r>
    </w:p>
    <w:p>
      <w:pPr>
        <w:spacing w:after="0" w:line="20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Prior to termination, the Company had sold an aggregate of 376,363 shares of common stock under the Prior Sales Agreement for aggregate gross proceeds of $22.5 million. The Company is not subject to any termination penalties related to the termination of the Prior Sales Agreement. A copy of the Prior Sales Agreement was filed as Exhibit 1.1 to the Company’s Current Report on Form 8-K filed with the SEC on October 10, 2023, and a copy of Amendment No. 1 to the Prior Sales Agreement was filed as Exhibit 1.1. to the Company’s Current Report on Form 8-K filed on December 5, 2023, each of which are incorporated herein by reference.</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6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w w:val="86"/>
              </w:rPr>
              <w:t>   No. </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1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1.1</w:t>
            </w:r>
          </w:p>
        </w:tc>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8"/>
              </w:rPr>
              <w:t>Controlled Equity Offering</w:t>
            </w:r>
          </w:p>
        </w:tc>
        <w:tc>
          <w:tcPr>
            <w:tcW w:w="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rPr>
              <w:t>SM</w:t>
            </w:r>
          </w:p>
        </w:tc>
        <w:tc>
          <w:tcPr>
            <w:tcW w:w="75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w w:val="99"/>
              </w:rPr>
              <w:t>Sales Agreement dated November 15, 2024 by and between Disc Medicine, Inc. and Cantor Fitzgerald &amp;</w:t>
            </w:r>
          </w:p>
        </w:tc>
        <w:tc>
          <w:tcPr>
            <w:tcW w:w="0" w:type="dxa"/>
            <w:vAlign w:val="bottom"/>
          </w:tcPr>
          <w:p>
            <w:pPr>
              <w:spacing w:after="0"/>
              <w:rPr>
                <w:sz w:val="1"/>
                <w:szCs w:val="1"/>
                <w:color w:val="auto"/>
              </w:rPr>
            </w:pPr>
          </w:p>
        </w:tc>
      </w:tr>
      <w:tr>
        <w:trPr>
          <w:trHeight w:val="26"/>
        </w:trPr>
        <w:tc>
          <w:tcPr>
            <w:tcW w:w="1040" w:type="dxa"/>
            <w:vAlign w:val="bottom"/>
            <w:gridSpan w:val="2"/>
            <w:vMerge w:val="continue"/>
          </w:tcPr>
          <w:p>
            <w:pPr>
              <w:spacing w:after="0" w:line="20" w:lineRule="exact"/>
              <w:rPr>
                <w:sz w:val="1"/>
                <w:szCs w:val="1"/>
                <w:color w:val="auto"/>
              </w:rPr>
            </w:pPr>
          </w:p>
        </w:tc>
        <w:tc>
          <w:tcPr>
            <w:tcW w:w="1960" w:type="dxa"/>
            <w:vAlign w:val="bottom"/>
            <w:tcBorders>
              <w:bottom w:val="single" w:sz="8" w:color="0000EE"/>
            </w:tcBorders>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580" w:type="dxa"/>
            <w:vAlign w:val="bottom"/>
            <w:tcBorders>
              <w:bottom w:val="single" w:sz="8" w:color="0000EE"/>
            </w:tcBorders>
            <w:gridSpan w:val="5"/>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Co.</w:t>
            </w:r>
          </w:p>
        </w:tc>
        <w:tc>
          <w:tcPr>
            <w:tcW w:w="95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Opinion of Goodwin Procter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4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Goodwin Procter LLP (contained in Exhibit 5.1)</w:t>
            </w:r>
          </w:p>
        </w:tc>
        <w:tc>
          <w:tcPr>
            <w:tcW w:w="54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800"/>
          </w:cols>
          <w:pgMar w:left="440" w:top="293" w:right="6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November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John Quisel, J.D.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940"/>
          </w:cols>
          <w:pgMar w:left="440" w:top="293" w:right="5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Shares of Common Stock</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(par value $0.0001 per share)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Controlled Equity Offering</w:t>
      </w:r>
      <w:r>
        <w:rPr>
          <w:rFonts w:ascii="Times New Roman" w:cs="Times New Roman" w:eastAsia="Times New Roman" w:hAnsi="Times New Roman"/>
          <w:sz w:val="26"/>
          <w:szCs w:val="26"/>
          <w:b w:val="1"/>
          <w:bCs w:val="1"/>
          <w:color w:val="auto"/>
          <w:vertAlign w:val="superscript"/>
        </w:rPr>
        <w:t>SM</w:t>
      </w:r>
    </w:p>
    <w:p>
      <w:pPr>
        <w:spacing w:after="0" w:line="4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05" w:lineRule="exact"/>
        <w:rPr>
          <w:sz w:val="20"/>
          <w:szCs w:val="20"/>
          <w:color w:val="auto"/>
        </w:rPr>
      </w:pPr>
    </w:p>
    <w:p>
      <w:pPr>
        <w:ind w:left="9584"/>
        <w:spacing w:after="0"/>
        <w:rPr>
          <w:sz w:val="20"/>
          <w:szCs w:val="20"/>
          <w:color w:val="auto"/>
        </w:rPr>
      </w:pPr>
      <w:r>
        <w:rPr>
          <w:rFonts w:ascii="Times New Roman" w:cs="Times New Roman" w:eastAsia="Times New Roman" w:hAnsi="Times New Roman"/>
          <w:sz w:val="18"/>
          <w:szCs w:val="18"/>
          <w:color w:val="auto"/>
        </w:rPr>
        <w:t>November 15, 2024</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499 Park Avenue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Disc Medicine,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Cantor Fitzgerald &amp; Co.</w:t>
      </w:r>
    </w:p>
    <w:p>
      <w:pPr>
        <w:spacing w:after="0" w:line="3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as follows:</w:t>
      </w:r>
    </w:p>
    <w:p>
      <w:pPr>
        <w:spacing w:after="0" w:line="112" w:lineRule="exact"/>
        <w:rPr>
          <w:sz w:val="20"/>
          <w:szCs w:val="20"/>
          <w:color w:val="auto"/>
        </w:rPr>
      </w:pPr>
    </w:p>
    <w:p>
      <w:pPr>
        <w:ind w:left="424" w:right="40" w:hanging="424"/>
        <w:spacing w:after="0" w:line="25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to or through the Agent, as sales agent or principal, shares of common stock (the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of the Company, par value $0.0001 per share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the Company issue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 through the Agent such number or dollar amount of Placement Shares that would (a) exceed the number or dollar amount of shares of Common Stock registered on the effective Registration Statement (defined below) pursuant to which the offering is being made, (b) exceed the number of authorized but unissued shares of Common Stock (less shares of Common Stock issuable upon exercise, conversion or exchange of any outstanding securities of the Company or otherwise reserved from the Company’s authorized capital stock), (c) exceed the number or dollar amount of shares of Common Stock permitted to be sold under Form S-3 (including General Instruction I.B.6 thereof, if applicable) or (d) exceed the number or dollar amount of shares of Common Stock for which the Company has filed a Prospectus Supplement (defined below) (the lesser of (a), (b), (c) and (d), the “</w:t>
      </w:r>
      <w:r>
        <w:rPr>
          <w:rFonts w:ascii="Times New Roman" w:cs="Times New Roman" w:eastAsia="Times New Roman" w:hAnsi="Times New Roman"/>
          <w:sz w:val="18"/>
          <w:szCs w:val="18"/>
          <w:b w:val="1"/>
          <w:bCs w:val="1"/>
          <w:u w:val="single" w:color="auto"/>
          <w:color w:val="auto"/>
        </w:rPr>
        <w:t>Maximum Amount</w:t>
      </w:r>
      <w:r>
        <w:rPr>
          <w:rFonts w:ascii="Times New Roman" w:cs="Times New Roman" w:eastAsia="Times New Roman" w:hAnsi="Times New Roman"/>
          <w:sz w:val="18"/>
          <w:szCs w:val="18"/>
          <w:color w:val="auto"/>
        </w:rPr>
        <w:t xml:space="preserve">”). Notwithstanding anything to the contrary contained herein, the parties hereto agree that compliance with the limitations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on the amount of Placement Shares issued and sold under this Agreement shall be the sole responsibility of the Company and that the Agent shall have no obligation in connection with such compliance. The offer and sale of Placement Shares through the Agent will be effected pursuant to the Registration Statement (as defined below) filed by the Company, which became effective upon filing with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although nothing in this Agreement shall be construed as requiring the Company to use the Registration Statement to issue Common Stock.</w:t>
      </w:r>
    </w:p>
    <w:p>
      <w:pPr>
        <w:spacing w:after="0" w:line="84" w:lineRule="exact"/>
        <w:rPr>
          <w:sz w:val="20"/>
          <w:szCs w:val="20"/>
          <w:color w:val="auto"/>
        </w:rPr>
      </w:pPr>
    </w:p>
    <w:p>
      <w:pPr>
        <w:ind w:left="444" w:right="260" w:firstLine="423"/>
        <w:spacing w:after="0" w:line="262" w:lineRule="auto"/>
        <w:rPr>
          <w:sz w:val="20"/>
          <w:szCs w:val="20"/>
          <w:color w:val="auto"/>
        </w:rPr>
      </w:pPr>
      <w:r>
        <w:rPr>
          <w:rFonts w:ascii="Times New Roman" w:cs="Times New Roman" w:eastAsia="Times New Roman" w:hAnsi="Times New Roman"/>
          <w:sz w:val="18"/>
          <w:szCs w:val="18"/>
          <w:color w:val="auto"/>
        </w:rPr>
        <w:t>The Company has filed, in accordance with the provisions of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and the rules and regulations thereunder (the “</w:t>
      </w:r>
      <w:r>
        <w:rPr>
          <w:rFonts w:ascii="Times New Roman" w:cs="Times New Roman" w:eastAsia="Times New Roman" w:hAnsi="Times New Roman"/>
          <w:sz w:val="18"/>
          <w:szCs w:val="18"/>
          <w:b w:val="1"/>
          <w:bCs w:val="1"/>
          <w:u w:val="single" w:color="auto"/>
          <w:color w:val="auto"/>
        </w:rPr>
        <w:t>Securities Act Regulations</w:t>
      </w:r>
      <w:r>
        <w:rPr>
          <w:rFonts w:ascii="Times New Roman" w:cs="Times New Roman" w:eastAsia="Times New Roman" w:hAnsi="Times New Roman"/>
          <w:sz w:val="18"/>
          <w:szCs w:val="18"/>
          <w:color w:val="auto"/>
        </w:rPr>
        <w:t>”), with the Commission an “automatic shelf registration statement”, as defined in Rule 405 under the Securities Act Regulations, on Form S-3 (File No. 333-281359), including a base prospectus, relating to certain securities, including the Placement Shares to be issued from</w:t>
      </w:r>
    </w:p>
    <w:p>
      <w:pPr>
        <w:sectPr>
          <w:pgSz w:w="11900" w:h="16838" w:orient="portrait"/>
          <w:cols w:equalWidth="0" w:num="1">
            <w:col w:w="11024"/>
          </w:cols>
          <w:pgMar w:left="436" w:top="117" w:right="439" w:bottom="1440" w:gutter="0" w:footer="0" w:header="0"/>
        </w:sectPr>
      </w:pPr>
    </w:p>
    <w:bookmarkStart w:id="5" w:name="page6"/>
    <w:bookmarkEnd w:id="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to time by the Company, and which incorporates by reference documents that the Company has filed or will file in accordance with the</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provisions of the Securities Exchange Act of 1934, as amended (the “</w:t>
      </w:r>
      <w:r>
        <w:rPr>
          <w:rFonts w:ascii="Times New Roman" w:cs="Times New Roman" w:eastAsia="Times New Roman" w:hAnsi="Times New Roman"/>
          <w:sz w:val="17"/>
          <w:szCs w:val="17"/>
          <w:b w:val="1"/>
          <w:bCs w:val="1"/>
          <w:u w:val="single" w:color="auto"/>
          <w:color w:val="auto"/>
        </w:rPr>
        <w:t>Exchange Act</w:t>
      </w:r>
      <w:r>
        <w:rPr>
          <w:rFonts w:ascii="Times New Roman" w:cs="Times New Roman" w:eastAsia="Times New Roman" w:hAnsi="Times New Roman"/>
          <w:sz w:val="17"/>
          <w:szCs w:val="17"/>
          <w:color w:val="auto"/>
        </w:rPr>
        <w:t>”), and the rules and regulations thereunder. The Company has</w:t>
      </w:r>
    </w:p>
    <w:p>
      <w:pPr>
        <w:spacing w:after="0" w:line="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prepared a prospectus or a prospectus supplement to the base prospectus included as part of the registration statement, which prospectus or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prospectus supplement relates to the Placement Shares to be issued from time to time by the Company (the “</w:t>
      </w:r>
      <w:r>
        <w:rPr>
          <w:rFonts w:ascii="Times New Roman" w:cs="Times New Roman" w:eastAsia="Times New Roman" w:hAnsi="Times New Roman"/>
          <w:sz w:val="18"/>
          <w:szCs w:val="18"/>
          <w:b w:val="1"/>
          <w:bCs w:val="1"/>
          <w:u w:val="single" w:color="auto"/>
          <w:color w:val="auto"/>
        </w:rPr>
        <w:t>Prospectus Supplement</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Company will furnish to the Agent, for use by the Agent, copies of the prospectus included as part of such registration statement, as supplemented</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by the Prospectus Supplement, relating to the Placement Shares to be issued from time to time by the Company. Except where the context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otherwise requires, such registration statement(s), including all documents filed as part thereof or incorporated by reference therein, and including</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any information contained in a Prospectus (as defined below) subsequently filed with the Commission pursuant to Rule 424(b) under the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Securities Act Regulations or deemed to be a part of such registration statement pursuant to Rule 430B of the Securities Act Regulations, and any</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one or more additional effective registration statements on Form S-3 from time to time that will contain a base prospectus and related prospectus</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or prospectus supplement, if applicable (which shall be a Prospectus Supplement), with respect to the Placement Shares, is herein called the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The base prospectus or base prospectuses, including all documents incorporated therein by reference, included in the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Registration Statement, as it may be supplemented, if necessary, by the Prospectus Supplement, in the form in which such prospectus or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prospectuses and/or Prospectus Supplement have most recently been filed by the Company with the Commission pursuant to Rule 424(b) under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Securities Act Regulations, together with the then issued Issuer Free Writing Prospectus(es) (as defined below), is herein called the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444" w:firstLine="423"/>
        <w:spacing w:after="0" w:line="253" w:lineRule="auto"/>
        <w:rPr>
          <w:sz w:val="20"/>
          <w:szCs w:val="20"/>
          <w:color w:val="auto"/>
        </w:rPr>
      </w:pPr>
      <w:r>
        <w:rPr>
          <w:rFonts w:ascii="Times New Roman" w:cs="Times New Roman" w:eastAsia="Times New Roman" w:hAnsi="Times New Roman"/>
          <w:sz w:val="18"/>
          <w:szCs w:val="18"/>
          <w:color w:val="auto"/>
        </w:rPr>
        <w:t>Any reference herein to the Registration Statement, any Prospectus Supplement, the Prospectus or any Issuer Free Writing Prospectus shall be deemed to refer to and include the documents, if any, incorporated by reference therein (the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 The Company’s obligations under this Agreement to furnish, provide, deliver or make available (and all other references of like import) copies of any filing, report or statement shall be deemed satisfied if the same is filed with the Commission through EDGAR or any successor system.</w:t>
      </w:r>
    </w:p>
    <w:p>
      <w:pPr>
        <w:spacing w:after="0" w:line="91" w:lineRule="exact"/>
        <w:rPr>
          <w:sz w:val="20"/>
          <w:szCs w:val="20"/>
          <w:color w:val="auto"/>
        </w:rPr>
      </w:pPr>
    </w:p>
    <w:p>
      <w:pPr>
        <w:ind w:left="424" w:right="120" w:hanging="424"/>
        <w:spacing w:after="0" w:line="26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Placement Shares hereunder (each, a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it will notify the Agent by email notice (or other method mutually agreed to by the parties) of the number of Placement Shares to be issued, the time period during which sales are requested to be made, any limitation on the number of Placement Shares that may be sold in any one day and any minimum price below which sales may not be made (a “</w:t>
      </w:r>
      <w:r>
        <w:rPr>
          <w:rFonts w:ascii="Times New Roman" w:cs="Times New Roman" w:eastAsia="Times New Roman" w:hAnsi="Times New Roman"/>
          <w:sz w:val="18"/>
          <w:szCs w:val="18"/>
          <w:b w:val="1"/>
          <w:bCs w:val="1"/>
          <w:u w:val="single" w:color="auto"/>
          <w:color w:val="auto"/>
        </w:rPr>
        <w:t>Placement</w:t>
      </w:r>
    </w:p>
    <w:p>
      <w:pPr>
        <w:sectPr>
          <w:pgSz w:w="11900" w:h="16838" w:orient="portrait"/>
          <w:cols w:equalWidth="0" w:num="1">
            <w:col w:w="11004"/>
          </w:cols>
          <w:pgMar w:left="436" w:top="270" w:right="459" w:bottom="1440" w:gutter="0" w:footer="0" w:header="0"/>
        </w:sectPr>
      </w:pPr>
    </w:p>
    <w:bookmarkStart w:id="6" w:name="page7"/>
    <w:bookmarkEnd w:id="6"/>
    <w:p>
      <w:pPr>
        <w:ind w:left="424"/>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w:t>
      </w:r>
      <w:r>
        <w:rPr>
          <w:rFonts w:ascii="Times New Roman" w:cs="Times New Roman" w:eastAsia="Times New Roman" w:hAnsi="Times New Roman"/>
          <w:sz w:val="18"/>
          <w:szCs w:val="18"/>
          <w:color w:val="auto"/>
        </w:rPr>
        <w:t>”), the form of which is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The Placement Notice shall originate from any of the individuals from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Agent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may be amended from time to time. The Placement Notice shall be effective unless and until (i) the Agent declines to accept the terms contained therein for any reason, in its sole discretion, (ii) the entire amount of the Placement Shares thereunder have been sold, (iii) the Company suspends or terminates the Placement Notice, (iv) the Company issues a subsequent Placement Notice with parameter superseding those on the earlier dated Placement Notice, or (v) this Agreement has been terminated under the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The amount of any discount, commission or other compensation to be paid by the Company to the Agent in connection with the sale of the Placement Shares shall be calculated in accordance with the terms set forth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99" w:lineRule="exact"/>
        <w:rPr>
          <w:sz w:val="20"/>
          <w:szCs w:val="20"/>
          <w:color w:val="auto"/>
        </w:rPr>
      </w:pPr>
    </w:p>
    <w:p>
      <w:pPr>
        <w:ind w:left="424" w:hanging="424"/>
        <w:spacing w:after="0" w:line="253"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Agent</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the Agent, for the period specified in the Placement Notice, will use its commercially reasonable efforts consistent with its normal trading and sales practices and applicable state and federal laws, rules and regulations and the rules of the Nasdaq Global Market (the “</w:t>
      </w:r>
      <w:r>
        <w:rPr>
          <w:rFonts w:ascii="Times New Roman" w:cs="Times New Roman" w:eastAsia="Times New Roman" w:hAnsi="Times New Roman"/>
          <w:sz w:val="18"/>
          <w:szCs w:val="18"/>
          <w:b w:val="1"/>
          <w:bCs w:val="1"/>
          <w:u w:val="single" w:color="auto"/>
          <w:color w:val="auto"/>
        </w:rPr>
        <w:t>Exchange</w:t>
      </w:r>
      <w:r>
        <w:rPr>
          <w:rFonts w:ascii="Times New Roman" w:cs="Times New Roman" w:eastAsia="Times New Roman" w:hAnsi="Times New Roman"/>
          <w:sz w:val="18"/>
          <w:szCs w:val="18"/>
          <w:color w:val="auto"/>
        </w:rPr>
        <w:t xml:space="preserve">”), to sell the Placement Shares up to the amount specified in, and otherwise in accordance with the terms of, such Placement Notice. The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Agent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such sales, and the Net Proceeds (as defined below) payable to the Company, with an itemization of the deductions made by the Agent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from the gross proceeds that it receives from such sales. Subject to the terms of the Placement Notice, the Agent may sell Placement Shares by any method permitted by law deemed to be an “at the market offering” as defined in Rule 415(a)(4) of the Securities Act Regulations.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Common Stock is traded on the Exchange.</w:t>
      </w:r>
    </w:p>
    <w:p>
      <w:pPr>
        <w:spacing w:after="0" w:line="99"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The Company or the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suspend any sale of Placement Shares (a “</w:t>
      </w:r>
      <w:r>
        <w:rPr>
          <w:rFonts w:ascii="Times New Roman" w:cs="Times New Roman" w:eastAsia="Times New Roman" w:hAnsi="Times New Roman"/>
          <w:sz w:val="18"/>
          <w:szCs w:val="18"/>
          <w:b w:val="1"/>
          <w:bCs w:val="1"/>
          <w:u w:val="single" w:color="auto"/>
          <w:color w:val="auto"/>
        </w:rPr>
        <w:t>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Suspension shall not affect or impair any party’s obligations with respect to any Placement Shares sold hereunder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prior to the receipt of such notice. While a Suspension is in effect any obligation under </w:t>
      </w:r>
      <w:r>
        <w:rPr>
          <w:rFonts w:ascii="Times New Roman" w:cs="Times New Roman" w:eastAsia="Times New Roman" w:hAnsi="Times New Roman"/>
          <w:sz w:val="18"/>
          <w:szCs w:val="18"/>
          <w:u w:val="single" w:color="auto"/>
          <w:color w:val="auto"/>
        </w:rPr>
        <w:t>Sections 7(l)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7(n)</w:t>
      </w:r>
      <w:r>
        <w:rPr>
          <w:rFonts w:ascii="Times New Roman" w:cs="Times New Roman" w:eastAsia="Times New Roman" w:hAnsi="Times New Roman"/>
          <w:sz w:val="18"/>
          <w:szCs w:val="18"/>
          <w:color w:val="auto"/>
        </w:rPr>
        <w:t xml:space="preserve"> with respect to the delivery of certificates, opinions, or comfort letters to the Agent, shall be waived.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effective against any other party unless it is made to one of the individuals named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as such Schedule may be amended from time to time.</w:t>
      </w:r>
    </w:p>
    <w:p>
      <w:pPr>
        <w:sectPr>
          <w:pgSz w:w="11900" w:h="16838" w:orient="portrait"/>
          <w:cols w:equalWidth="0" w:num="1">
            <w:col w:w="10984"/>
          </w:cols>
          <w:pgMar w:left="436" w:top="266" w:right="479" w:bottom="1440" w:gutter="0" w:footer="0" w:header="0"/>
        </w:sectPr>
      </w:pPr>
    </w:p>
    <w:bookmarkStart w:id="7" w:name="page8"/>
    <w:bookmarkEnd w:id="7"/>
    <w:p>
      <w:pPr>
        <w:ind w:left="424"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other provision of this Agreement, during any period in which the Company is in possession of material non-public information, the Company and the Agent agree that (i) no sale of Placement Shares will take place, (ii) the Company shall not request the sale of any Placement Shares, and (iii) the Agent shall not be obligated to sell or offer to sell any Placement Shares.</w:t>
      </w:r>
    </w:p>
    <w:p>
      <w:pPr>
        <w:spacing w:after="0" w:line="81"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and Delivery to the Agent; Settlement.</w:t>
      </w:r>
    </w:p>
    <w:p>
      <w:pPr>
        <w:spacing w:after="0" w:line="129" w:lineRule="exact"/>
        <w:rPr>
          <w:sz w:val="20"/>
          <w:szCs w:val="20"/>
          <w:color w:val="auto"/>
        </w:rPr>
      </w:pPr>
    </w:p>
    <w:p>
      <w:pPr>
        <w:ind w:left="424" w:right="20" w:hanging="424"/>
        <w:spacing w:after="0" w:line="254"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On the basis of the representations and warranties herein contained and subject to the terms and conditions herein set forth, upon the Agent’s acceptance of the terms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to sell such Placement Shares up to the amount specified, and otherwise in accordance with the terms of such Placement Notice.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law and regulations to sell such Placement Shares as required under this Agreement and (iii) the Agent shall be under no obligation to purchase Placement Shares on a principal basis pursuant to this Agreement, except as otherwise agreed by the Agent and the Company.</w:t>
      </w:r>
    </w:p>
    <w:p>
      <w:pPr>
        <w:spacing w:after="0" w:line="90" w:lineRule="exact"/>
        <w:rPr>
          <w:rFonts w:ascii="Times New Roman" w:cs="Times New Roman" w:eastAsia="Times New Roman" w:hAnsi="Times New Roman"/>
          <w:sz w:val="18"/>
          <w:szCs w:val="18"/>
          <w:color w:val="auto"/>
        </w:rPr>
      </w:pPr>
    </w:p>
    <w:p>
      <w:pPr>
        <w:ind w:left="424" w:hanging="424"/>
        <w:spacing w:after="0" w:line="238"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Unless otherwise specified in the applicable Placement Notice, settlement for sales of Placement Shares will occur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Trading Day (or such earlier day as is industry practice for regular-way trading) following the date on which such sales are made (each, a “</w:t>
      </w:r>
      <w:r>
        <w:rPr>
          <w:rFonts w:ascii="Times New Roman" w:cs="Times New Roman" w:eastAsia="Times New Roman" w:hAnsi="Times New Roman"/>
          <w:sz w:val="18"/>
          <w:szCs w:val="18"/>
          <w:b w:val="1"/>
          <w:bCs w:val="1"/>
          <w:u w:val="single" w:color="auto"/>
          <w:color w:val="auto"/>
        </w:rPr>
        <w:t>Settlement Date</w:t>
      </w:r>
      <w:r>
        <w:rPr>
          <w:rFonts w:ascii="Times New Roman" w:cs="Times New Roman" w:eastAsia="Times New Roman" w:hAnsi="Times New Roman"/>
          <w:sz w:val="18"/>
          <w:szCs w:val="18"/>
          <w:color w:val="auto"/>
        </w:rPr>
        <w:t>”). The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xml:space="preserve">”) will be equal to the aggregate sales price received by the Agent, after deduction for (i) the Agent’s commission, discount or other compensation for such sales payable by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and (ii) any transaction fees imposed by any Governmental Authority in respect of such sales.</w:t>
      </w:r>
    </w:p>
    <w:p>
      <w:pPr>
        <w:spacing w:after="0" w:line="107" w:lineRule="exact"/>
        <w:rPr>
          <w:rFonts w:ascii="Times New Roman" w:cs="Times New Roman" w:eastAsia="Times New Roman" w:hAnsi="Times New Roman"/>
          <w:sz w:val="18"/>
          <w:szCs w:val="18"/>
          <w:color w:val="auto"/>
        </w:rPr>
      </w:pPr>
    </w:p>
    <w:p>
      <w:pPr>
        <w:ind w:left="424" w:right="100" w:hanging="424"/>
        <w:spacing w:after="0" w:line="254"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xml:space="preserve">. On or before each Settlement Date, the Company will, or will cause its transfer agent to, electronically transfer the Placement Shares being sold by crediting the Agent’s or its designee’s account (provided the Agent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that the Company, in addition to and in no way limiting the rights and obligations set forth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hereto, will (i) hold the Agent harmless against any loss, claim, damage, or</w:t>
      </w:r>
    </w:p>
    <w:p>
      <w:pPr>
        <w:sectPr>
          <w:pgSz w:w="11900" w:h="16838" w:orient="portrait"/>
          <w:cols w:equalWidth="0" w:num="1">
            <w:col w:w="11004"/>
          </w:cols>
          <w:pgMar w:left="436" w:top="270" w:right="459" w:bottom="1440" w:gutter="0" w:footer="0" w:header="0"/>
        </w:sectPr>
      </w:pPr>
    </w:p>
    <w:bookmarkStart w:id="8" w:name="page9"/>
    <w:bookmarkEnd w:id="8"/>
    <w:p>
      <w:pPr>
        <w:ind w:left="424" w:right="4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 (including reasonable and documented legal fees and expenses), as incurred, arising out of or in connection with such default by the Company or its transfer agent (as applicable) and (ii) pay to the Agent any commission, discount, or other compensation to which it would otherwise have been entitled absent such default.</w:t>
      </w:r>
    </w:p>
    <w:p>
      <w:pPr>
        <w:spacing w:after="0" w:line="79" w:lineRule="exact"/>
        <w:rPr>
          <w:sz w:val="20"/>
          <w:szCs w:val="20"/>
          <w:color w:val="auto"/>
        </w:rPr>
      </w:pPr>
    </w:p>
    <w:p>
      <w:pPr>
        <w:ind w:left="424" w:right="120"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Registration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Certificates for the Placement Shares, if any, shall be in such denominations and registered in such names as the Agent may request in writing at least one full Business Day (as defined below) before the applicable Settlement Date. The certificates for the Placement Shares, if any, will be made available by the Company for examination and packaging by the Agent in The City of New York not later than noon (New York time) on the Business Day prior to the applicable Settlement Date.</w:t>
      </w:r>
    </w:p>
    <w:p>
      <w:pPr>
        <w:spacing w:after="0" w:line="85"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(such entity, the “Company Authorization Body”). Under no circumstances shall the Company cause or request the offer or sale of any Placement Shares pursuant to this Agreement at a price lower than the minimum price authorized from time to time by the Company Authorization Body. Further, under no circumstances shall the Company cause or permit the aggregate offering number or dollar amount of Placement Shares sold pursuant to this Agreement to exceed the Maximum Amount.</w:t>
      </w:r>
    </w:p>
    <w:p>
      <w:pPr>
        <w:spacing w:after="0" w:line="92" w:lineRule="exact"/>
        <w:rPr>
          <w:sz w:val="20"/>
          <w:szCs w:val="20"/>
          <w:color w:val="auto"/>
        </w:rPr>
      </w:pPr>
    </w:p>
    <w:p>
      <w:pPr>
        <w:ind w:left="424" w:right="260" w:hanging="424"/>
        <w:spacing w:after="0" w:line="312" w:lineRule="auto"/>
        <w:tabs>
          <w:tab w:leader="none" w:pos="42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 of the Company</w:t>
      </w:r>
      <w:r>
        <w:rPr>
          <w:rFonts w:ascii="Times New Roman" w:cs="Times New Roman" w:eastAsia="Times New Roman" w:hAnsi="Times New Roman"/>
          <w:sz w:val="17"/>
          <w:szCs w:val="17"/>
          <w:color w:val="auto"/>
        </w:rPr>
        <w:t>. The Company represents and warrants to, and agrees with the Agent that as of the date of this Agreement and as of each Applicable Time (as defined below), unless such representation, warranty or agreement specifies a different time:</w:t>
      </w:r>
    </w:p>
    <w:p>
      <w:pPr>
        <w:spacing w:after="0" w:line="45" w:lineRule="exact"/>
        <w:rPr>
          <w:sz w:val="20"/>
          <w:szCs w:val="20"/>
          <w:color w:val="auto"/>
        </w:rPr>
      </w:pPr>
    </w:p>
    <w:p>
      <w:pPr>
        <w:ind w:left="424" w:right="40" w:hanging="424"/>
        <w:spacing w:after="0" w:line="253"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The Company and the transactions contemplated by this Agreement meet the requirements for and comply with the applicable conditions set forth in Form S-3 (including General Instructions I.A and I.B) under the Securities Act. At the time the Registration Statement became effective and at the time the Company’s most recent Annual Report on Form 10-K was filed with the Commission, if later, the Company was, or will be, a “well known seasoned issuer” as defined in Rule 405 under the Securities Act Regulations. The Registration Statement is an “automatic shelf registration statement,” as defined in Rule 405 the Securities Act Regulations, and became effective upon filing. The Company has not received from the Commission any notice pursuant to Rule 401(g)(2) under the Securities Act Regulations objecting to the Company’s use of the automatic shelf registration form. The Prospectus Supplement will name the Agent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in all material respects or filed. Copies of the Registration Statement, the Prospectus, and any such amendments or supplements and all documents</w:t>
      </w:r>
    </w:p>
    <w:p>
      <w:pPr>
        <w:sectPr>
          <w:pgSz w:w="11900" w:h="16838" w:orient="portrait"/>
          <w:cols w:equalWidth="0" w:num="1">
            <w:col w:w="11004"/>
          </w:cols>
          <w:pgMar w:left="436" w:top="270" w:right="459" w:bottom="1440" w:gutter="0" w:footer="0" w:header="0"/>
        </w:sectPr>
      </w:pPr>
    </w:p>
    <w:bookmarkStart w:id="9" w:name="page10"/>
    <w:bookmarkEnd w:id="9"/>
    <w:p>
      <w:pPr>
        <w:ind w:left="42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incorporated by reference therein that were filed with the Commission on or prior to the date of this Agreement have been delivered, or are available through EDGAR or any successor system, to the Agent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to which the Agent has consented.</w:t>
      </w:r>
    </w:p>
    <w:p>
      <w:pPr>
        <w:spacing w:after="0" w:line="89" w:lineRule="exact"/>
        <w:rPr>
          <w:sz w:val="20"/>
          <w:szCs w:val="20"/>
          <w:color w:val="auto"/>
        </w:rPr>
      </w:pPr>
    </w:p>
    <w:p>
      <w:pPr>
        <w:ind w:left="424" w:right="20" w:hanging="424"/>
        <w:spacing w:after="0" w:line="25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 in writing specifically for use in the preparation thereof, it being understood and agreed that the only such information furnished by the Agent to the Company consists of “Agent Information” as defined below.</w:t>
      </w:r>
    </w:p>
    <w:p>
      <w:pPr>
        <w:spacing w:after="0" w:line="102" w:lineRule="exact"/>
        <w:rPr>
          <w:rFonts w:ascii="Times New Roman" w:cs="Times New Roman" w:eastAsia="Times New Roman" w:hAnsi="Times New Roman"/>
          <w:sz w:val="18"/>
          <w:szCs w:val="18"/>
          <w:color w:val="auto"/>
        </w:rPr>
      </w:pPr>
    </w:p>
    <w:p>
      <w:pPr>
        <w:ind w:left="424" w:right="120" w:hanging="424"/>
        <w:spacing w:after="0" w:line="258"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the Securities Act and Exchange Act</w:t>
      </w:r>
      <w:r>
        <w:rPr>
          <w:rFonts w:ascii="Times New Roman" w:cs="Times New Roman" w:eastAsia="Times New Roman" w:hAnsi="Times New Roman"/>
          <w:sz w:val="18"/>
          <w:szCs w:val="18"/>
          <w:color w:val="auto"/>
        </w:rPr>
        <w:t>. The Registration Statement, the Prospectus, any Issuer Free Writing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88" w:lineRule="exact"/>
        <w:rPr>
          <w:rFonts w:ascii="Times New Roman" w:cs="Times New Roman" w:eastAsia="Times New Roman" w:hAnsi="Times New Roman"/>
          <w:sz w:val="18"/>
          <w:szCs w:val="18"/>
          <w:color w:val="auto"/>
        </w:rPr>
      </w:pPr>
    </w:p>
    <w:p>
      <w:pPr>
        <w:ind w:left="424" w:right="160" w:hanging="424"/>
        <w:spacing w:after="0" w:line="266"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From the time of initial confidential submission of the Company’s Registration Statement on Form S-1 (File No. 333-240098) to the Commission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24" w:right="120" w:hanging="424"/>
        <w:spacing w:after="0" w:line="266"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eXtensible Business Reporting Language</w:t>
      </w:r>
      <w:r>
        <w:rPr>
          <w:rFonts w:ascii="Times New Roman" w:cs="Times New Roman" w:eastAsia="Times New Roman" w:hAnsi="Times New Roman"/>
          <w:sz w:val="18"/>
          <w:szCs w:val="18"/>
          <w:color w:val="auto"/>
        </w:rPr>
        <w:t>.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ectPr>
          <w:pgSz w:w="11900" w:h="16838" w:orient="portrait"/>
          <w:cols w:equalWidth="0" w:num="1">
            <w:col w:w="11004"/>
          </w:cols>
          <w:pgMar w:left="436" w:top="270" w:right="459" w:bottom="1440" w:gutter="0" w:footer="0" w:header="0"/>
        </w:sectPr>
      </w:pPr>
    </w:p>
    <w:bookmarkStart w:id="10" w:name="page11"/>
    <w:bookmarkEnd w:id="10"/>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Nasdaq Matters</w:t>
      </w:r>
      <w:r>
        <w:rPr>
          <w:rFonts w:ascii="Times New Roman" w:cs="Times New Roman" w:eastAsia="Times New Roman" w:hAnsi="Times New Roman"/>
          <w:sz w:val="18"/>
          <w:szCs w:val="18"/>
          <w:color w:val="auto"/>
        </w:rPr>
        <w:t>. The Company is subject to and in compliance in all material respects with the reporting requirements of Section 13 or</w:t>
      </w:r>
    </w:p>
    <w:p>
      <w:pPr>
        <w:spacing w:after="0" w:line="27" w:lineRule="exact"/>
        <w:rPr>
          <w:rFonts w:ascii="Times New Roman" w:cs="Times New Roman" w:eastAsia="Times New Roman" w:hAnsi="Times New Roman"/>
          <w:sz w:val="18"/>
          <w:szCs w:val="18"/>
          <w:color w:val="auto"/>
        </w:rPr>
      </w:pPr>
    </w:p>
    <w:p>
      <w:pPr>
        <w:ind w:left="42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15(d) of the Exchange Act. The Common Stock is registered pursuant to Section 12(b) of the Exchange Act and is listed on the Exchange, and the Company has taken no action designed to, or reasonably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 The Company is in compliance with the current listing standards of the Exchange. The Company has filed a Notification of Listing of Additional Shares with the Exchange with respect to the Placement Shares.</w:t>
      </w:r>
    </w:p>
    <w:p>
      <w:pPr>
        <w:spacing w:after="0" w:line="92"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Preferential Rights</w:t>
      </w:r>
      <w:r>
        <w:rPr>
          <w:rFonts w:ascii="Times New Roman" w:cs="Times New Roman" w:eastAsia="Times New Roman" w:hAnsi="Times New Roman"/>
          <w:sz w:val="18"/>
          <w:szCs w:val="18"/>
          <w:color w:val="auto"/>
        </w:rPr>
        <w:t>. No person (as such term is defined in Rule 1-02 of Regulation S-X promulgated under the Securities Act) has the right to act as an underwriter or as a financial advisor to the Company in connection with the offer and sale of the Placement Shares hereunder, whether as a result of the filing or effectiveness of the Registration Statement or the sale of the Placement Shares as contemplated hereby or otherwise. Except for the Agent, there is no broker, finder or other party that is entitled to receive from the Company or any of its Subsidiaries (as defined below) any brokerage or finder’s fee or other fee or commission as a result of any transactions contemplated by this Agreement.</w:t>
      </w:r>
    </w:p>
    <w:p>
      <w:pPr>
        <w:spacing w:after="0" w:line="88"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Company has been duly incorporated, is validly existing as a corporation in good standing under the laws of the jurisdiction of its incorporation, has the corporate power and authority to own, lease and operate its property and to conduct its business as described in each of the Registration Statement and the Prospectus and to enter into and perform its obligations under this Agreement. The Company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singly or in the aggregate, have a material adverse effect on the condition (financial or otherwise), earnings, results of operations, business, prospects, properties, operations, assets or liabilities of the Company and its Subsidiaries, taken as a whole, whether or not arising from transactions in the ordinary course of business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97"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Each of the Company’s “subsidiaries” (for purposes of this Agreement, as defined in Rule 405 under the Securities Act) (each, a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has been duly incorporated, organized or formed and is validly existing in good standing (where such concept exists) under the laws of the jurisdiction of its incorporation or organization and has full power and authority to acquire, own, lease and operate its properties, and to conduct its business as described in the Registration Statement and the Prospectus. Each Subsidiary is duly qualified to transact business and is in good standing (where such concept exists) under the laws of each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All of the issued and outstanding share capital or other equity or ownership interests of each Subsidiary has been duly authorized and validly issued, is fully paid and nonassessable, has been issued in compliance with federal state and securities laws and is owned by the Company, directly or through other wholly-owned Subsidiaries, free and clear of any security interest, mortgage, pledge, lien, encumbrance or adverse claim. Except for the entities</w:t>
      </w:r>
    </w:p>
    <w:p>
      <w:pPr>
        <w:sectPr>
          <w:pgSz w:w="11900" w:h="16838" w:orient="portrait"/>
          <w:cols w:equalWidth="0" w:num="1">
            <w:col w:w="11004"/>
          </w:cols>
          <w:pgMar w:left="436" w:top="270" w:right="459" w:bottom="1440" w:gutter="0" w:footer="0" w:header="0"/>
        </w:sectPr>
      </w:pPr>
    </w:p>
    <w:bookmarkStart w:id="11" w:name="page12"/>
    <w:bookmarkEnd w:id="11"/>
    <w:p>
      <w:pPr>
        <w:ind w:left="42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identified in Exhibit 21 to the Company’s most recent Annual Report on Form 10-K, the Company does not own or control, directly or indirectly, any corporation, association or other entity. Only Disc Medicine Opco, Inc. constitutes a “significant subsidiary” within the meaning of Rule 1-02 of Regulation S-X.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w:t>
      </w:r>
    </w:p>
    <w:p>
      <w:pPr>
        <w:spacing w:after="0" w:line="93" w:lineRule="exact"/>
        <w:rPr>
          <w:sz w:val="20"/>
          <w:szCs w:val="20"/>
          <w:color w:val="auto"/>
        </w:rPr>
      </w:pPr>
    </w:p>
    <w:p>
      <w:pPr>
        <w:ind w:left="424" w:right="100" w:hanging="424"/>
        <w:spacing w:after="0" w:line="253"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capital stock of the Company conforms as to legal matters to the description thereof contained in each of the Registration Statement and the Prospectus. The Common Stock conforms in all material respects to the description thereof contained in the Registration Statement and the Prospectus, including under the heading “Description of Capital Stock.” All of the issued and outstanding share capital or other equity or ownership interest of the Company has been duly authorized and validly issued and is fully paid and nonassessable, has been issued in compliance with all federal, state and local securities laws and is free and clear of any security interest, mortgage, pledge, lien, encumbrance or adverse claim. None of the outstanding shares of capital stock of the Company were issued in violation of any preemptive rights, rights of first refusal or other similar rights to subscribe for or purchase securities of the Company. The descriptions of the Company’s equity incentive plan, stock option plans and other stock plans or arrangements described in the Prospectus and in effect as of the date hereof (collectively, the “</w:t>
      </w:r>
      <w:r>
        <w:rPr>
          <w:rFonts w:ascii="Times New Roman" w:cs="Times New Roman" w:eastAsia="Times New Roman" w:hAnsi="Times New Roman"/>
          <w:sz w:val="18"/>
          <w:szCs w:val="18"/>
          <w:b w:val="1"/>
          <w:bCs w:val="1"/>
          <w:color w:val="auto"/>
        </w:rPr>
        <w:t>Stock Plans</w:t>
      </w:r>
      <w:r>
        <w:rPr>
          <w:rFonts w:ascii="Times New Roman" w:cs="Times New Roman" w:eastAsia="Times New Roman" w:hAnsi="Times New Roman"/>
          <w:sz w:val="18"/>
          <w:szCs w:val="18"/>
          <w:color w:val="auto"/>
        </w:rPr>
        <w:t>”) and the options or other rights granted thereunder, set forth in the Registration Statement and the Prospectus accurately and fairly present the information required to be shown with respect to such Stock Plans and the options or other rights granted thereunder.</w:t>
      </w:r>
    </w:p>
    <w:p>
      <w:pPr>
        <w:spacing w:after="0" w:line="97" w:lineRule="exact"/>
        <w:rPr>
          <w:rFonts w:ascii="Times New Roman" w:cs="Times New Roman" w:eastAsia="Times New Roman" w:hAnsi="Times New Roman"/>
          <w:sz w:val="18"/>
          <w:szCs w:val="18"/>
          <w:color w:val="auto"/>
        </w:rPr>
      </w:pPr>
    </w:p>
    <w:p>
      <w:pPr>
        <w:ind w:left="424" w:right="80" w:hanging="424"/>
        <w:spacing w:after="0" w:line="261"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Placement Shares</w:t>
      </w:r>
      <w:r>
        <w:rPr>
          <w:rFonts w:ascii="Times New Roman" w:cs="Times New Roman" w:eastAsia="Times New Roman" w:hAnsi="Times New Roman"/>
          <w:sz w:val="18"/>
          <w:szCs w:val="18"/>
          <w:color w:val="auto"/>
        </w:rPr>
        <w:t>. The Placement Shares have been duly authorized and, when issued, delivered and paid for in accordance with the terms of this Agreement, will be validly issued, fully paid and non-assessable, and the issuance of the Placement Shares will not be subject to any preemptive or similar rights that have not been validly waived. This Agreement has been duly authorized, executed and delivered by the Company.</w:t>
      </w:r>
    </w:p>
    <w:p>
      <w:pPr>
        <w:spacing w:after="0" w:line="85" w:lineRule="exact"/>
        <w:rPr>
          <w:rFonts w:ascii="Times New Roman" w:cs="Times New Roman" w:eastAsia="Times New Roman" w:hAnsi="Times New Roman"/>
          <w:sz w:val="18"/>
          <w:szCs w:val="18"/>
          <w:color w:val="auto"/>
        </w:rPr>
      </w:pPr>
    </w:p>
    <w:p>
      <w:pPr>
        <w:ind w:left="424" w:right="140" w:hanging="424"/>
        <w:spacing w:after="0" w:line="266"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and after giving effect to the offering and sale of the Placement Shares and the application of the proceeds thereof as described in each of the Registration Statement and the Prospectus will not be, required to register as an “investment company” as such term is defined in the Investment Company Act of 1940, as amended.</w:t>
      </w:r>
    </w:p>
    <w:p>
      <w:pPr>
        <w:spacing w:after="0" w:line="81"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and delivery by the Company of, and the performance by the Company of its obligations under, this Agreement will not contravene any provision of (i) applicable law, (ii) the certificate of incorporation or by laws of the Company, (iii) any agreement or other instrument binding upon the Company or its Subsidiaries that is material to the Company and its Subsidiaries, taken as a whole, or (iv) any judgment, order or decree of any governmental body, agency or court having jurisdiction over the Company or its Subsidiaries, except that, in the case of clause (i) and (iii), as would not, individually or in the aggregate, reasonably be expected to have a Material Adverse Effect on the Company or on the power and ability of the Company to perform its obligations under this Agreement,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in connection with the offer and sale of the Placement Shares.</w:t>
      </w:r>
    </w:p>
    <w:p>
      <w:pPr>
        <w:sectPr>
          <w:pgSz w:w="11900" w:h="16838" w:orient="portrait"/>
          <w:cols w:equalWidth="0" w:num="1">
            <w:col w:w="11004"/>
          </w:cols>
          <w:pgMar w:left="436" w:top="270" w:right="459" w:bottom="1440" w:gutter="0" w:footer="0" w:header="0"/>
        </w:sectPr>
      </w:pPr>
    </w:p>
    <w:bookmarkStart w:id="12" w:name="page13"/>
    <w:bookmarkEnd w:id="12"/>
    <w:p>
      <w:pPr>
        <w:ind w:left="424" w:right="40" w:hanging="424"/>
        <w:spacing w:after="0" w:line="266"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Material Adverse Change</w:t>
      </w:r>
      <w:r>
        <w:rPr>
          <w:rFonts w:ascii="Times New Roman" w:cs="Times New Roman" w:eastAsia="Times New Roman" w:hAnsi="Times New Roman"/>
          <w:sz w:val="18"/>
          <w:szCs w:val="18"/>
          <w:color w:val="auto"/>
        </w:rPr>
        <w:t>. There has not occurred any Material Adverse Effect, or any development involving a prospective Material Adverse Effect, in the condition, financial or otherwise, or in the earnings, business or operations of the Company and its Subsidiaries, taken as a whole, from that set forth in the Prospectus.</w:t>
      </w:r>
    </w:p>
    <w:p>
      <w:pPr>
        <w:spacing w:after="0" w:line="81" w:lineRule="exact"/>
        <w:rPr>
          <w:rFonts w:ascii="Times New Roman" w:cs="Times New Roman" w:eastAsia="Times New Roman" w:hAnsi="Times New Roman"/>
          <w:sz w:val="18"/>
          <w:szCs w:val="18"/>
          <w:color w:val="auto"/>
        </w:rPr>
      </w:pPr>
    </w:p>
    <w:p>
      <w:pPr>
        <w:ind w:left="424" w:right="100" w:hanging="424"/>
        <w:spacing w:after="0" w:line="261"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Placement Shares registered pursuant to the Registration Statement except as have been validly waived or complied with in connection with the issuance and sale of the Placement Shares contemplated hereby.</w:t>
      </w:r>
    </w:p>
    <w:p>
      <w:pPr>
        <w:spacing w:after="0" w:line="85" w:lineRule="exact"/>
        <w:rPr>
          <w:rFonts w:ascii="Times New Roman" w:cs="Times New Roman" w:eastAsia="Times New Roman" w:hAnsi="Times New Roman"/>
          <w:sz w:val="18"/>
          <w:szCs w:val="18"/>
          <w:color w:val="auto"/>
        </w:rPr>
      </w:pPr>
    </w:p>
    <w:p>
      <w:pPr>
        <w:ind w:left="424" w:hanging="424"/>
        <w:spacing w:after="0" w:line="251"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The consolidated financial statements included in or incorporated by reference into each of the Registration Statement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covered thereby except for any normal year-end adjustments in the Company’s quarterly financial statements. The other financial information included in or incorporated by refence into each of the Registration Statement and the Prospectus comply with the requirements of Regulation S-X of the Securities Act, including, without limitation, Article 11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There are no financial statements (historical or pro forma) that are required to be included or incorporated by reference in the Registration Statement or the Prospectus that are not included or incorporated by reference therein as required. The Company and the Subsidiaries do not have any material liabilities or obligations, direct or contingent (including any off-balance sheet obligations), not disclosed in the Registration Statement and the Prospectus. All disclosures contained in the Registration Statement or the Prospectus that contain “non-GAAP financial measures” (as such term is defined by the rules and regulations of the Commission) comply, in all material respects, with Regulation G under the Exchange Act and Item 10 of Regulation S-K under the Securities Act, to the extent applicable. The statistical, industry-related and market-related data included in each of the Registration Statement and the Prospectus are based on or derived from sources which the Company reasonably and in good faith believes are reliable and accurate and such data is consistent with the sources from which they are derived, in each case in all material respects and the Company has obtained the written consent to the use of such data from such sources to the extent required. To the Company’s knowledge, no person who has been suspended or barred from being associated with a registered public accounting firm, or who has failed to comply with any sanction pursuant to Rule 5300 promulgated by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has participated in or otherwise aided the preparation of, or audited, the financial statements, supporting schedules or other financial data filed with the Commission as a part of the Registration Statement and the Prospectus.</w:t>
      </w:r>
    </w:p>
    <w:p>
      <w:pPr>
        <w:sectPr>
          <w:pgSz w:w="11900" w:h="16838" w:orient="portrait"/>
          <w:cols w:equalWidth="0" w:num="1">
            <w:col w:w="10964"/>
          </w:cols>
          <w:pgMar w:left="436" w:top="270" w:right="499" w:bottom="1440" w:gutter="0" w:footer="0" w:header="0"/>
        </w:sectPr>
      </w:pPr>
    </w:p>
    <w:bookmarkStart w:id="13" w:name="page14"/>
    <w:bookmarkEnd w:id="13"/>
    <w:p>
      <w:pPr>
        <w:ind w:left="424" w:right="20" w:hanging="424"/>
        <w:spacing w:after="0" w:line="254"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Litigation</w:t>
      </w:r>
      <w:r>
        <w:rPr>
          <w:rFonts w:ascii="Times New Roman" w:cs="Times New Roman" w:eastAsia="Times New Roman" w:hAnsi="Times New Roman"/>
          <w:sz w:val="18"/>
          <w:szCs w:val="18"/>
          <w:color w:val="auto"/>
        </w:rPr>
        <w:t>. 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each of the Registration Statement and the Prospectus and proceedings that would not reasonably be expected to, singly or in the aggregate, have a Material Adverse Effect on the Company and its Subsidiaries, taken as a whole, or on the power or ability of the Company to perform its obligations under this Agreement or to consummate the transactions contemplated by each of the Registration Statement and the Prospectus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93"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Public Accounting Firm</w:t>
      </w:r>
      <w:r>
        <w:rPr>
          <w:rFonts w:ascii="Times New Roman" w:cs="Times New Roman" w:eastAsia="Times New Roman" w:hAnsi="Times New Roman"/>
          <w:sz w:val="18"/>
          <w:szCs w:val="18"/>
          <w:color w:val="auto"/>
        </w:rPr>
        <w:t>. Ernst &amp; Young LLP ,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and the Prospectus, is an independent registered public accounting firm with respect to the Company within the meaning of the Securities Act and the applicable rules and regulations thereunder adopted by the Commission and the PCAOB. Ernst &amp; Young LLP has not been engaged by the Company to perform any “prohibited activities” or provided to the Company any “non-audit services” (as defined in Section 10A of the Exchange Act).</w:t>
      </w:r>
    </w:p>
    <w:p>
      <w:pPr>
        <w:spacing w:after="0" w:line="92" w:lineRule="exact"/>
        <w:rPr>
          <w:rFonts w:ascii="Times New Roman" w:cs="Times New Roman" w:eastAsia="Times New Roman" w:hAnsi="Times New Roman"/>
          <w:sz w:val="18"/>
          <w:szCs w:val="18"/>
          <w:color w:val="auto"/>
        </w:rPr>
      </w:pPr>
    </w:p>
    <w:p>
      <w:pPr>
        <w:ind w:left="424" w:right="80" w:hanging="424"/>
        <w:spacing w:after="0" w:line="266"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Placement Shares.</w:t>
      </w:r>
    </w:p>
    <w:p>
      <w:pPr>
        <w:spacing w:after="0" w:line="81" w:lineRule="exact"/>
        <w:rPr>
          <w:rFonts w:ascii="Times New Roman" w:cs="Times New Roman" w:eastAsia="Times New Roman" w:hAnsi="Times New Roman"/>
          <w:sz w:val="18"/>
          <w:szCs w:val="18"/>
          <w:color w:val="auto"/>
        </w:rPr>
      </w:pPr>
    </w:p>
    <w:p>
      <w:pPr>
        <w:ind w:left="424" w:right="280" w:hanging="424"/>
        <w:spacing w:after="0" w:line="261"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Disputes</w:t>
      </w:r>
      <w:r>
        <w:rPr>
          <w:rFonts w:ascii="Times New Roman" w:cs="Times New Roman" w:eastAsia="Times New Roman" w:hAnsi="Times New Roman"/>
          <w:sz w:val="18"/>
          <w:szCs w:val="18"/>
          <w:color w:val="auto"/>
        </w:rPr>
        <w:t>. 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w:t>
      </w:r>
    </w:p>
    <w:p>
      <w:pPr>
        <w:spacing w:after="0" w:line="85" w:lineRule="exact"/>
        <w:rPr>
          <w:rFonts w:ascii="Times New Roman" w:cs="Times New Roman" w:eastAsia="Times New Roman" w:hAnsi="Times New Roman"/>
          <w:sz w:val="18"/>
          <w:szCs w:val="18"/>
          <w:color w:val="auto"/>
        </w:rPr>
      </w:pPr>
    </w:p>
    <w:p>
      <w:pPr>
        <w:ind w:left="424" w:right="40" w:hanging="424"/>
        <w:spacing w:after="0" w:line="256"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are insured by insurers of recognized financial responsibility against such losses and risks and in such amounts as are prudent and customary in the businesses in which they are engaged; neither the Company nor its Subsidiaries has been refused any insurance coverage sought or applied for; and neither the Company nor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singly or in the aggregate, have a Material Adverse Effect on the Company and its Subsidiaries, taken as a whole.</w:t>
      </w:r>
    </w:p>
    <w:p>
      <w:pPr>
        <w:sectPr>
          <w:pgSz w:w="11900" w:h="16838" w:orient="portrait"/>
          <w:cols w:equalWidth="0" w:num="1">
            <w:col w:w="11004"/>
          </w:cols>
          <w:pgMar w:left="436" w:top="270" w:right="459" w:bottom="1440" w:gutter="0" w:footer="0" w:header="0"/>
        </w:sectPr>
      </w:pPr>
    </w:p>
    <w:bookmarkStart w:id="14" w:name="page15"/>
    <w:bookmarkEnd w:id="14"/>
    <w:p>
      <w:pPr>
        <w:ind w:left="424" w:right="120" w:hanging="424"/>
        <w:spacing w:after="0" w:line="255"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Title to Real and Personal Property</w:t>
      </w:r>
      <w:r>
        <w:rPr>
          <w:rFonts w:ascii="Times New Roman" w:cs="Times New Roman" w:eastAsia="Times New Roman" w:hAnsi="Times New Roman"/>
          <w:sz w:val="18"/>
          <w:szCs w:val="18"/>
          <w:color w:val="auto"/>
        </w:rPr>
        <w:t>.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in any material respect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in any material respect with the use made and proposed to be made of such property and buildings by the Company and its Subsidiaries.</w:t>
      </w:r>
    </w:p>
    <w:p>
      <w:pPr>
        <w:spacing w:after="0" w:line="94"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Permits</w:t>
      </w:r>
      <w:r>
        <w:rPr>
          <w:rFonts w:ascii="Times New Roman" w:cs="Times New Roman" w:eastAsia="Times New Roman" w:hAnsi="Times New Roman"/>
          <w:sz w:val="18"/>
          <w:szCs w:val="18"/>
          <w:color w:val="auto"/>
        </w:rPr>
        <w:t>. The Company and its Subsidiaries possess and are operating in material compliance with all certificates, authorizations and permits issued by the appropriate federal, state or foreign regulatory authorities necessary to conduct their respective businesses as described in the Registration Statement and the Prospectus, and neither the Company nor its Subsidiaries has received any written notice of proceedings relating to the revocation or modification of, or material non-compliance with, any such material certificate, authorization or permit which, singly or in the aggregate, if the subject of an unfavorable decision, ruling or finding, would have a Material Adverse Effect on the Company and its Subsidiaries, taken as a whole.</w:t>
      </w:r>
    </w:p>
    <w:p>
      <w:pPr>
        <w:spacing w:after="0" w:line="92"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existing assets at reasonable intervals and appropriate action is taken with respect to any differences. Since the end of the Company’s most recent audited fiscal year, there has been (x) no material weakness in the Company’s internal control over financial reporting (whether or not remediated) and (y) no change in the Company’s internal control over financial reporting that has materially affected, or is reasonably likely to materially affect, the Company’s internal control over financial reporting.</w:t>
      </w:r>
    </w:p>
    <w:p>
      <w:pPr>
        <w:spacing w:after="0" w:line="97"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 Compliance with Regulation M</w:t>
      </w:r>
      <w:r>
        <w:rPr>
          <w:rFonts w:ascii="Times New Roman" w:cs="Times New Roman" w:eastAsia="Times New Roman" w:hAnsi="Times New Roman"/>
          <w:sz w:val="18"/>
          <w:szCs w:val="18"/>
          <w:color w:val="auto"/>
        </w:rPr>
        <w:t>. Neither the Company, nor any of its Subsidiaries, nor to the knowledge of the Company, any of its or their respective directors, officers or controlling persons has taken, directly or indirectly, without giving effect to any actions taken by the Agent, (i) any action designed to or that might constitute or reasonably be expected to cause or result in, under the Exchange Act or otherwise, stabilization or manipulation of the price of any security of the Company to facilitate the sale or resale of the Placement Shares or (ii) any action designed to or that might constitute or reasonably be expected to cause or result in a violation of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424" w:right="60" w:hanging="424"/>
        <w:spacing w:after="0" w:line="258"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Subsidiary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w:t>
      </w:r>
    </w:p>
    <w:p>
      <w:pPr>
        <w:sectPr>
          <w:pgSz w:w="11900" w:h="16838" w:orient="portrait"/>
          <w:cols w:equalWidth="0" w:num="1">
            <w:col w:w="11004"/>
          </w:cols>
          <w:pgMar w:left="436" w:top="270" w:right="459" w:bottom="1440" w:gutter="0" w:footer="0" w:header="0"/>
        </w:sectPr>
      </w:pPr>
    </w:p>
    <w:bookmarkStart w:id="15" w:name="page16"/>
    <w:bookmarkEnd w:id="15"/>
    <w:p>
      <w:pPr>
        <w:ind w:left="42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 There are no costs or liabilities associated with Environmental Laws (including, without limitation, any capital or operating expenditures required for clean 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93" w:lineRule="exact"/>
        <w:rPr>
          <w:sz w:val="20"/>
          <w:szCs w:val="20"/>
          <w:color w:val="auto"/>
        </w:rPr>
      </w:pPr>
    </w:p>
    <w:p>
      <w:pPr>
        <w:ind w:left="424" w:hanging="424"/>
        <w:spacing w:after="0" w:line="25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None of the following events has occurred or exists: (i) a failure to fulfill the obligations, if any, under the minimum funding standards of Section 302 of the United States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and the regulations and published interpretations thereunder with respect to a Plan that is required to be funded, determined without regard to any waiver of such obligations or extension of any amortization period that would reasonably be expected to have a Material Adverse Effect;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its Subsidiaries that would reasonably be expected to have a Material Adverse Effect; (iii) any breach of any contractual obligation, or any violation of law or applicable qualification standards, with respect to the employment or compensation of employees by the Company or its Subsidiaries that would reasonably be expected to have a Material Adverse Effect.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would reasonably be expected to have a Material Adverse Effect; or (iv) the filing of a claim by one or more employees or former employees of the Company or any of its Subsidiaries related to their employment that would reasonably be expected to have a Material Adverse Effect. For purposes of this paragraph, the term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 plan (within the meaning of Section 3(3) of ERISA) subject to Title IV of ERISA with respect to which the Company or any of its Subsidiaries may have any liability.</w:t>
      </w:r>
    </w:p>
    <w:p>
      <w:pPr>
        <w:spacing w:after="0" w:line="97" w:lineRule="exact"/>
        <w:rPr>
          <w:rFonts w:ascii="Times New Roman" w:cs="Times New Roman" w:eastAsia="Times New Roman" w:hAnsi="Times New Roman"/>
          <w:sz w:val="18"/>
          <w:szCs w:val="18"/>
          <w:color w:val="auto"/>
        </w:rPr>
      </w:pPr>
    </w:p>
    <w:p>
      <w:pPr>
        <w:ind w:left="424" w:right="60" w:hanging="424"/>
        <w:spacing w:after="0" w:line="258"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 Company has taken all necessary actions to ensure that it is in compliance with all applicable provisions of the Sarbanes-Oxley Act of 2002 and the rules and regulations promulgated in connection therewith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that are currently in effect and with which the Company is required to comply. There is and has been no material failure on the part of the Company or, to the knowledge of the Company, any of the Company’s directors or officers, in their capacities as such, to comply with any applicable provision of the Sarbanes-Oxley Act, including Section 402 related to loans and Sections 302 and 906 related to certifications.</w:t>
      </w:r>
    </w:p>
    <w:p>
      <w:pPr>
        <w:sectPr>
          <w:pgSz w:w="11900" w:h="16838" w:orient="portrait"/>
          <w:cols w:equalWidth="0" w:num="1">
            <w:col w:w="10984"/>
          </w:cols>
          <w:pgMar w:left="436" w:top="270" w:right="479" w:bottom="1440" w:gutter="0" w:footer="0" w:header="0"/>
        </w:sectPr>
      </w:pPr>
    </w:p>
    <w:bookmarkStart w:id="16" w:name="page17"/>
    <w:bookmarkEnd w:id="16"/>
    <w:p>
      <w:pPr>
        <w:ind w:left="424" w:hanging="424"/>
        <w:spacing w:after="0" w:line="267" w:lineRule="auto"/>
        <w:tabs>
          <w:tab w:leader="none" w:pos="42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Improper Practices</w:t>
      </w:r>
      <w:r>
        <w:rPr>
          <w:rFonts w:ascii="Times New Roman" w:cs="Times New Roman" w:eastAsia="Times New Roman" w:hAnsi="Times New Roman"/>
          <w:sz w:val="17"/>
          <w:szCs w:val="17"/>
          <w:color w:val="auto"/>
        </w:rPr>
        <w:t>. (i) None of the Company or any of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7"/>
          <w:szCs w:val="17"/>
          <w:b w:val="1"/>
          <w:bCs w:val="1"/>
          <w:color w:val="auto"/>
        </w:rPr>
        <w:t>Government Official</w:t>
      </w:r>
      <w:r>
        <w:rPr>
          <w:rFonts w:ascii="Times New Roman" w:cs="Times New Roman" w:eastAsia="Times New Roman" w:hAnsi="Times New Roman"/>
          <w:sz w:val="17"/>
          <w:szCs w:val="17"/>
          <w:color w:val="auto"/>
        </w:rPr>
        <w:t>”) in order to influence official action, or to any person in violation of any applicable anti-corruption laws; (ii) the Company and each of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w:t>
      </w:r>
    </w:p>
    <w:p>
      <w:pPr>
        <w:spacing w:after="0" w:line="5" w:lineRule="exact"/>
        <w:rPr>
          <w:rFonts w:ascii="Times New Roman" w:cs="Times New Roman" w:eastAsia="Times New Roman" w:hAnsi="Times New Roman"/>
          <w:sz w:val="17"/>
          <w:szCs w:val="17"/>
          <w:color w:val="auto"/>
        </w:rPr>
      </w:pPr>
    </w:p>
    <w:p>
      <w:pPr>
        <w:jc w:val="both"/>
        <w:ind w:left="424" w:right="680" w:firstLine="8"/>
        <w:spacing w:after="0" w:line="255" w:lineRule="auto"/>
        <w:tabs>
          <w:tab w:leader="none" w:pos="73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91" w:lineRule="exact"/>
        <w:rPr>
          <w:rFonts w:ascii="Times New Roman" w:cs="Times New Roman" w:eastAsia="Times New Roman" w:hAnsi="Times New Roman"/>
          <w:sz w:val="18"/>
          <w:szCs w:val="18"/>
          <w:color w:val="auto"/>
        </w:rPr>
      </w:pPr>
    </w:p>
    <w:p>
      <w:pPr>
        <w:ind w:left="424" w:right="80" w:hanging="424"/>
        <w:spacing w:after="0" w:line="254"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97" w:lineRule="exact"/>
        <w:rPr>
          <w:rFonts w:ascii="Times New Roman" w:cs="Times New Roman" w:eastAsia="Times New Roman" w:hAnsi="Times New Roman"/>
          <w:sz w:val="18"/>
          <w:szCs w:val="18"/>
          <w:color w:val="auto"/>
        </w:rPr>
      </w:pPr>
    </w:p>
    <w:p>
      <w:pPr>
        <w:jc w:val="both"/>
        <w:ind w:left="424" w:right="140" w:hanging="424"/>
        <w:spacing w:after="0" w:line="266"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(i) None of the Company , any of its Subsidiaries, or any director, officer, or employee thereof, or, to the Company’s knowledge, any agent,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67" w:lineRule="exact"/>
        <w:rPr>
          <w:rFonts w:ascii="Times New Roman" w:cs="Times New Roman" w:eastAsia="Times New Roman" w:hAnsi="Times New Roman"/>
          <w:sz w:val="18"/>
          <w:szCs w:val="18"/>
          <w:color w:val="auto"/>
        </w:rPr>
      </w:pPr>
    </w:p>
    <w:p>
      <w:pPr>
        <w:ind w:left="444" w:right="200" w:firstLine="1900"/>
        <w:spacing w:after="0" w:line="266" w:lineRule="auto"/>
        <w:tabs>
          <w:tab w:leader="none" w:pos="2642"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color w:val="auto"/>
        </w:rPr>
      </w:pPr>
    </w:p>
    <w:p>
      <w:pPr>
        <w:jc w:val="both"/>
        <w:ind w:left="444" w:right="40" w:firstLine="1900"/>
        <w:spacing w:after="0" w:line="266" w:lineRule="auto"/>
        <w:tabs>
          <w:tab w:leader="none" w:pos="2632"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Crimea, the so-called Donetsk People’s Republic, the so-called Luhansk People’s Republic, the non-government controlled areas of Zaporizhzhia and Kherson regions of Ukraine, Cuba, Iran, North Korea and Syria).</w:t>
      </w:r>
    </w:p>
    <w:p>
      <w:pPr>
        <w:sectPr>
          <w:pgSz w:w="11900" w:h="16838" w:orient="portrait"/>
          <w:cols w:equalWidth="0" w:num="1">
            <w:col w:w="10984"/>
          </w:cols>
          <w:pgMar w:left="436" w:top="270" w:right="479" w:bottom="1440" w:gutter="0" w:footer="0" w:header="0"/>
        </w:sectPr>
      </w:pPr>
    </w:p>
    <w:bookmarkStart w:id="17" w:name="page18"/>
    <w:bookmarkEnd w:id="17"/>
    <w:p>
      <w:pPr>
        <w:ind w:left="444" w:right="600" w:firstLine="1371"/>
        <w:spacing w:after="0" w:line="282" w:lineRule="auto"/>
        <w:tabs>
          <w:tab w:leader="none" w:pos="20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will not, directly or indirectly, use the proceeds of the offering,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ind w:left="444" w:right="80" w:firstLine="1900"/>
        <w:spacing w:after="0" w:line="282" w:lineRule="auto"/>
        <w:tabs>
          <w:tab w:leader="none" w:pos="264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except to the extent permitted for a Person required to comply with Sanctions; or</w:t>
      </w:r>
    </w:p>
    <w:p>
      <w:pPr>
        <w:spacing w:after="0" w:line="53" w:lineRule="exact"/>
        <w:rPr>
          <w:rFonts w:ascii="Times New Roman" w:cs="Times New Roman" w:eastAsia="Times New Roman" w:hAnsi="Times New Roman"/>
          <w:sz w:val="18"/>
          <w:szCs w:val="18"/>
          <w:color w:val="auto"/>
        </w:rPr>
      </w:pPr>
    </w:p>
    <w:p>
      <w:pPr>
        <w:ind w:left="444" w:right="80" w:firstLine="1900"/>
        <w:spacing w:after="0" w:line="282" w:lineRule="auto"/>
        <w:tabs>
          <w:tab w:leader="none" w:pos="263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53" w:lineRule="exact"/>
        <w:rPr>
          <w:rFonts w:ascii="Times New Roman" w:cs="Times New Roman" w:eastAsia="Times New Roman" w:hAnsi="Times New Roman"/>
          <w:sz w:val="18"/>
          <w:szCs w:val="18"/>
          <w:color w:val="auto"/>
        </w:rPr>
      </w:pPr>
    </w:p>
    <w:p>
      <w:pPr>
        <w:ind w:left="444" w:firstLine="1371"/>
        <w:spacing w:after="0" w:line="266" w:lineRule="auto"/>
        <w:tabs>
          <w:tab w:leader="none" w:pos="213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81" w:lineRule="exact"/>
        <w:rPr>
          <w:rFonts w:ascii="Times New Roman" w:cs="Times New Roman" w:eastAsia="Times New Roman" w:hAnsi="Times New Roman"/>
          <w:sz w:val="18"/>
          <w:szCs w:val="18"/>
          <w:color w:val="auto"/>
        </w:rPr>
      </w:pPr>
    </w:p>
    <w:p>
      <w:pPr>
        <w:ind w:left="424" w:hanging="424"/>
        <w:spacing w:after="0" w:line="252"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(i) The Company and its Subsidiaries own or have a license to all patents, inventions, copyrights, know how (including trade secrets and other unpatented and/or unpatentable proprietary or confidential information, systems or procedures), trademarks, service marks and trade names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used in or reasonably necessary to the conduct of their businesses; (ii) to the Company’s knowledge, the Intellectual Property Rights owned by the Company and its Subsidiaries and the Intellectual Property Rights licensed to the Company and its Subsidiaries, are valid, subsisting and enforceable, and there is no pending or, to the knowledge of the Company or any of its Subsidiaries,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which, singly or in the aggregate, if the subject of an unfavorable decision, ruling or finding, would have a Material Adverse Effect on the Company and its Subsidiaries, taken as a whole; (iv) to the Company’s knowledge, no third party is infringing, misappropriating or otherwise violating, or has infringed, misappropriated or otherwise violated, any Intellectual Property Rights owned by the Company; (v) to the Company’s knowledge, the Company’s or any of its Subsidiaries’ products do not infringe or have not infringed any Intellectual Property Rights of a third party; to the Company’s knowledge, neither the Company nor any of its Subsidiaries misappropriates or otherwise violates, or has misappropriated or otherwise violated, any Intellectual Property Rights of a third party; (vi) all employees or contractors engaged in the development of Intellectual Property Rights on behalf of the Company or its Subsidiaries have executed or have an obligation to execute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 the Company and its Subsidiaries use, and have used, commercially reasonable efforts to appropriately maintain all information intended to be maintained as a trade secret.</w:t>
      </w:r>
    </w:p>
    <w:p>
      <w:pPr>
        <w:spacing w:after="0" w:line="97" w:lineRule="exact"/>
        <w:rPr>
          <w:rFonts w:ascii="Times New Roman" w:cs="Times New Roman" w:eastAsia="Times New Roman" w:hAnsi="Times New Roman"/>
          <w:sz w:val="18"/>
          <w:szCs w:val="18"/>
          <w:color w:val="auto"/>
        </w:rPr>
      </w:pPr>
    </w:p>
    <w:p>
      <w:pPr>
        <w:ind w:left="424" w:right="200" w:hanging="424"/>
        <w:spacing w:after="0" w:line="258"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 Source</w:t>
      </w:r>
      <w:r>
        <w:rPr>
          <w:rFonts w:ascii="Times New Roman" w:cs="Times New Roman" w:eastAsia="Times New Roman" w:hAnsi="Times New Roman"/>
          <w:sz w:val="18"/>
          <w:szCs w:val="18"/>
          <w:color w:val="auto"/>
        </w:rPr>
        <w:t>. (i)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8"/>
          <w:szCs w:val="18"/>
          <w:b w:val="1"/>
          <w:bCs w:val="1"/>
          <w:color w:val="auto"/>
        </w:rPr>
        <w:t>Open Source Software</w:t>
      </w:r>
      <w:r>
        <w:rPr>
          <w:rFonts w:ascii="Times New Roman" w:cs="Times New Roman" w:eastAsia="Times New Roman" w:hAnsi="Times New Roman"/>
          <w:sz w:val="18"/>
          <w:szCs w:val="18"/>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w:t>
      </w:r>
    </w:p>
    <w:p>
      <w:pPr>
        <w:sectPr>
          <w:pgSz w:w="11900" w:h="16838" w:orient="portrait"/>
          <w:cols w:equalWidth="0" w:num="1">
            <w:col w:w="11004"/>
          </w:cols>
          <w:pgMar w:left="436" w:top="270" w:right="459" w:bottom="1440" w:gutter="0" w:footer="0" w:header="0"/>
        </w:sectPr>
      </w:pPr>
    </w:p>
    <w:bookmarkStart w:id="18" w:name="page19"/>
    <w:bookmarkEnd w:id="18"/>
    <w:p>
      <w:pPr>
        <w:ind w:left="42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w:t>
      </w:r>
    </w:p>
    <w:p>
      <w:pPr>
        <w:spacing w:after="0" w:line="81" w:lineRule="exact"/>
        <w:rPr>
          <w:sz w:val="20"/>
          <w:szCs w:val="20"/>
          <w:color w:val="auto"/>
        </w:rPr>
      </w:pPr>
    </w:p>
    <w:p>
      <w:pPr>
        <w:ind w:left="424" w:hanging="424"/>
        <w:spacing w:after="0" w:line="256"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and its Subsidiaries have complied and are presently in compliance in all material respects with their respective published privacy policies, contractual obligations, and applicable laws relating to the collection, use, transfer, import, export, storage, protection, disposal and disclosure by the Company or its Subsidiaries of personal, personally identifiable, or household regulated data (“</w:t>
      </w:r>
      <w:r>
        <w:rPr>
          <w:rFonts w:ascii="Times New Roman" w:cs="Times New Roman" w:eastAsia="Times New Roman" w:hAnsi="Times New Roman"/>
          <w:sz w:val="18"/>
          <w:szCs w:val="18"/>
          <w:b w:val="1"/>
          <w:bCs w:val="1"/>
          <w:color w:val="auto"/>
        </w:rPr>
        <w:t>Data Security 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(ii) the Company has not received any notification of or complaint regarding any material non-compliance with any Data Security Obligation; and (iii) there is no action, suit or proceeding by or before any court or governmental agency, authority or body pending or, to the Company’s knowledge, threatened alleging non-compliance with any Data Security Obligation.</w:t>
      </w:r>
    </w:p>
    <w:p>
      <w:pPr>
        <w:spacing w:after="0" w:line="92" w:lineRule="exact"/>
        <w:rPr>
          <w:rFonts w:ascii="Times New Roman" w:cs="Times New Roman" w:eastAsia="Times New Roman" w:hAnsi="Times New Roman"/>
          <w:sz w:val="18"/>
          <w:szCs w:val="18"/>
          <w:color w:val="auto"/>
        </w:rPr>
      </w:pPr>
    </w:p>
    <w:p>
      <w:pPr>
        <w:ind w:left="424" w:right="180" w:hanging="424"/>
        <w:spacing w:after="0" w:line="254"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Breaches</w:t>
      </w:r>
      <w:r>
        <w:rPr>
          <w:rFonts w:ascii="Times New Roman" w:cs="Times New Roman" w:eastAsia="Times New Roman" w:hAnsi="Times New Roman"/>
          <w:sz w:val="18"/>
          <w:szCs w:val="18"/>
          <w:color w:val="auto"/>
        </w:rPr>
        <w:t>. The Company and its Subsidiaries have taken all reasonable technical and organizational measures designed to protect the information technology systems and Data under the Company’s and any of its Subsidiaries’ control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To the Company’s knowledge, there has been no such Breach, and the Company and its Subsidiaries have not been notified of and have no knowledge of any event or condition that would reasonably be expected to result in, any such Breach.</w:t>
      </w:r>
    </w:p>
    <w:p>
      <w:pPr>
        <w:spacing w:after="0" w:line="93" w:lineRule="exact"/>
        <w:rPr>
          <w:rFonts w:ascii="Times New Roman" w:cs="Times New Roman" w:eastAsia="Times New Roman" w:hAnsi="Times New Roman"/>
          <w:sz w:val="18"/>
          <w:szCs w:val="18"/>
          <w:color w:val="auto"/>
        </w:rPr>
      </w:pPr>
    </w:p>
    <w:p>
      <w:pPr>
        <w:ind w:left="424" w:right="80" w:hanging="424"/>
        <w:spacing w:after="0" w:line="253"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Studies</w:t>
      </w:r>
      <w:r>
        <w:rPr>
          <w:rFonts w:ascii="Times New Roman" w:cs="Times New Roman" w:eastAsia="Times New Roman" w:hAnsi="Times New Roman"/>
          <w:sz w:val="18"/>
          <w:szCs w:val="18"/>
          <w:color w:val="auto"/>
        </w:rPr>
        <w:t>. The preclinical studies and tests and clinical trials conducted by or on behalf of the Company that are described in the Registration Statement and the Prospectus (the “</w:t>
      </w:r>
      <w:r>
        <w:rPr>
          <w:rFonts w:ascii="Times New Roman" w:cs="Times New Roman" w:eastAsia="Times New Roman" w:hAnsi="Times New Roman"/>
          <w:sz w:val="18"/>
          <w:szCs w:val="18"/>
          <w:b w:val="1"/>
          <w:bCs w:val="1"/>
          <w:color w:val="auto"/>
        </w:rPr>
        <w:t>Company Studies and Trials</w:t>
      </w:r>
      <w:r>
        <w:rPr>
          <w:rFonts w:ascii="Times New Roman" w:cs="Times New Roman" w:eastAsia="Times New Roman" w:hAnsi="Times New Roman"/>
          <w:sz w:val="18"/>
          <w:szCs w:val="18"/>
          <w:color w:val="auto"/>
        </w:rPr>
        <w:t>”) were and, if still pending, are being, conducted in all material respects in accordance with applicable laws, including, without limitation, the Federal Food, Drug, and Cosmetic Act (21 U.S.C. §§ 301 et seq.) and the rules and regulations promulgated thereunder; the descriptions of the results of the Company Studies and Trials contained in the Registration Statement and the Prospectus are accurate in all material respects; the Company has no knowledge of any other studies or trials not described in the Registration Statement and the Prospectus, the results of which are inconsistent with or reasonably call into question the results described or referred to in such documents when viewed in the context in which such results are described and the stage of development; and the Company has not received any written notices, correspondence or other written communication from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any foreign, state or local governmental body exercising comparable authority requiring the termination, suspension or material modification of any Company Studies and Trials, where such termination, suspension or material modification would reasonably be expected to have a Material Adverse Effect and, to the Company’s knowledge, there are no reasonable grounds for the same. To the Company’s knowledge, none of the Company Studies and Trials involved any investigator</w:t>
      </w:r>
    </w:p>
    <w:p>
      <w:pPr>
        <w:sectPr>
          <w:pgSz w:w="11900" w:h="16838" w:orient="portrait"/>
          <w:cols w:equalWidth="0" w:num="1">
            <w:col w:w="11004"/>
          </w:cols>
          <w:pgMar w:left="436" w:top="270" w:right="459" w:bottom="1440" w:gutter="0" w:footer="0" w:header="0"/>
        </w:sectPr>
      </w:pPr>
    </w:p>
    <w:bookmarkStart w:id="19" w:name="page20"/>
    <w:bookmarkEnd w:id="19"/>
    <w:p>
      <w:pPr>
        <w:ind w:left="42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who has been disqualified as a clinical investigator by the FDA. To the Company’s knowledge, the manufacturing facilities and operations of its suppliers are operated in compliance in all material respects with all applicable statutes, rules, regulations and policies of the FDA and comparable regulatory agencies outside of the United States to which the Company is subject.</w:t>
      </w:r>
    </w:p>
    <w:p>
      <w:pPr>
        <w:spacing w:after="0" w:line="81" w:lineRule="exact"/>
        <w:rPr>
          <w:sz w:val="20"/>
          <w:szCs w:val="20"/>
          <w:color w:val="auto"/>
        </w:rPr>
      </w:pPr>
    </w:p>
    <w:p>
      <w:pPr>
        <w:ind w:left="424" w:hanging="424"/>
        <w:spacing w:after="0" w:line="251"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Health Regulations</w:t>
      </w:r>
      <w:r>
        <w:rPr>
          <w:rFonts w:ascii="Times New Roman" w:cs="Times New Roman" w:eastAsia="Times New Roman" w:hAnsi="Times New Roman"/>
          <w:sz w:val="18"/>
          <w:szCs w:val="18"/>
          <w:color w:val="auto"/>
        </w:rPr>
        <w:t>. Except as described in the Registration Statement and the Prospectus, as applicable, the Company (i) is and at all times has been in material compliance with all local, state, federal, national and supranational statutes, rules and regulations applicable to the ownership, testing, development, manufacture, packaging, processing, use, storage, import, export or disposal of any product manufactured or distributed by the Company, including, without limitation, the Federal Food, Drug and Cosmetic Act (21 U.S.C. § 301 et seq.), and the federal Anti-kickback Statute (42 U.S.C. § 1320a-7b(b)), the regulations promulgated pursuant to such laws, and any successor government programs, and comparable state laws (collectively, the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except for such non-compliance as would not, individually or in the aggregate, have a Material Adverse Effect; (ii) has not received any written notice from any court or arbitrator or governmental or regulatory authority alleging or asserting non-compliance with any Applicable Laws or any licenses, exemptions, certificates, approvals, clearances, authorizations, permits and registrations required by any such Applicable Laws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except for such non-compliance as would not, individually or in the aggregate, have a Material Adverse Effect; (iii) possesses all material Authorizations and such Authorizations are valid and in full force and effect and is not in violation of any term of any such Authorizations, except for such violations as would not, individually or in the aggregate, have a Material Adverse Effect; (iv) has not received written notice of any claim, action, suit, proceeding, hearing, enforcement, investigation, arbitration or other action from any court or arbitrator or governmental or regulatory authority alleging that any product operation or activity is in violation of any Applicable Laws or Authorizations nor, to the Company’s knowledge, is any such claim, action, suit, proceeding, hearing, enforcement, investigation, arbitration or other action threatened, except such as would not, individually or in the aggregate, have a Material Adverse Effect; (v) has not received written notice that any court or arbitrator or governmental or regulatory authority has taken, is taking or intends to take action to materially limit, suspend, materially modify or revoke any Authorizations nor, to the Company’s knowledge, is any such limitation, suspension, modification or revocation threatened, except such as would not, individually or in the aggregate, have a Material Adverse Effect; (vi) has filed, obtained, maintained or submitted all material reports, documents, forms, notices, applications, records and claims as required by any Applicable Laws or Authorizations and that all such reports, documents, forms, notices, applications, records and claims, and to the Company’s knowledge, were complete and accurate on the date filed in all material respects (or were corrected or supplemented by a subsequent submission); and (vii) to the Company’s knowledge, is not a party to any corporate integrity agreements, monitoring agreements, consent decrees, settlement orders, or similar agreements with or imposed by any governmental or regulatory authority.</w:t>
      </w:r>
    </w:p>
    <w:p>
      <w:pPr>
        <w:spacing w:after="0" w:line="110" w:lineRule="exact"/>
        <w:rPr>
          <w:rFonts w:ascii="Times New Roman" w:cs="Times New Roman" w:eastAsia="Times New Roman" w:hAnsi="Times New Roman"/>
          <w:sz w:val="18"/>
          <w:szCs w:val="18"/>
          <w:color w:val="auto"/>
        </w:rPr>
      </w:pPr>
    </w:p>
    <w:p>
      <w:pPr>
        <w:ind w:left="424" w:right="40" w:hanging="424"/>
        <w:spacing w:after="0" w:line="258"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Matters</w:t>
      </w:r>
      <w:r>
        <w:rPr>
          <w:rFonts w:ascii="Times New Roman" w:cs="Times New Roman" w:eastAsia="Times New Roman" w:hAnsi="Times New Roman"/>
          <w:sz w:val="18"/>
          <w:szCs w:val="18"/>
          <w:color w:val="auto"/>
        </w:rPr>
        <w:t>. The Company is not required to register as a “broker” or “dealer” in accordance with the provisions of the Exchange Act and does not, directly or indirectly through one or more intermediaries, control or have any other association with (within the meaning of Article I of the By-laws of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any member firm of FINRA. To the Company’s knowledge, no relationship, direct or indirect, exists between or among the Company, on the one hand, and the directors, officers or shareholders of the Company, on the</w:t>
      </w:r>
    </w:p>
    <w:p>
      <w:pPr>
        <w:sectPr>
          <w:pgSz w:w="11900" w:h="16838" w:orient="portrait"/>
          <w:cols w:equalWidth="0" w:num="1">
            <w:col w:w="11024"/>
          </w:cols>
          <w:pgMar w:left="436" w:top="270" w:right="439" w:bottom="1440" w:gutter="0" w:footer="0" w:header="0"/>
        </w:sectPr>
      </w:pPr>
    </w:p>
    <w:bookmarkStart w:id="20" w:name="page21"/>
    <w:bookmarkEnd w:id="20"/>
    <w:p>
      <w:pPr>
        <w:ind w:left="42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hand, which is required by the rules of FINRA to be described in the Registration Statement and the Prospectus, which is not so described. All of the information (including, but not limited to, information regarding affiliations, security ownership and trading activity) provided to the Agent or its counsel by the Company in connection with the filing to be made and other supplemental information to be provided to FINRA pursuant to FINRA Rule 5110 in connection with the transactions contemplated by this Agreement is true, complete and correct.</w:t>
      </w:r>
    </w:p>
    <w:p>
      <w:pPr>
        <w:spacing w:after="0" w:line="85" w:lineRule="exact"/>
        <w:rPr>
          <w:sz w:val="20"/>
          <w:szCs w:val="20"/>
          <w:color w:val="auto"/>
        </w:rPr>
      </w:pPr>
    </w:p>
    <w:p>
      <w:pPr>
        <w:ind w:left="424" w:right="260" w:hanging="424"/>
        <w:spacing w:after="0" w:line="266"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81" w:lineRule="exact"/>
        <w:rPr>
          <w:rFonts w:ascii="Times New Roman" w:cs="Times New Roman" w:eastAsia="Times New Roman" w:hAnsi="Times New Roman"/>
          <w:sz w:val="18"/>
          <w:szCs w:val="18"/>
          <w:color w:val="auto"/>
        </w:rPr>
      </w:pPr>
    </w:p>
    <w:p>
      <w:pPr>
        <w:ind w:left="424" w:right="340" w:hanging="424"/>
        <w:spacing w:after="0" w:line="261"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 Independence</w:t>
      </w:r>
      <w:r>
        <w:rPr>
          <w:rFonts w:ascii="Times New Roman" w:cs="Times New Roman" w:eastAsia="Times New Roman" w:hAnsi="Times New Roman"/>
          <w:sz w:val="18"/>
          <w:szCs w:val="18"/>
          <w:color w:val="auto"/>
        </w:rPr>
        <w:t>. Each of the independent directors (or independent director nominees, once appointed, if applicable) named in the Registration Statement and Prospectus satisfies the independence standards established by the Exchange and, with respect to members of the Company’s audit committee, the enhanced independence standards contained in Rule 10A-3(b)(1) promulgated by the Commission under the Exchange Act.</w:t>
      </w:r>
    </w:p>
    <w:p>
      <w:pPr>
        <w:spacing w:after="0" w:line="85"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92" w:lineRule="exact"/>
        <w:rPr>
          <w:rFonts w:ascii="Times New Roman" w:cs="Times New Roman" w:eastAsia="Times New Roman" w:hAnsi="Times New Roman"/>
          <w:sz w:val="18"/>
          <w:szCs w:val="18"/>
          <w:color w:val="auto"/>
        </w:rPr>
      </w:pPr>
    </w:p>
    <w:p>
      <w:pPr>
        <w:ind w:left="424" w:right="80" w:hanging="424"/>
        <w:spacing w:after="0" w:line="256"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Related-Party Transactions</w:t>
      </w:r>
      <w:r>
        <w:rPr>
          <w:rFonts w:ascii="Times New Roman" w:cs="Times New Roman" w:eastAsia="Times New Roman" w:hAnsi="Times New Roman"/>
          <w:sz w:val="18"/>
          <w:szCs w:val="18"/>
          <w:color w:val="auto"/>
        </w:rPr>
        <w:t>. There are no relationships, direct or indirect, or related party transactions involving the Company or any of its Subsidiaries or any other person (including any director, officer, stockholder, customer or supplier of the Company or any of its Subsidiaries) required to be described in the Registration Statement or the Prospectus that have not been described as required. There are no material outstanding loans, advances (except normal advances for business expenses in the ordinary course of business) or guarantees of indebtedness by the Company or any of its Subsidiaries to or for the benefit of any of the officers or directors of the Company or any of its Subsidiaries, or any of the family members of any of such persons.</w:t>
      </w:r>
    </w:p>
    <w:p>
      <w:pPr>
        <w:spacing w:after="0" w:line="9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The Company is not in or subject to a bankruptcy or insolvency proceeding in any jurisdiction.</w:t>
      </w:r>
    </w:p>
    <w:p>
      <w:pPr>
        <w:spacing w:after="0" w:line="130"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United States federal income tax returns of the Company and its Subsidiaries required by law to be filed have been filed or extensions thereof have been requested, and all taxes shown by such returns or otherwise assessed, which are due and payable, have been paid, except assessments that are being contested in good faith and as to which adequate reserves have been provided under GAAP. The Company has no knowledge of any material tax deficiency which has been or is likely to be threatened or asserted against the Company or its Subsidiaries. Each of the Company and its Subsidiaries has filed all foreign, state, provincial, local or other tax returns that are required to have been filed pursuant to applicable foreign, state, provincial, local or other law</w:t>
      </w:r>
    </w:p>
    <w:p>
      <w:pPr>
        <w:sectPr>
          <w:pgSz w:w="11900" w:h="16838" w:orient="portrait"/>
          <w:cols w:equalWidth="0" w:num="1">
            <w:col w:w="10944"/>
          </w:cols>
          <w:pgMar w:left="436" w:top="270" w:right="519" w:bottom="1440" w:gutter="0" w:footer="0" w:header="0"/>
        </w:sectPr>
      </w:pPr>
    </w:p>
    <w:bookmarkStart w:id="21" w:name="page22"/>
    <w:bookmarkEnd w:id="21"/>
    <w:p>
      <w:pPr>
        <w:ind w:left="42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insofar as the failure to file such returns would not, individually or in the aggregate, reasonably be expected to result in a Material Adverse Effect, and paid all taxes due pursuant to such returns or pursuant to any assessment received by the Company and its Subsidiaries, except for such taxes, if any, as are being contested in good faith and as to which adequate reserves have been provided and except for such taxes or assessments the nonpayment of which would not, individually or in the aggregate, reasonably be expected to result in a Material Adverse Effect. The charges, accruals and reserves on the books of the Company and its Subsidiaries in respect of any income or other tax liability for any years not finally determined are adequate to meet any assessments or re-assessments for additional tax for any years not finally determined, except to the extent of any inadequacy that would not reasonably be expected to result in a Material Adverse Effect.</w:t>
      </w:r>
    </w:p>
    <w:p>
      <w:pPr>
        <w:spacing w:after="0" w:line="94" w:lineRule="exact"/>
        <w:rPr>
          <w:sz w:val="20"/>
          <w:szCs w:val="20"/>
          <w:color w:val="auto"/>
        </w:rPr>
      </w:pPr>
    </w:p>
    <w:p>
      <w:pPr>
        <w:ind w:left="424" w:hanging="424"/>
        <w:spacing w:after="0" w:line="255"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Capitalization</w:t>
      </w:r>
      <w:r>
        <w:rPr>
          <w:rFonts w:ascii="Times New Roman" w:cs="Times New Roman" w:eastAsia="Times New Roman" w:hAnsi="Times New Roman"/>
          <w:sz w:val="18"/>
          <w:szCs w:val="18"/>
          <w:color w:val="auto"/>
        </w:rPr>
        <w:t>. At the time the Registration Statement was or will become effective and at the time the Company’s most recent annual report on Form 10-K was filed with the Commission, if later, the Company was, or will be, a “well known seasoned issuer” as defined in Rule 405 under the Securities Act and met or will meet the then applicable requirements for the use of Form S-3 under the Securities Act, including, but not limited to, General Instruction I.B.1 of Form S-3. The Registration Statement is an “automatic shelf registration statement,” as defined in Rule 405 under the Securities Act, and became effective upon filing. The Company has not received from the Commission any notice pursuant to Rule 401(g)(2) under the Securities Act objecting to the Company’s use of the automatic shelf registration form. The Company is not a shell company (as defined in Rule 405) and has not been a shell company for at least 12 calendar months previously.</w:t>
      </w:r>
    </w:p>
    <w:p>
      <w:pPr>
        <w:spacing w:after="0" w:line="81" w:lineRule="exact"/>
        <w:rPr>
          <w:sz w:val="20"/>
          <w:szCs w:val="20"/>
          <w:color w:val="auto"/>
        </w:rPr>
      </w:pPr>
    </w:p>
    <w:p>
      <w:pPr>
        <w:jc w:val="both"/>
        <w:ind w:left="444" w:firstLine="423"/>
        <w:spacing w:after="0" w:line="312" w:lineRule="auto"/>
        <w:rPr>
          <w:sz w:val="20"/>
          <w:szCs w:val="20"/>
          <w:color w:val="auto"/>
        </w:rPr>
      </w:pPr>
      <w:r>
        <w:rPr>
          <w:rFonts w:ascii="Times New Roman" w:cs="Times New Roman" w:eastAsia="Times New Roman" w:hAnsi="Times New Roman"/>
          <w:sz w:val="17"/>
          <w:szCs w:val="17"/>
          <w:color w:val="auto"/>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spacing w:after="0" w:line="45"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the Agent that:</w:t>
      </w:r>
    </w:p>
    <w:p>
      <w:pPr>
        <w:spacing w:after="0" w:line="131" w:lineRule="exact"/>
        <w:rPr>
          <w:sz w:val="20"/>
          <w:szCs w:val="20"/>
          <w:color w:val="auto"/>
        </w:rPr>
      </w:pPr>
    </w:p>
    <w:p>
      <w:pPr>
        <w:ind w:left="424" w:right="60" w:hanging="424"/>
        <w:spacing w:after="0" w:line="253"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any Placement Shares is required to be delivered by the Agent under the Securities Act (including in circumstances where such requirement may be satisfied pursuant to Rule 172 under the Securities Act or similar rule), (i) the Company will notify the Agent promptly of the time when any subsequent amendment to the Registration Statement, other than documents incorporated therein by reference, has been filed with the Commission and/or has become effective or any subsequent supplement to the Prospectus related to the Placement Shares has been filed and of any request by the Commission for any amendment or supplement to the Registration Statement (insofar as it relates to the transactions contemplated hereby)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of the Agent to make such request shall not relieve the Company of any obligation or liability hereunder, or affect the Agent’s right to rely on the representations and warranties made by the Company in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only remedy the Agent shall have with respect to the failure to make such filing shall be to cease making sales under this Agreement until such amendment or supplement is filed); (iii) the Company will not file any amendment or</w:t>
      </w:r>
    </w:p>
    <w:p>
      <w:pPr>
        <w:sectPr>
          <w:pgSz w:w="11900" w:h="16838" w:orient="portrait"/>
          <w:cols w:equalWidth="0" w:num="1">
            <w:col w:w="11004"/>
          </w:cols>
          <w:pgMar w:left="436" w:top="270" w:right="459" w:bottom="1440" w:gutter="0" w:footer="0" w:header="0"/>
        </w:sectPr>
      </w:pPr>
    </w:p>
    <w:bookmarkStart w:id="22" w:name="page23"/>
    <w:bookmarkEnd w:id="22"/>
    <w:p>
      <w:pPr>
        <w:ind w:left="42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 to the Registration Statement or Prospectus relating to the Placement Shares unless a copy thereof has been submitted to Agent within a reasonable period of time before the filing and the Agent has not reasonably objected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the failure of the Agent to make such objection shall not relieve the Company of any obligation or liability hereunder, or affect the Agent’s right to rely on the representations and warranties made by the Company in this Agreement, (B) the Company has no obligation to provide the Agent any advance copy of such filing or to provide the Agent an opportunity to object to such filing if the filing does not name the Agent or does not relate to a Placement or other transaction contemplated hereunder, and (C) the only remedy the Agent shall have with respect to the failure by the Company to obtain such consent shall be to cease making sales under this Agreement) and the Company will furnish to the Agent at the time of filing thereof a copy of any document that upon filing is deemed to be incorporated by reference into the Registration Statement or Prospectus, except for those documents available via EDGAR or any successor system;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based on the Company’s reasonable opinion or reasonable objections, shall be made exclusively by the Company).</w:t>
      </w:r>
    </w:p>
    <w:p>
      <w:pPr>
        <w:spacing w:after="0" w:line="93" w:lineRule="exact"/>
        <w:rPr>
          <w:sz w:val="20"/>
          <w:szCs w:val="20"/>
          <w:color w:val="auto"/>
        </w:rPr>
      </w:pPr>
    </w:p>
    <w:p>
      <w:pPr>
        <w:ind w:left="424" w:right="40" w:hanging="424"/>
        <w:spacing w:after="0" w:line="254"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97"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During any period in which a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similar rule), the Company will use commercially reasonable efforts to comply in all material respects with all requirements imposed upon it by the Securities Act, as from time to time in force, and to file on or before their respective due dates all reports (taking into account any extensions available under the Exchange Act)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best efforts to comply with the provisions of and make all requisite filings with the Commission pursuant to said Rule 430B and to notify the Agent promptly of all such filings. If during such period any event occurs as a result of which the Prospectus as then amended or supplemented would include an untrue statement of a material fact or omit to state a material fact necessary to make the statements therein,</w:t>
      </w:r>
    </w:p>
    <w:p>
      <w:pPr>
        <w:sectPr>
          <w:pgSz w:w="11900" w:h="16838" w:orient="portrait"/>
          <w:cols w:equalWidth="0" w:num="1">
            <w:col w:w="11024"/>
          </w:cols>
          <w:pgMar w:left="436" w:top="270" w:right="439" w:bottom="1440" w:gutter="0" w:footer="0" w:header="0"/>
        </w:sectPr>
      </w:pPr>
    </w:p>
    <w:bookmarkStart w:id="23" w:name="page24"/>
    <w:bookmarkEnd w:id="23"/>
    <w:p>
      <w:pPr>
        <w:ind w:left="42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(it being acknowledged that the Company may delay the filing of any amendment or supplement, if, in the judgment of the Company, it is in the best interest of the Company).</w:t>
      </w:r>
    </w:p>
    <w:p>
      <w:pPr>
        <w:spacing w:after="0" w:line="89" w:lineRule="exact"/>
        <w:rPr>
          <w:sz w:val="20"/>
          <w:szCs w:val="20"/>
          <w:color w:val="auto"/>
        </w:rPr>
      </w:pPr>
    </w:p>
    <w:p>
      <w:pPr>
        <w:ind w:left="424" w:right="760" w:hanging="424"/>
        <w:spacing w:after="0" w:line="282"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Prior to the date of the first Placement Notice, the Company will use its reasonable best efforts to cause the Placement Shares to be listed on the Exchange.</w:t>
      </w:r>
    </w:p>
    <w:p>
      <w:pPr>
        <w:spacing w:after="0" w:line="67"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Agent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Agent to the extent such document is available on EDGAR or any successor system.</w:t>
      </w:r>
    </w:p>
    <w:p>
      <w:pPr>
        <w:spacing w:after="0" w:line="97" w:lineRule="exact"/>
        <w:rPr>
          <w:rFonts w:ascii="Times New Roman" w:cs="Times New Roman" w:eastAsia="Times New Roman" w:hAnsi="Times New Roman"/>
          <w:sz w:val="18"/>
          <w:szCs w:val="18"/>
          <w:color w:val="auto"/>
        </w:rPr>
      </w:pPr>
    </w:p>
    <w:p>
      <w:pPr>
        <w:ind w:left="424" w:right="240" w:hanging="424"/>
        <w:spacing w:after="0" w:line="261"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Statement</w:t>
      </w:r>
      <w:r>
        <w:rPr>
          <w:rFonts w:ascii="Times New Roman" w:cs="Times New Roman" w:eastAsia="Times New Roman" w:hAnsi="Times New Roman"/>
          <w:sz w:val="18"/>
          <w:szCs w:val="18"/>
          <w:color w:val="auto"/>
        </w:rPr>
        <w:t xml:space="preserve">. The Company will make generally available to its security holders as soon as practicable, but in any event not later than 15 months after the end of the Company’s current fiscal quarter, an earning statement (which need not be audited) covering a 12-month period that satisfies the provisions of Section 11(a) and Rule 158 of the 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will be deemed to have made available such statement to its security holders at the time and to the extent it is available on EDGAR or any successor system.</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130" w:lineRule="exact"/>
        <w:rPr>
          <w:rFonts w:ascii="Times New Roman" w:cs="Times New Roman" w:eastAsia="Times New Roman" w:hAnsi="Times New Roman"/>
          <w:sz w:val="18"/>
          <w:szCs w:val="18"/>
          <w:color w:val="auto"/>
        </w:rPr>
      </w:pPr>
    </w:p>
    <w:p>
      <w:pPr>
        <w:ind w:left="424" w:right="60" w:hanging="424"/>
        <w:spacing w:after="0" w:line="230"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Without the prior written consent of the Agent,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Trading Day immediately prior to the date on which any Placement Notice is delivered to Agent hereunder and ending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w:t>
      </w:r>
    </w:p>
    <w:p>
      <w:pPr>
        <w:sectPr>
          <w:pgSz w:w="11900" w:h="16838" w:orient="portrait"/>
          <w:cols w:equalWidth="0" w:num="1">
            <w:col w:w="11004"/>
          </w:cols>
          <w:pgMar w:left="436" w:top="270" w:right="459" w:bottom="1440" w:gutter="0" w:footer="0" w:header="0"/>
        </w:sectPr>
      </w:pPr>
    </w:p>
    <w:bookmarkStart w:id="24" w:name="page25"/>
    <w:bookmarkEnd w:id="24"/>
    <w:p>
      <w:pPr>
        <w:ind w:left="424"/>
        <w:spacing w:after="0" w:line="24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to purchase or acquire, Common Stock prior to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immediately following the termination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restrictions will not be required in connection with the Company’s issuance or sale of (i) Common Stock, options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other equity awards for Common Stock, or Common Stock issuable upon the exercise of options or vesting and settlement of any equity awards, pursuant to any employee or director stock option or benefits plan, stock ownership plan or dividend reinvestment plan (but not Common Stock subject to a waiver to exceed plan limits in its dividend reinvestment plan) or other compensation plan of the Company whether now in effect or hereafter implemented (including any amendments or modifications to the foregoing), (ii) Common Stock issuable upon conversion of securities or the exercise of warrants, options or other rights in effect or outstanding, and disclosed in filings by the Company available on EDGAR or any successor system or otherwise in writing to the Agent and (iii) Common Stock or securities convertible into or exchangeable for shares of Common Stock as consideration for mergers, acquisitions, other business combinations, joint ventures or strategic alliances, marketing or distribution arrangements, collaboration agreements, co-promotion agreements or intellectual property license agreements occurring after the date of this Agreement which are not issued for capital raising purposes.</w:t>
      </w:r>
    </w:p>
    <w:p>
      <w:pPr>
        <w:spacing w:after="0" w:line="101" w:lineRule="exact"/>
        <w:rPr>
          <w:sz w:val="20"/>
          <w:szCs w:val="20"/>
          <w:color w:val="auto"/>
        </w:rPr>
      </w:pPr>
    </w:p>
    <w:p>
      <w:pPr>
        <w:ind w:left="424" w:right="340" w:hanging="424"/>
        <w:spacing w:after="0" w:line="266"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w:t>
      </w:r>
    </w:p>
    <w:p>
      <w:pPr>
        <w:spacing w:after="0" w:line="81"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The Company will reasonably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or remote digital access, as the Agent may reasonably request.</w:t>
      </w:r>
    </w:p>
    <w:p>
      <w:pPr>
        <w:spacing w:after="0" w:line="85"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The Company shall disclose, in its quarterly reports on Form 10-Q and in its Annual Report on Form 10-K to be filed by the Company with the Commission from time to time, the number of the Placement Shares sold through the Agent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 The Company agrees that on such dates as the Securities Act shall require, the Company will (i) file a prospectus supplement with the Commission under the applicable paragraph of Rule 424(b) under the Securities Act (each and every filing date under Rule 424(b), a “</w:t>
      </w:r>
      <w:r>
        <w:rPr>
          <w:rFonts w:ascii="Times New Roman" w:cs="Times New Roman" w:eastAsia="Times New Roman" w:hAnsi="Times New Roman"/>
          <w:sz w:val="18"/>
          <w:szCs w:val="18"/>
          <w:b w:val="1"/>
          <w:bCs w:val="1"/>
          <w:u w:val="single" w:color="auto"/>
          <w:color w:val="auto"/>
        </w:rPr>
        <w:t>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Date</w:t>
      </w:r>
      <w:r>
        <w:rPr>
          <w:rFonts w:ascii="Times New Roman" w:cs="Times New Roman" w:eastAsia="Times New Roman" w:hAnsi="Times New Roman"/>
          <w:sz w:val="18"/>
          <w:szCs w:val="18"/>
          <w:color w:val="auto"/>
        </w:rPr>
        <w:t>”), which prospectus supplement will set forth, within the relevant period, the amount of Placement Shares sold through the Agent, the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w:t>
      </w:r>
    </w:p>
    <w:p>
      <w:pPr>
        <w:sectPr>
          <w:pgSz w:w="11900" w:h="16838" w:orient="portrait"/>
          <w:cols w:equalWidth="0" w:num="1">
            <w:col w:w="11004"/>
          </w:cols>
          <w:pgMar w:left="436" w:top="268" w:right="459" w:bottom="1440" w:gutter="0" w:footer="0" w:header="0"/>
        </w:sectPr>
      </w:pPr>
    </w:p>
    <w:bookmarkStart w:id="25" w:name="page26"/>
    <w:bookmarkEnd w:id="25"/>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 Dates; Certificate</w:t>
      </w:r>
      <w:r>
        <w:rPr>
          <w:rFonts w:ascii="Times New Roman" w:cs="Times New Roman" w:eastAsia="Times New Roman" w:hAnsi="Times New Roman"/>
          <w:sz w:val="18"/>
          <w:szCs w:val="18"/>
          <w:color w:val="auto"/>
        </w:rPr>
        <w:t>. (1) Prior to the date of the first Placement Notice and (2) each time the Company:</w:t>
      </w:r>
    </w:p>
    <w:p>
      <w:pPr>
        <w:spacing w:after="0" w:line="117" w:lineRule="exact"/>
        <w:rPr>
          <w:rFonts w:ascii="Times New Roman" w:cs="Times New Roman" w:eastAsia="Times New Roman" w:hAnsi="Times New Roman"/>
          <w:sz w:val="18"/>
          <w:szCs w:val="18"/>
          <w:color w:val="auto"/>
        </w:rPr>
      </w:pPr>
    </w:p>
    <w:p>
      <w:pPr>
        <w:ind w:left="444" w:firstLine="1371"/>
        <w:spacing w:after="0" w:line="261" w:lineRule="auto"/>
        <w:tabs>
          <w:tab w:leader="none" w:pos="203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71" w:lineRule="exact"/>
        <w:rPr>
          <w:rFonts w:ascii="Times New Roman" w:cs="Times New Roman" w:eastAsia="Times New Roman" w:hAnsi="Times New Roman"/>
          <w:sz w:val="18"/>
          <w:szCs w:val="18"/>
          <w:color w:val="auto"/>
        </w:rPr>
      </w:pPr>
    </w:p>
    <w:p>
      <w:pPr>
        <w:ind w:left="444" w:right="140" w:firstLine="1371"/>
        <w:spacing w:after="0" w:line="282" w:lineRule="auto"/>
        <w:tabs>
          <w:tab w:leader="none" w:pos="208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 (including any Form 10-K/A containing amended financial information or a material amendment to the previously filed Form 10-K);</w:t>
      </w:r>
    </w:p>
    <w:p>
      <w:pPr>
        <w:spacing w:after="0" w:line="53" w:lineRule="exact"/>
        <w:rPr>
          <w:rFonts w:ascii="Times New Roman" w:cs="Times New Roman" w:eastAsia="Times New Roman" w:hAnsi="Times New Roman"/>
          <w:sz w:val="18"/>
          <w:szCs w:val="18"/>
          <w:color w:val="auto"/>
        </w:rPr>
      </w:pPr>
    </w:p>
    <w:p>
      <w:pPr>
        <w:ind w:left="2124" w:hanging="309"/>
        <w:spacing w:after="0"/>
        <w:tabs>
          <w:tab w:leader="none" w:pos="212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its Quarterly Reports on Form 10-Q under the Exchange Act; or</w:t>
      </w:r>
    </w:p>
    <w:p>
      <w:pPr>
        <w:spacing w:after="0" w:line="117" w:lineRule="exact"/>
        <w:rPr>
          <w:rFonts w:ascii="Times New Roman" w:cs="Times New Roman" w:eastAsia="Times New Roman" w:hAnsi="Times New Roman"/>
          <w:sz w:val="18"/>
          <w:szCs w:val="18"/>
          <w:color w:val="auto"/>
        </w:rPr>
      </w:pPr>
    </w:p>
    <w:p>
      <w:pPr>
        <w:jc w:val="both"/>
        <w:ind w:left="444" w:right="60" w:firstLine="1371"/>
        <w:spacing w:after="0" w:line="261" w:lineRule="auto"/>
        <w:tabs>
          <w:tab w:leader="none" w:pos="212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44" w:right="20"/>
        <w:spacing w:after="0" w:line="253" w:lineRule="auto"/>
        <w:rPr>
          <w:sz w:val="20"/>
          <w:szCs w:val="20"/>
          <w:color w:val="auto"/>
        </w:rPr>
      </w:pPr>
      <w:r>
        <w:rPr>
          <w:rFonts w:ascii="Times New Roman" w:cs="Times New Roman" w:eastAsia="Times New Roman" w:hAnsi="Times New Roman"/>
          <w:sz w:val="18"/>
          <w:szCs w:val="18"/>
          <w:color w:val="auto"/>
        </w:rPr>
        <w:t xml:space="preserve">the Company shall furnish the Agent (but in the case of clause (iv) above only if the Agent reasonably determines that the information contained in such Form 8-K is material) with a certificate dated the Representation Date, in the form and substance satisfactory to the Agent and its counsel, substantially similar to the form previously provided to the Agent and its counsel, modified, as necessary, to relate to the Registration Statement and the Prospectus as amended or supplemented. The requirement to provide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shall be automatically waived for any Representation Date occurring at a time a when no Placement Notice is outstanding or Suspension is in effect, which waiver shall continue until the earlier to occur of the date the Company delivers instructions for the sale of Placement Shares hereunder (which for such calendar quarter shall be considered a Representation Date) and the next occurring Representation Date. Notwithstanding the foregoing, if the Company subsequently decides to sell Placement Shares following a Representation Date when a Suspension was in effect and did not provide the Agent with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then before the Company delivers the instructions for the sale of Placement Shares or the Agent sells any Placement Shares pursuant to such instructions, the Company shall provide the Agent with a certificate in conformity with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dated as of the date that the instructions for the sale of Placement Shares are issued.</w:t>
      </w:r>
    </w:p>
    <w:p>
      <w:pPr>
        <w:spacing w:after="0" w:line="97" w:lineRule="exact"/>
        <w:rPr>
          <w:sz w:val="20"/>
          <w:szCs w:val="20"/>
          <w:color w:val="auto"/>
        </w:rPr>
      </w:pPr>
    </w:p>
    <w:p>
      <w:pPr>
        <w:ind w:left="424" w:right="60" w:hanging="424"/>
        <w:spacing w:after="0" w:line="255"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xml:space="preserve">. (1)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the Company shall cause to be furnished to the Agent (a) a written opinion and negative assurance letter of Goodwin Procter LLP, or other counsel satisfactory to the Agent, (b) written opinion of White &amp; Case LLP and Wolf, Greenfield &amp; Sacks, P.C., intellectual property counsels for the Company, or other counsel satisfactory to the Agent, and (c), if requested by the Agent, a written opinion and negative assurance letter of Wilmer Cutler Pickering Hale and Dorr, LLP, counsel to the Agent, or other counsel satisfactory to the Agent, in each case in form and substance reasonably satisfactory to the Agent and its counsel, substantially similar to the form</w:t>
      </w:r>
    </w:p>
    <w:p>
      <w:pPr>
        <w:sectPr>
          <w:pgSz w:w="11900" w:h="16838" w:orient="portrait"/>
          <w:cols w:equalWidth="0" w:num="1">
            <w:col w:w="11004"/>
          </w:cols>
          <w:pgMar w:left="436" w:top="270" w:right="459" w:bottom="1440" w:gutter="0" w:footer="0" w:header="0"/>
        </w:sectPr>
      </w:pPr>
    </w:p>
    <w:bookmarkStart w:id="26" w:name="page27"/>
    <w:bookmarkEnd w:id="26"/>
    <w:p>
      <w:pPr>
        <w:ind w:left="42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previously provided to the Agent and its counsel,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lieu of such opinions for subsequent periodic filings under the Exchange Act, counsel may furnish the Agent with a letter (a “</w:t>
      </w:r>
      <w:r>
        <w:rPr>
          <w:rFonts w:ascii="Times New Roman" w:cs="Times New Roman" w:eastAsia="Times New Roman" w:hAnsi="Times New Roman"/>
          <w:sz w:val="18"/>
          <w:szCs w:val="18"/>
          <w:b w:val="1"/>
          <w:bCs w:val="1"/>
          <w:u w:val="single" w:color="auto"/>
          <w:color w:val="auto"/>
        </w:rPr>
        <w:t>Reliance Letter</w:t>
      </w:r>
      <w:r>
        <w:rPr>
          <w:rFonts w:ascii="Times New Roman" w:cs="Times New Roman" w:eastAsia="Times New Roman" w:hAnsi="Times New Roman"/>
          <w:sz w:val="18"/>
          <w:szCs w:val="18"/>
          <w:color w:val="auto"/>
        </w:rPr>
        <w:t xml:space="preserve">”) to the effect that the Agent may rely on a prior opinion delivered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to the same extent as if it were dated the date of such letter (except that statements in such prior opinion shall be deemed to relate to the Registration Statement and the Prospectus as amended or supplemented as of the date of the Reliance Letter).</w:t>
      </w:r>
    </w:p>
    <w:p>
      <w:pPr>
        <w:spacing w:after="0" w:line="89" w:lineRule="exact"/>
        <w:rPr>
          <w:sz w:val="20"/>
          <w:szCs w:val="20"/>
          <w:color w:val="auto"/>
        </w:rPr>
      </w:pPr>
    </w:p>
    <w:p>
      <w:pPr>
        <w:ind w:left="424" w:right="20" w:hanging="424"/>
        <w:spacing w:after="0" w:line="253"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(1)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the Company shall cause its independent registered public accounting firm to furnish the Agent letters (the “</w:t>
      </w:r>
      <w:r>
        <w:rPr>
          <w:rFonts w:ascii="Times New Roman" w:cs="Times New Roman" w:eastAsia="Times New Roman" w:hAnsi="Times New Roman"/>
          <w:sz w:val="18"/>
          <w:szCs w:val="18"/>
          <w:b w:val="1"/>
          <w:bCs w:val="1"/>
          <w:u w:val="single" w:color="auto"/>
          <w:color w:val="auto"/>
        </w:rPr>
        <w:t>Comfort Letters</w:t>
      </w:r>
      <w:r>
        <w:rPr>
          <w:rFonts w:ascii="Times New Roman" w:cs="Times New Roman" w:eastAsia="Times New Roman" w:hAnsi="Times New Roman"/>
          <w:sz w:val="18"/>
          <w:szCs w:val="18"/>
          <w:color w:val="auto"/>
        </w:rPr>
        <w:t xml:space="preserve">”), dated the date the Comfort Letter is delivered, which shall meet the requirements set forth in this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requested by the Agent, the Company shall cause a Comfort Letter to be furnished to the Agent within ten (10) Trading Days of the date of occurrence of any material transaction or event requiring the filing of a Current Report on Form 8-K containing financial information ( including the restatement of the Company’s financial statements). The Comfort Letter from the Company’s independent registered public accounting firm shall be in a form and substance satisfactory to the Agent,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b w:val="1"/>
          <w:bCs w:val="1"/>
          <w:u w:val="single" w:color="auto"/>
          <w:color w:val="auto"/>
        </w:rPr>
        <w:t>Initial 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92" w:lineRule="exact"/>
        <w:rPr>
          <w:rFonts w:ascii="Times New Roman" w:cs="Times New Roman" w:eastAsia="Times New Roman" w:hAnsi="Times New Roman"/>
          <w:sz w:val="18"/>
          <w:szCs w:val="18"/>
          <w:color w:val="auto"/>
        </w:rPr>
      </w:pPr>
    </w:p>
    <w:p>
      <w:pPr>
        <w:ind w:left="424" w:right="100" w:hanging="424"/>
        <w:spacing w:after="0" w:line="261"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 Compliance with Regulation M</w:t>
      </w:r>
      <w:r>
        <w:rPr>
          <w:rFonts w:ascii="Times New Roman" w:cs="Times New Roman" w:eastAsia="Times New Roman" w:hAnsi="Times New Roman"/>
          <w:sz w:val="18"/>
          <w:szCs w:val="18"/>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the Agent.</w:t>
      </w:r>
    </w:p>
    <w:p>
      <w:pPr>
        <w:spacing w:after="0" w:line="85" w:lineRule="exact"/>
        <w:rPr>
          <w:rFonts w:ascii="Times New Roman" w:cs="Times New Roman" w:eastAsia="Times New Roman" w:hAnsi="Times New Roman"/>
          <w:sz w:val="18"/>
          <w:szCs w:val="18"/>
          <w:color w:val="auto"/>
        </w:rPr>
      </w:pPr>
    </w:p>
    <w:p>
      <w:pPr>
        <w:ind w:left="424" w:right="240" w:hanging="424"/>
        <w:spacing w:after="0" w:line="266"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spacing w:after="0" w:line="81" w:lineRule="exact"/>
        <w:rPr>
          <w:rFonts w:ascii="Times New Roman" w:cs="Times New Roman" w:eastAsia="Times New Roman" w:hAnsi="Times New Roman"/>
          <w:sz w:val="18"/>
          <w:szCs w:val="18"/>
          <w:color w:val="auto"/>
        </w:rPr>
      </w:pPr>
    </w:p>
    <w:p>
      <w:pPr>
        <w:ind w:left="424" w:right="140" w:hanging="424"/>
        <w:spacing w:after="0" w:line="261"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an Issuer Free Writing Prospectus approved in advance by the Company and the Agent in its capacity as agent hereunder, neither the Agent nor the Company (including its agents and representatives, other than the Agent in its capacity as such) will make, use, prepare, authorize, approve or refer to any written communication (as defined in Rule 405 under the Securities Act Regulations), required to be filed with the Commission, that constitutes an offer to sell or solicitation of an offer to buy Placement Shares hereunder.</w:t>
      </w:r>
    </w:p>
    <w:p>
      <w:pPr>
        <w:sectPr>
          <w:pgSz w:w="11900" w:h="16838" w:orient="portrait"/>
          <w:cols w:equalWidth="0" w:num="1">
            <w:col w:w="11004"/>
          </w:cols>
          <w:pgMar w:left="436" w:top="270" w:right="459" w:bottom="1440" w:gutter="0" w:footer="0" w:header="0"/>
        </w:sectPr>
      </w:pPr>
    </w:p>
    <w:bookmarkStart w:id="27" w:name="page28"/>
    <w:bookmarkEnd w:id="27"/>
    <w:p>
      <w:pPr>
        <w:ind w:left="424" w:hanging="424"/>
        <w:spacing w:after="0" w:line="254"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Blue Sky and Other Qualifications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reasonably designate and to maintain such qualifications and exemptions in effect for so long as reasonably required for the distribution of the Placement Shares (but in no event for less than one year from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reasonably required for the distribution of the Placement Shares (but in no event for less than one year from the date of this Agreement).</w:t>
      </w:r>
    </w:p>
    <w:p>
      <w:pPr>
        <w:spacing w:after="0" w:line="92" w:lineRule="exact"/>
        <w:rPr>
          <w:rFonts w:ascii="Times New Roman" w:cs="Times New Roman" w:eastAsia="Times New Roman" w:hAnsi="Times New Roman"/>
          <w:sz w:val="18"/>
          <w:szCs w:val="18"/>
          <w:color w:val="auto"/>
        </w:rPr>
      </w:pPr>
    </w:p>
    <w:p>
      <w:pPr>
        <w:ind w:left="424" w:right="120" w:hanging="424"/>
        <w:spacing w:after="0" w:line="255"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w:t>
      </w:r>
    </w:p>
    <w:p>
      <w:pPr>
        <w:spacing w:after="0" w:line="2" w:lineRule="exact"/>
        <w:rPr>
          <w:rFonts w:ascii="Times New Roman" w:cs="Times New Roman" w:eastAsia="Times New Roman" w:hAnsi="Times New Roman"/>
          <w:sz w:val="18"/>
          <w:szCs w:val="18"/>
          <w:color w:val="auto"/>
        </w:rPr>
      </w:pPr>
    </w:p>
    <w:p>
      <w:pPr>
        <w:ind w:left="424" w:right="40" w:firstLine="8"/>
        <w:spacing w:after="0" w:line="267" w:lineRule="auto"/>
        <w:tabs>
          <w:tab w:leader="none" w:pos="689"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85" w:lineRule="exact"/>
        <w:rPr>
          <w:rFonts w:ascii="Times New Roman" w:cs="Times New Roman" w:eastAsia="Times New Roman" w:hAnsi="Times New Roman"/>
          <w:sz w:val="17"/>
          <w:szCs w:val="17"/>
          <w:color w:val="auto"/>
        </w:rPr>
      </w:pPr>
    </w:p>
    <w:p>
      <w:pPr>
        <w:ind w:left="424" w:right="20" w:hanging="424"/>
        <w:spacing w:after="0" w:line="270" w:lineRule="auto"/>
        <w:tabs>
          <w:tab w:leader="none" w:pos="42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Secretary’s Certificate; Further Documentation</w:t>
      </w:r>
      <w:r>
        <w:rPr>
          <w:rFonts w:ascii="Times New Roman" w:cs="Times New Roman" w:eastAsia="Times New Roman" w:hAnsi="Times New Roman"/>
          <w:sz w:val="17"/>
          <w:szCs w:val="17"/>
          <w:color w:val="auto"/>
        </w:rPr>
        <w:t>. Prior to the date of the first Placement Notice, the Company shall deliver to the Agent a certificate of the Secretary of the Company and attested to by an executive officer of the Company, dated as of such date, certifying as to (i) the Certificate of Incorporation of the Company, (ii) the By-laws of the Company, (iii) the resolutions of the Board of Directors of the Company and any other authorized committee authorizing the execution, delivery and performance of this Agreement and the issuance of the Placement Shares and</w:t>
      </w:r>
    </w:p>
    <w:p>
      <w:pPr>
        <w:spacing w:after="0" w:line="2" w:lineRule="exact"/>
        <w:rPr>
          <w:rFonts w:ascii="Times New Roman" w:cs="Times New Roman" w:eastAsia="Times New Roman" w:hAnsi="Times New Roman"/>
          <w:sz w:val="17"/>
          <w:szCs w:val="17"/>
          <w:color w:val="auto"/>
        </w:rPr>
      </w:pPr>
    </w:p>
    <w:p>
      <w:pPr>
        <w:ind w:left="424" w:right="200" w:firstLine="8"/>
        <w:spacing w:after="0" w:line="255" w:lineRule="auto"/>
        <w:tabs>
          <w:tab w:leader="none" w:pos="72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incumbency of the officers duly authorized to execute this Agreement and the other documents contemplated by this Agreement. Within five (5) Trading Days of each Representation Date, the Company shall have furnished to the Agent such further information, certificates and documents as the Agent may reasonably request.</w:t>
      </w:r>
    </w:p>
    <w:p>
      <w:pPr>
        <w:sectPr>
          <w:pgSz w:w="11900" w:h="16838" w:orient="portrait"/>
          <w:cols w:equalWidth="0" w:num="1">
            <w:col w:w="11004"/>
          </w:cols>
          <w:pgMar w:left="436" w:top="268" w:right="459" w:bottom="1440" w:gutter="0" w:footer="0" w:header="0"/>
        </w:sectPr>
      </w:pPr>
    </w:p>
    <w:bookmarkStart w:id="28" w:name="page29"/>
    <w:bookmarkEnd w:id="28"/>
    <w:p>
      <w:pPr>
        <w:ind w:left="424" w:right="120" w:hanging="424"/>
        <w:spacing w:after="0" w:line="282"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Emerging Growth Company Status</w:t>
      </w:r>
      <w:r>
        <w:rPr>
          <w:rFonts w:ascii="Times New Roman" w:cs="Times New Roman" w:eastAsia="Times New Roman" w:hAnsi="Times New Roman"/>
          <w:sz w:val="18"/>
          <w:szCs w:val="18"/>
          <w:color w:val="auto"/>
        </w:rPr>
        <w:t>. The Company will promptly notify the Agent if the Company ceases to be an Emerging Growth Company at any time during the term of this Agreement.</w:t>
      </w:r>
    </w:p>
    <w:p>
      <w:pPr>
        <w:spacing w:after="0" w:line="67" w:lineRule="exact"/>
        <w:rPr>
          <w:sz w:val="20"/>
          <w:szCs w:val="20"/>
          <w:color w:val="auto"/>
        </w:rPr>
      </w:pPr>
    </w:p>
    <w:p>
      <w:pPr>
        <w:ind w:left="424" w:hanging="424"/>
        <w:spacing w:after="0" w:line="251" w:lineRule="auto"/>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xml:space="preserve">.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in such number as the Agent shall deem necessary, (ii) the printing and delivery to the Agent of this Agreement and such other documents as may be required in connection with the offering, purchase, sale, issuance or delivery of the Placement Shares, (iii) the preparation, issuance and delivery of the certificates, if any, for the Placement Shares to the Agent, including any stock or other transfer taxes and any capital duties, stamp duties or other duties or taxes payable upon the sale, issuance or delivery of the Placement Shares to the Agent, (iv) the fees and disbursements of the counsel, accountants and other advisors to the Company, (v) the reasonable and documented fees and expenses of Agent including but not limited to the fees and expenses of the counsel to the Agent, payable upon the execution of this Agreement, (a) in an amount not to exceed $75,000 in connection with the execution of this Agreement, (b) in an amount not to exceed $15,000 per calendar quarter thereafter payable in connection with each Representation Date (other than a Representation Date associated with the Company’s filing of an Annual Report on Form 10-K)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(c) in an amount not to exceed $25,000 per calendar quarter thereafter payable in connection with each Representation Date associated with the Company’s filing of an Annual Report on Form 10-K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and (d) in an amount not to exceed $50,000 for each program “refresh” (filing of a new registration statement, prospectus or prospectus supplement relating to the Placement Shares and/or an amendment of this Agreement) executed pursuant to this Agreement, (vi) the qualification or exemption of the Placement Shares under state securities laws in accordance with the provisions of </w:t>
      </w:r>
      <w:r>
        <w:rPr>
          <w:rFonts w:ascii="Times New Roman" w:cs="Times New Roman" w:eastAsia="Times New Roman" w:hAnsi="Times New Roman"/>
          <w:sz w:val="18"/>
          <w:szCs w:val="18"/>
          <w:u w:val="single" w:color="auto"/>
          <w:color w:val="auto"/>
        </w:rPr>
        <w:t>Section 7(r)</w:t>
      </w:r>
      <w:r>
        <w:rPr>
          <w:rFonts w:ascii="Times New Roman" w:cs="Times New Roman" w:eastAsia="Times New Roman" w:hAnsi="Times New Roman"/>
          <w:sz w:val="18"/>
          <w:szCs w:val="18"/>
          <w:color w:val="auto"/>
        </w:rPr>
        <w:t xml:space="preserve"> hereof, including filing fees, but excluding fees of the Agent’s counsel, (vii) the printing and delivery to the Agent of copies of any Permitted Issuer Free Writing Prospectus and the Prospectus and any amendments or supplements thereto in such number as the Agent shall deem necessary, (viii) the preparation, printing and delivery to the Agent of copies of the blue sky survey, (ix) the fees and expenses of the transfer agent and registrar for the Common Stock, (x) the filing and other fees incident to any review by FINRA of the terms of the sale of the Placement Shares including the reasonable and documented fees of the Agent’s counsel;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reasonable and documented fees and associated expenses of the counsel for the Agent in connection with the Company’s filings with the FINRA shall not exceed $15,000 (subject to the cap, set forth in clause (v) above), and (xi) the fees and expenses incurred in connection with the listing of the Placement Shares on the Exchange. The Company agrees to pay the reasonable and documented fees and expenses of counsel to the Agent set forth in clause (v) above by wire transfer of immediately available funds directly to such counsel upon presentation of an invoice containing the requisite payment information prepared by such counsel.</w:t>
      </w:r>
    </w:p>
    <w:p>
      <w:pPr>
        <w:sectPr>
          <w:pgSz w:w="11900" w:h="16838" w:orient="portrait"/>
          <w:cols w:equalWidth="0" w:num="1">
            <w:col w:w="11004"/>
          </w:cols>
          <w:pgMar w:left="436" w:top="270" w:right="459" w:bottom="1440" w:gutter="0" w:footer="0" w:header="0"/>
        </w:sectPr>
      </w:pPr>
    </w:p>
    <w:bookmarkStart w:id="29" w:name="page30"/>
    <w:bookmarkEnd w:id="29"/>
    <w:p>
      <w:pPr>
        <w:ind w:left="424" w:right="40" w:hanging="424"/>
        <w:spacing w:after="0" w:line="261"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to Agent’s Obligations</w:t>
      </w:r>
      <w:r>
        <w:rPr>
          <w:rFonts w:ascii="Times New Roman" w:cs="Times New Roman" w:eastAsia="Times New Roman" w:hAnsi="Times New Roman"/>
          <w:sz w:val="18"/>
          <w:szCs w:val="18"/>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it in its reasonable judgment, and to the continuing satisfaction (or waiver by the Agent in its sole discretion) of the following additional conditions:</w:t>
      </w:r>
    </w:p>
    <w:p>
      <w:pPr>
        <w:spacing w:after="0" w:line="85" w:lineRule="exact"/>
        <w:rPr>
          <w:sz w:val="20"/>
          <w:szCs w:val="20"/>
          <w:color w:val="auto"/>
        </w:rPr>
      </w:pPr>
    </w:p>
    <w:p>
      <w:pPr>
        <w:jc w:val="both"/>
        <w:ind w:left="424" w:right="40" w:hanging="424"/>
        <w:spacing w:after="0" w:line="282"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have become effective and shall be available for the (i) resale of all Placement Shares issued to the Agent and not yet sold by the Agent and (ii) sale of all Placement Shares contemplated to be issued by any Placement Notice.</w:t>
      </w:r>
    </w:p>
    <w:p>
      <w:pPr>
        <w:spacing w:after="0" w:line="67"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a material fact made in the Registration Statement or the Prospectus or any document incorporated or deemed to be incorporated therein by reference untrue or that requires the making of any changes in the Registration Statement, the Prospectus or documents so that, in the case of the Registration Statement, it will not contain an untrue statement of a material fact or omit to state any material fact required to be stated therein or necessary to make the statements therein not misleading and, that in the case of the Prospectus, it will not contain an untrue statement of a material fact or omit to state a material fact required to be stated therein or necessary to make the statements therein, in the light of the circumstances under which they were made, not misleading.</w:t>
      </w:r>
    </w:p>
    <w:p>
      <w:pPr>
        <w:spacing w:after="0" w:line="92" w:lineRule="exact"/>
        <w:rPr>
          <w:rFonts w:ascii="Times New Roman" w:cs="Times New Roman" w:eastAsia="Times New Roman" w:hAnsi="Times New Roman"/>
          <w:sz w:val="18"/>
          <w:szCs w:val="18"/>
          <w:color w:val="auto"/>
        </w:rPr>
      </w:pPr>
    </w:p>
    <w:p>
      <w:pPr>
        <w:ind w:left="424" w:hanging="424"/>
        <w:spacing w:after="0" w:line="289" w:lineRule="auto"/>
        <w:tabs>
          <w:tab w:leader="none" w:pos="42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Misstatement or Material Omission</w:t>
      </w:r>
      <w:r>
        <w:rPr>
          <w:rFonts w:ascii="Times New Roman" w:cs="Times New Roman" w:eastAsia="Times New Roman" w:hAnsi="Times New Roman"/>
          <w:sz w:val="17"/>
          <w:szCs w:val="17"/>
          <w:color w:val="auto"/>
        </w:rPr>
        <w:t>.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63" w:lineRule="exact"/>
        <w:rPr>
          <w:rFonts w:ascii="Times New Roman" w:cs="Times New Roman" w:eastAsia="Times New Roman" w:hAnsi="Times New Roman"/>
          <w:sz w:val="17"/>
          <w:szCs w:val="17"/>
          <w:color w:val="auto"/>
        </w:rPr>
      </w:pPr>
    </w:p>
    <w:p>
      <w:pPr>
        <w:ind w:left="424" w:right="20" w:hanging="424"/>
        <w:spacing w:after="0" w:line="254"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in the authorized capital stock of the Company or any Material Adverse Effect or any development that would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ectPr>
          <w:pgSz w:w="11900" w:h="16838" w:orient="portrait"/>
          <w:cols w:equalWidth="0" w:num="1">
            <w:col w:w="10984"/>
          </w:cols>
          <w:pgMar w:left="436" w:top="270" w:right="479" w:bottom="1440" w:gutter="0" w:footer="0" w:header="0"/>
        </w:sectPr>
      </w:pPr>
    </w:p>
    <w:bookmarkStart w:id="30" w:name="page31"/>
    <w:bookmarkEnd w:id="30"/>
    <w:p>
      <w:pPr>
        <w:ind w:left="424" w:right="20" w:hanging="424"/>
        <w:spacing w:after="0" w:line="282"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Opinions</w:t>
      </w:r>
      <w:r>
        <w:rPr>
          <w:rFonts w:ascii="Times New Roman" w:cs="Times New Roman" w:eastAsia="Times New Roman" w:hAnsi="Times New Roman"/>
          <w:sz w:val="18"/>
          <w:szCs w:val="18"/>
          <w:color w:val="auto"/>
        </w:rPr>
        <w:t xml:space="preserve">. The Agent shall have received the opinions and negative assurance letters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such delivery of such opinions is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The Agent shall have received the Comfort Letter required to be delivered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on or before the date on which such delivery of such Comfort Letter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The Agent shall have received the certificate required to be delivered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24" w:right="540" w:hanging="424"/>
        <w:spacing w:after="0" w:line="282"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Common Stock shall not have been suspended on the Exchange and the Common Stock shall not have been delisted from the Exchange.</w:t>
      </w:r>
    </w:p>
    <w:p>
      <w:pPr>
        <w:spacing w:after="0" w:line="67" w:lineRule="exact"/>
        <w:rPr>
          <w:rFonts w:ascii="Times New Roman" w:cs="Times New Roman" w:eastAsia="Times New Roman" w:hAnsi="Times New Roman"/>
          <w:sz w:val="18"/>
          <w:szCs w:val="18"/>
          <w:color w:val="auto"/>
        </w:rPr>
      </w:pPr>
    </w:p>
    <w:p>
      <w:pPr>
        <w:ind w:left="424" w:right="460" w:hanging="424"/>
        <w:spacing w:after="0" w:line="266"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xml:space="preserve">. On each date on which the Company is required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the Company shall have furnished to the Agent such appropriate further information, opinions, certificates, letters and other documents as the Agent may reasonably request. All such opinions, certificates, letters and other documents will be in compliance with the provisions hereof.</w:t>
      </w:r>
    </w:p>
    <w:p>
      <w:pPr>
        <w:spacing w:after="0" w:line="81" w:lineRule="exact"/>
        <w:rPr>
          <w:rFonts w:ascii="Times New Roman" w:cs="Times New Roman" w:eastAsia="Times New Roman" w:hAnsi="Times New Roman"/>
          <w:sz w:val="18"/>
          <w:szCs w:val="18"/>
          <w:color w:val="auto"/>
        </w:rPr>
      </w:pPr>
    </w:p>
    <w:p>
      <w:pPr>
        <w:ind w:left="424" w:right="500" w:hanging="424"/>
        <w:spacing w:after="0" w:line="282"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67" w:lineRule="exact"/>
        <w:rPr>
          <w:rFonts w:ascii="Times New Roman" w:cs="Times New Roman" w:eastAsia="Times New Roman" w:hAnsi="Times New Roman"/>
          <w:sz w:val="18"/>
          <w:szCs w:val="18"/>
          <w:color w:val="auto"/>
        </w:rPr>
      </w:pPr>
    </w:p>
    <w:p>
      <w:pPr>
        <w:jc w:val="both"/>
        <w:ind w:left="424" w:right="80" w:hanging="424"/>
        <w:spacing w:after="0" w:line="266"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 and the Exchange shall have reviewed such application and not provided any objections thereto.</w:t>
      </w:r>
    </w:p>
    <w:p>
      <w:pPr>
        <w:spacing w:after="0" w:line="81"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If applicable, FINRA shall have raised no objection to the terms of this offering and the amount of compensation allowable or payable to the Agent as described in the Prospectus.</w:t>
      </w:r>
    </w:p>
    <w:p>
      <w:pPr>
        <w:spacing w:after="0" w:line="67" w:lineRule="exact"/>
        <w:rPr>
          <w:rFonts w:ascii="Times New Roman" w:cs="Times New Roman" w:eastAsia="Times New Roman" w:hAnsi="Times New Roman"/>
          <w:sz w:val="18"/>
          <w:szCs w:val="18"/>
          <w:color w:val="auto"/>
        </w:rPr>
      </w:pPr>
    </w:p>
    <w:p>
      <w:pPr>
        <w:ind w:left="424" w:right="980" w:hanging="424"/>
        <w:spacing w:after="0" w:line="282"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xml:space="preserve">. There shall not have occurred any event that would permit the Agent to terminate this Agreement pursuant to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and Contribution.</w:t>
      </w:r>
    </w:p>
    <w:p>
      <w:pPr>
        <w:spacing w:after="0" w:line="131" w:lineRule="exact"/>
        <w:rPr>
          <w:sz w:val="20"/>
          <w:szCs w:val="20"/>
          <w:color w:val="auto"/>
        </w:rPr>
      </w:pPr>
    </w:p>
    <w:p>
      <w:pPr>
        <w:jc w:val="both"/>
        <w:ind w:left="424" w:right="120" w:hanging="424"/>
        <w:spacing w:after="0" w:line="266"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The Company agrees to indemnify and hold harmless the Agent, its affiliates and their respective partners, members, directors, officers, employees and agents and each person, if any, who controls the Agent or any affiliate within the meaning of Section 15 of the Securities Act or Section 20 of the Exchange Act as follows:</w:t>
      </w:r>
    </w:p>
    <w:p>
      <w:pPr>
        <w:spacing w:after="0" w:line="67" w:lineRule="exact"/>
        <w:rPr>
          <w:rFonts w:ascii="Times New Roman" w:cs="Times New Roman" w:eastAsia="Times New Roman" w:hAnsi="Times New Roman"/>
          <w:sz w:val="18"/>
          <w:szCs w:val="18"/>
          <w:color w:val="auto"/>
        </w:rPr>
      </w:pPr>
    </w:p>
    <w:p>
      <w:pPr>
        <w:ind w:left="444" w:right="260" w:firstLine="1371"/>
        <w:spacing w:after="0" w:line="266" w:lineRule="auto"/>
        <w:tabs>
          <w:tab w:leader="none" w:pos="203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reasonable and documented expense, as incurred, joint or several, arising out of or based upon any untrue statement or alleged untrue statement of a material fact contained in the Registration Statement (or any amendment thereto), or the omission or alleged omission therefrom of a material fact required</w:t>
      </w:r>
    </w:p>
    <w:p>
      <w:pPr>
        <w:sectPr>
          <w:pgSz w:w="11900" w:h="16838" w:orient="portrait"/>
          <w:cols w:equalWidth="0" w:num="1">
            <w:col w:w="10964"/>
          </w:cols>
          <w:pgMar w:left="436" w:top="270" w:right="499" w:bottom="1440" w:gutter="0" w:footer="0" w:header="0"/>
        </w:sectPr>
      </w:pPr>
    </w:p>
    <w:bookmarkStart w:id="31" w:name="page32"/>
    <w:bookmarkEnd w:id="31"/>
    <w:p>
      <w:pPr>
        <w:ind w:left="44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72" w:lineRule="exact"/>
        <w:rPr>
          <w:sz w:val="20"/>
          <w:szCs w:val="20"/>
          <w:color w:val="auto"/>
        </w:rPr>
      </w:pPr>
    </w:p>
    <w:p>
      <w:pPr>
        <w:ind w:left="444" w:right="80" w:firstLine="1371"/>
        <w:spacing w:after="0" w:line="258" w:lineRule="auto"/>
        <w:tabs>
          <w:tab w:leader="none" w:pos="20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loss, liability, claim, damage and reasonable and documented expense,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below) any such settlement is effected with the written consent of the Company, which consent shall not unreasonably be delayed or withheld; and</w:t>
      </w:r>
    </w:p>
    <w:p>
      <w:pPr>
        <w:spacing w:after="0" w:line="75" w:lineRule="exact"/>
        <w:rPr>
          <w:rFonts w:ascii="Times New Roman" w:cs="Times New Roman" w:eastAsia="Times New Roman" w:hAnsi="Times New Roman"/>
          <w:sz w:val="18"/>
          <w:szCs w:val="18"/>
          <w:color w:val="auto"/>
        </w:rPr>
      </w:pPr>
    </w:p>
    <w:p>
      <w:pPr>
        <w:ind w:left="444" w:right="160" w:firstLine="1371"/>
        <w:spacing w:after="0" w:line="281" w:lineRule="auto"/>
        <w:tabs>
          <w:tab w:leader="none" w:pos="213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against any and all reasonable and documented expense, as incurred (including the reasonable and documented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w:t>
      </w:r>
    </w:p>
    <w:p>
      <w:pPr>
        <w:spacing w:after="0" w:line="54" w:lineRule="exact"/>
        <w:rPr>
          <w:sz w:val="20"/>
          <w:szCs w:val="20"/>
          <w:color w:val="auto"/>
        </w:rPr>
      </w:pPr>
    </w:p>
    <w:p>
      <w:pPr>
        <w:ind w:left="444" w:right="12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indemnity agreement shall not apply to any loss, liability, claim, damage or expense to the extent arising out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untrue statement or omission or alleged untrue statement or omission made solely in reliance upon and in conformity with the Agent Information (as defined below).</w:t>
      </w:r>
    </w:p>
    <w:p>
      <w:pPr>
        <w:spacing w:after="0" w:line="81" w:lineRule="exact"/>
        <w:rPr>
          <w:sz w:val="20"/>
          <w:szCs w:val="20"/>
          <w:color w:val="auto"/>
        </w:rPr>
      </w:pPr>
    </w:p>
    <w:p>
      <w:pPr>
        <w:ind w:left="424" w:right="100" w:hanging="424"/>
        <w:spacing w:after="0" w:line="257"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Indemnification</w:t>
      </w:r>
      <w:r>
        <w:rPr>
          <w:rFonts w:ascii="Times New Roman" w:cs="Times New Roman" w:eastAsia="Times New Roman" w:hAnsi="Times New Roman"/>
          <w:sz w:val="18"/>
          <w:szCs w:val="18"/>
          <w:color w:val="auto"/>
        </w:rPr>
        <w:t>. Agent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w:t>
      </w:r>
    </w:p>
    <w:p>
      <w:pPr>
        <w:spacing w:after="0" w:line="1" w:lineRule="exact"/>
        <w:rPr>
          <w:rFonts w:ascii="Times New Roman" w:cs="Times New Roman" w:eastAsia="Times New Roman" w:hAnsi="Times New Roman"/>
          <w:sz w:val="18"/>
          <w:szCs w:val="18"/>
          <w:color w:val="auto"/>
        </w:rPr>
      </w:pPr>
    </w:p>
    <w:p>
      <w:pPr>
        <w:ind w:left="424" w:right="1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the Agent and furnished to the Company in writing by the Agent expressly for use therein. The Company hereby acknowledges that the only information that the Agent has furnished to the Company expressly for use in the Registration Statement, the Prospectus, any Prospectus Supplement or any Issuer Free Writing Prospectus (or any amendment or supplement thereto) are the seventh and eighth paragraphs under the caption “Plan of Distribution” in the Prospectus (the “</w:t>
      </w:r>
      <w:r>
        <w:rPr>
          <w:rFonts w:ascii="Times New Roman" w:cs="Times New Roman" w:eastAsia="Times New Roman" w:hAnsi="Times New Roman"/>
          <w:sz w:val="18"/>
          <w:szCs w:val="18"/>
          <w:b w:val="1"/>
          <w:bCs w:val="1"/>
          <w:u w:val="single" w:color="auto"/>
          <w:color w:val="auto"/>
        </w:rPr>
        <w:t>Agent Information</w:t>
      </w:r>
      <w:r>
        <w:rPr>
          <w:rFonts w:ascii="Times New Roman" w:cs="Times New Roman" w:eastAsia="Times New Roman" w:hAnsi="Times New Roman"/>
          <w:sz w:val="18"/>
          <w:szCs w:val="18"/>
          <w:color w:val="auto"/>
        </w:rPr>
        <w:t>”).</w:t>
      </w:r>
    </w:p>
    <w:p>
      <w:pPr>
        <w:spacing w:after="0" w:line="93"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Any party that proposes to assert the right to be indemnified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(ii) any liability that it may have to any indemnified party under the foregoing</w:t>
      </w:r>
    </w:p>
    <w:p>
      <w:pPr>
        <w:sectPr>
          <w:pgSz w:w="11900" w:h="16838" w:orient="portrait"/>
          <w:cols w:equalWidth="0" w:num="1">
            <w:col w:w="11004"/>
          </w:cols>
          <w:pgMar w:left="436" w:top="270" w:right="459" w:bottom="1440" w:gutter="0" w:footer="0" w:header="0"/>
        </w:sectPr>
      </w:pPr>
    </w:p>
    <w:bookmarkStart w:id="32" w:name="page33"/>
    <w:bookmarkEnd w:id="32"/>
    <w:p>
      <w:pPr>
        <w:ind w:left="42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provision of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w:t>
      </w:r>
    </w:p>
    <w:p>
      <w:pPr>
        <w:spacing w:after="0" w:line="2" w:lineRule="exact"/>
        <w:rPr>
          <w:sz w:val="20"/>
          <w:szCs w:val="20"/>
          <w:color w:val="auto"/>
        </w:rPr>
      </w:pPr>
    </w:p>
    <w:p>
      <w:pPr>
        <w:ind w:left="424" w:firstLine="8"/>
        <w:spacing w:after="0" w:line="250" w:lineRule="auto"/>
        <w:tabs>
          <w:tab w:leader="none" w:pos="67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w:t>
      </w:r>
    </w:p>
    <w:p>
      <w:pPr>
        <w:ind w:left="424" w:right="80" w:firstLine="8"/>
        <w:spacing w:after="0" w:line="250" w:lineRule="auto"/>
        <w:tabs>
          <w:tab w:leader="none" w:pos="67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reasonable and documented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(whether or not any indemnified party is a party thereto), unless such settlement, compromise or consent</w:t>
      </w:r>
    </w:p>
    <w:p>
      <w:pPr>
        <w:spacing w:after="0" w:line="3" w:lineRule="exact"/>
        <w:rPr>
          <w:rFonts w:ascii="Times New Roman" w:cs="Times New Roman" w:eastAsia="Times New Roman" w:hAnsi="Times New Roman"/>
          <w:sz w:val="18"/>
          <w:szCs w:val="18"/>
          <w:color w:val="auto"/>
        </w:rPr>
      </w:pPr>
    </w:p>
    <w:p>
      <w:pPr>
        <w:ind w:left="424" w:right="100" w:firstLine="8"/>
        <w:spacing w:after="0" w:line="255" w:lineRule="auto"/>
        <w:tabs>
          <w:tab w:leader="none" w:pos="67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89" w:lineRule="exact"/>
        <w:rPr>
          <w:rFonts w:ascii="Times New Roman" w:cs="Times New Roman" w:eastAsia="Times New Roman" w:hAnsi="Times New Roman"/>
          <w:sz w:val="18"/>
          <w:szCs w:val="18"/>
          <w:color w:val="auto"/>
        </w:rPr>
      </w:pPr>
    </w:p>
    <w:p>
      <w:pPr>
        <w:ind w:left="424" w:right="20" w:hanging="424"/>
        <w:spacing w:after="0" w:line="257"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Without Consent if Failure to Reimburse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 indemnified party shall have requested an indemnifying party to reimburse the indemnified party for reasonable fees and expenses of counsel, such indemnifying party agrees that it shall be liable for any settlement of the nature contemplated by </w:t>
      </w:r>
      <w:r>
        <w:rPr>
          <w:rFonts w:ascii="Times New Roman" w:cs="Times New Roman" w:eastAsia="Times New Roman" w:hAnsi="Times New Roman"/>
          <w:sz w:val="18"/>
          <w:szCs w:val="18"/>
          <w:u w:val="single" w:color="auto"/>
          <w:color w:val="auto"/>
        </w:rPr>
        <w:t>Section 10(a)(ii)</w:t>
      </w:r>
      <w:r>
        <w:rPr>
          <w:rFonts w:ascii="Times New Roman" w:cs="Times New Roman" w:eastAsia="Times New Roman" w:hAnsi="Times New Roman"/>
          <w:sz w:val="18"/>
          <w:szCs w:val="18"/>
          <w:color w:val="auto"/>
        </w:rPr>
        <w:t xml:space="preserve"> effected without its written consent if (1) 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sectPr>
          <w:pgSz w:w="11900" w:h="16838" w:orient="portrait"/>
          <w:cols w:equalWidth="0" w:num="1">
            <w:col w:w="10984"/>
          </w:cols>
          <w:pgMar w:left="436" w:top="270" w:right="479" w:bottom="1440" w:gutter="0" w:footer="0" w:header="0"/>
        </w:sectPr>
      </w:pPr>
    </w:p>
    <w:bookmarkStart w:id="33" w:name="page34"/>
    <w:bookmarkEnd w:id="33"/>
    <w:p>
      <w:pPr>
        <w:ind w:left="424" w:hanging="424"/>
        <w:spacing w:after="0" w:line="251"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shall be deemed to include, for the purpose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Notwithstanding the foregoing provisions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the Agent shall not be required to contribute any amount in excess of the commissions received by it under this Agreement and no person found guilty of fraudulent misrepresentation (within the meaning of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of the Securities Act) will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any person who controls a party to this Agreement within the meaning of the Securities Act, any affiliates of the Agent and any officers, directors, partners, employees or agents of the Agent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 10(e)</w:t>
      </w:r>
    </w:p>
    <w:p>
      <w:pPr>
        <w:sectPr>
          <w:pgSz w:w="11900" w:h="16838" w:orient="portrait"/>
          <w:cols w:equalWidth="0" w:num="1">
            <w:col w:w="10964"/>
          </w:cols>
          <w:pgMar w:left="436" w:top="270" w:right="499" w:bottom="1440" w:gutter="0" w:footer="0" w:header="0"/>
        </w:sectPr>
      </w:pPr>
    </w:p>
    <w:bookmarkStart w:id="34" w:name="page35"/>
    <w:bookmarkEnd w:id="34"/>
    <w:p>
      <w:pPr>
        <w:ind w:left="424"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w:t>
      </w:r>
    </w:p>
    <w:p>
      <w:pPr>
        <w:spacing w:after="0" w:line="81" w:lineRule="exact"/>
        <w:rPr>
          <w:sz w:val="20"/>
          <w:szCs w:val="20"/>
          <w:color w:val="auto"/>
        </w:rPr>
      </w:pPr>
    </w:p>
    <w:p>
      <w:pPr>
        <w:ind w:left="424" w:right="60" w:hanging="424"/>
        <w:spacing w:after="0" w:line="258"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xml:space="preserve">. The indemnity and contribution agreements contained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spacing w:after="0" w:line="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w:t>
      </w:r>
    </w:p>
    <w:p>
      <w:pPr>
        <w:spacing w:after="0" w:line="131" w:lineRule="exact"/>
        <w:rPr>
          <w:sz w:val="20"/>
          <w:szCs w:val="20"/>
          <w:color w:val="auto"/>
        </w:rPr>
      </w:pPr>
    </w:p>
    <w:p>
      <w:pPr>
        <w:ind w:left="424" w:right="40" w:hanging="424"/>
        <w:spacing w:after="0" w:line="252" w:lineRule="auto"/>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terminate this Agreement,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the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w:t>
      </w:r>
    </w:p>
    <w:p>
      <w:pPr>
        <w:spacing w:after="0" w:line="2" w:lineRule="exact"/>
        <w:rPr>
          <w:rFonts w:ascii="Times New Roman" w:cs="Times New Roman" w:eastAsia="Times New Roman" w:hAnsi="Times New Roman"/>
          <w:sz w:val="18"/>
          <w:szCs w:val="18"/>
          <w:color w:val="auto"/>
        </w:rPr>
      </w:pPr>
    </w:p>
    <w:p>
      <w:pPr>
        <w:ind w:left="424" w:firstLine="8"/>
        <w:spacing w:after="0" w:line="252" w:lineRule="auto"/>
        <w:tabs>
          <w:tab w:leader="none" w:pos="67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(Consent to Jurisdiction) hereof shall remain in full force and effect notwithstanding such termination. If the Agent elects to terminate this Agreement as provided in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the Agent shall provide the required notice as specified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(Notices).</w:t>
      </w:r>
    </w:p>
    <w:p>
      <w:pPr>
        <w:spacing w:after="0" w:line="95" w:lineRule="exact"/>
        <w:rPr>
          <w:rFonts w:ascii="Times New Roman" w:cs="Times New Roman" w:eastAsia="Times New Roman" w:hAnsi="Times New Roman"/>
          <w:sz w:val="18"/>
          <w:szCs w:val="18"/>
          <w:color w:val="auto"/>
        </w:rPr>
      </w:pPr>
    </w:p>
    <w:p>
      <w:pPr>
        <w:ind w:left="424" w:right="80" w:hanging="424"/>
        <w:spacing w:after="0" w:line="266" w:lineRule="auto"/>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shall remain in full force and effect notwithstanding such termination.</w:t>
      </w:r>
    </w:p>
    <w:p>
      <w:pPr>
        <w:sectPr>
          <w:pgSz w:w="11900" w:h="16838" w:orient="portrait"/>
          <w:cols w:equalWidth="0" w:num="1">
            <w:col w:w="11004"/>
          </w:cols>
          <w:pgMar w:left="436" w:top="270" w:right="459" w:bottom="1440" w:gutter="0" w:footer="0" w:header="0"/>
        </w:sectPr>
      </w:pPr>
    </w:p>
    <w:bookmarkStart w:id="35" w:name="page36"/>
    <w:bookmarkEnd w:id="35"/>
    <w:p>
      <w:pPr>
        <w:ind w:left="424" w:right="120" w:hanging="424"/>
        <w:spacing w:after="0" w:line="266" w:lineRule="auto"/>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Agent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81"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w:t>
      </w:r>
      <w:r>
        <w:rPr>
          <w:rFonts w:ascii="Times New Roman" w:cs="Times New Roman" w:eastAsia="Times New Roman" w:hAnsi="Times New Roman"/>
          <w:sz w:val="18"/>
          <w:szCs w:val="18"/>
          <w:u w:val="single" w:color="auto"/>
          <w:color w:val="auto"/>
        </w:rPr>
        <w:t>Sections 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or otherwise by mutual agreement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termination by mutual agreement shall in all cases be deemed to provide that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shall remain in full force and effect.</w:t>
      </w:r>
    </w:p>
    <w:p>
      <w:pPr>
        <w:spacing w:after="0" w:line="79"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w:t>
      </w:r>
    </w:p>
    <w:p>
      <w:pPr>
        <w:spacing w:after="0" w:line="87" w:lineRule="exact"/>
        <w:rPr>
          <w:sz w:val="20"/>
          <w:szCs w:val="20"/>
          <w:color w:val="auto"/>
        </w:rPr>
      </w:pPr>
    </w:p>
    <w:p>
      <w:pPr>
        <w:ind w:left="424" w:right="520" w:hanging="424"/>
        <w:spacing w:after="0" w:line="282"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and if sent to the Agent, shall be delivered to:</w:t>
      </w:r>
    </w:p>
    <w:p>
      <w:pPr>
        <w:spacing w:after="0" w:line="5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Cantor Fitzgerald &amp; Co.</w:t>
      </w:r>
    </w:p>
    <w:p>
      <w:pPr>
        <w:ind w:left="984"/>
        <w:spacing w:after="0" w:line="196" w:lineRule="auto"/>
        <w:rPr>
          <w:sz w:val="20"/>
          <w:szCs w:val="20"/>
          <w:color w:val="auto"/>
        </w:rPr>
      </w:pPr>
      <w:r>
        <w:rPr>
          <w:rFonts w:ascii="Times New Roman" w:cs="Times New Roman" w:eastAsia="Times New Roman" w:hAnsi="Times New Roman"/>
          <w:sz w:val="18"/>
          <w:szCs w:val="18"/>
          <w:color w:val="auto"/>
        </w:rPr>
        <w:t>110 East 59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Capital Markets</w:t>
      </w:r>
    </w:p>
    <w:p>
      <w:pPr>
        <w:spacing w:after="0" w:line="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Cantor Fitzgerald &amp; Co.</w:t>
      </w:r>
    </w:p>
    <w:p>
      <w:pPr>
        <w:ind w:left="984"/>
        <w:spacing w:after="0" w:line="196" w:lineRule="auto"/>
        <w:rPr>
          <w:sz w:val="20"/>
          <w:szCs w:val="20"/>
          <w:color w:val="auto"/>
        </w:rPr>
      </w:pPr>
      <w:r>
        <w:rPr>
          <w:rFonts w:ascii="Times New Roman" w:cs="Times New Roman" w:eastAsia="Times New Roman" w:hAnsi="Times New Roman"/>
          <w:sz w:val="18"/>
          <w:szCs w:val="18"/>
          <w:color w:val="auto"/>
        </w:rPr>
        <w:t>110 East 59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Wilmer Cutler Pickering Hale and Dorr LLP</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7 World Trade Center</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250 Greenwich Street</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Lisa Firenze</w:t>
      </w:r>
    </w:p>
    <w:p>
      <w:pPr>
        <w:sectPr>
          <w:pgSz w:w="11900" w:h="16838" w:orient="portrait"/>
          <w:cols w:equalWidth="0" w:num="1">
            <w:col w:w="10964"/>
          </w:cols>
          <w:pgMar w:left="436" w:top="270" w:right="499" w:bottom="1440" w:gutter="0" w:footer="0" w:header="0"/>
        </w:sectPr>
      </w:pPr>
    </w:p>
    <w:bookmarkStart w:id="36" w:name="page37"/>
    <w:bookmarkEnd w:id="3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if to the Company, shall be delivered to:</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321 Arsenal St, Suite 101</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Watertown, Massachusetts 02472</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Rahul Khara, General Counsel</w:t>
      </w:r>
    </w:p>
    <w:p>
      <w:pPr>
        <w:spacing w:after="0" w:line="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Boston, Massachusetts 02210</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William D. Collins</w:t>
      </w:r>
    </w:p>
    <w:p>
      <w:pPr>
        <w:spacing w:after="0" w:line="99" w:lineRule="exact"/>
        <w:rPr>
          <w:sz w:val="20"/>
          <w:szCs w:val="20"/>
          <w:color w:val="auto"/>
        </w:rPr>
      </w:pPr>
    </w:p>
    <w:p>
      <w:pPr>
        <w:ind w:left="444" w:right="20" w:firstLine="423"/>
        <w:spacing w:after="0" w:line="255" w:lineRule="auto"/>
        <w:rPr>
          <w:sz w:val="20"/>
          <w:szCs w:val="20"/>
          <w:color w:val="auto"/>
        </w:rPr>
      </w:pPr>
      <w:r>
        <w:rPr>
          <w:rFonts w:ascii="Times New Roman" w:cs="Times New Roman" w:eastAsia="Times New Roman" w:hAnsi="Times New Roman"/>
          <w:sz w:val="18"/>
          <w:szCs w:val="18"/>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below, (iii) on the next Business Day after timely delivery to a nationally-recognized overnight courier and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on which the Exchange and commercial banks in the City of New York are open for business.</w:t>
      </w:r>
    </w:p>
    <w:p>
      <w:pPr>
        <w:spacing w:after="0" w:line="77" w:lineRule="exact"/>
        <w:rPr>
          <w:sz w:val="20"/>
          <w:szCs w:val="20"/>
          <w:color w:val="auto"/>
        </w:rPr>
      </w:pPr>
    </w:p>
    <w:p>
      <w:pPr>
        <w:ind w:left="444" w:firstLine="423"/>
        <w:spacing w:after="0" w:line="259"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u w:val="single" w:color="auto"/>
          <w:color w:val="auto"/>
        </w:rPr>
        <w:t>Nonelectronic Notic</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which shall be sent to the requesting party within ten (10) days of receipt of the written request for Nonelectronic Notice.</w:t>
      </w:r>
    </w:p>
    <w:p>
      <w:pPr>
        <w:spacing w:after="0" w:line="89" w:lineRule="exact"/>
        <w:rPr>
          <w:sz w:val="20"/>
          <w:szCs w:val="20"/>
          <w:color w:val="auto"/>
        </w:rPr>
      </w:pPr>
    </w:p>
    <w:p>
      <w:pPr>
        <w:ind w:left="424" w:hanging="424"/>
        <w:spacing w:after="0" w:line="255"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the Agent and their respective successors and the parties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Agent may assign its rights and obligations hereunder to an affiliate thereof without obtaining the Company’s consent.</w:t>
      </w:r>
    </w:p>
    <w:p>
      <w:pPr>
        <w:spacing w:after="0" w:line="94"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stock split, stock dividend or similar event effected with respect to the Placement Shares.</w:t>
      </w:r>
    </w:p>
    <w:p>
      <w:pPr>
        <w:sectPr>
          <w:pgSz w:w="11900" w:h="16838" w:orient="portrait"/>
          <w:cols w:equalWidth="0" w:num="1">
            <w:col w:w="10984"/>
          </w:cols>
          <w:pgMar w:left="436" w:top="270" w:right="479" w:bottom="1440" w:gutter="0" w:footer="0" w:header="0"/>
        </w:sectPr>
      </w:pPr>
    </w:p>
    <w:bookmarkStart w:id="37" w:name="page38"/>
    <w:bookmarkEnd w:id="37"/>
    <w:p>
      <w:pPr>
        <w:ind w:left="424" w:hanging="424"/>
        <w:spacing w:after="0" w:line="253"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Entire Agreement; Amendment; Severability; Waiver</w:t>
      </w:r>
      <w:r>
        <w:rPr>
          <w:rFonts w:ascii="Times New Roman" w:cs="Times New Roman" w:eastAsia="Times New Roman" w:hAnsi="Times New Roman"/>
          <w:sz w:val="18"/>
          <w:szCs w:val="18"/>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97" w:lineRule="exact"/>
        <w:rPr>
          <w:rFonts w:ascii="Times New Roman" w:cs="Times New Roman" w:eastAsia="Times New Roman" w:hAnsi="Times New Roman"/>
          <w:sz w:val="18"/>
          <w:szCs w:val="18"/>
          <w:color w:val="auto"/>
        </w:rPr>
      </w:pPr>
    </w:p>
    <w:p>
      <w:pPr>
        <w:ind w:left="424" w:right="140" w:hanging="424"/>
        <w:spacing w:after="0" w:line="258"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TIME; WAIVER OF JURY TRIAL</w:t>
      </w:r>
      <w:r>
        <w:rPr>
          <w:rFonts w:ascii="Times New Roman" w:cs="Times New Roman" w:eastAsia="Times New Roman" w:hAnsi="Times New Roman"/>
          <w:sz w:val="18"/>
          <w:szCs w:val="18"/>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88"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ectPr>
          <w:pgSz w:w="11900" w:h="16838" w:orient="portrait"/>
          <w:cols w:equalWidth="0" w:num="1">
            <w:col w:w="11004"/>
          </w:cols>
          <w:pgMar w:left="436" w:top="270" w:right="459" w:bottom="1440" w:gutter="0" w:footer="0" w:header="0"/>
        </w:sectPr>
      </w:pPr>
    </w:p>
    <w:bookmarkStart w:id="38" w:name="page39"/>
    <w:bookmarkEnd w:id="38"/>
    <w:p>
      <w:pPr>
        <w:ind w:left="424" w:right="20" w:hanging="424"/>
        <w:spacing w:after="0" w:line="258"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88"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85" w:lineRule="exact"/>
        <w:rPr>
          <w:rFonts w:ascii="Times New Roman" w:cs="Times New Roman" w:eastAsia="Times New Roman" w:hAnsi="Times New Roman"/>
          <w:sz w:val="18"/>
          <w:szCs w:val="18"/>
          <w:color w:val="auto"/>
        </w:rPr>
      </w:pPr>
    </w:p>
    <w:p>
      <w:pPr>
        <w:ind w:left="424" w:right="40" w:hanging="424"/>
        <w:spacing w:after="0" w:line="258"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Prospectuses</w:t>
      </w:r>
      <w:r>
        <w:rPr>
          <w:rFonts w:ascii="Times New Roman" w:cs="Times New Roman" w:eastAsia="Times New Roman" w:hAnsi="Times New Roman"/>
          <w:sz w:val="18"/>
          <w:szCs w:val="18"/>
          <w:color w:val="auto"/>
        </w:rPr>
        <w:t>. The Company represents, warrants and agrees that, unless it obtains the prior written consent of the Agent, which shall not be unreasonably withheld, conditioned or delayed, and the Agent represents, warrants and agrees that, unless it obtains the prior written consent of the Company (which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w:t>
      </w:r>
    </w:p>
    <w:p>
      <w:pPr>
        <w:spacing w:after="0" w:line="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131" w:lineRule="exact"/>
        <w:rPr>
          <w:sz w:val="20"/>
          <w:szCs w:val="20"/>
          <w:color w:val="auto"/>
        </w:rPr>
      </w:pPr>
    </w:p>
    <w:p>
      <w:pPr>
        <w:ind w:left="424" w:hanging="424"/>
        <w:spacing w:after="0" w:line="256" w:lineRule="auto"/>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w:t>
      </w:r>
    </w:p>
    <w:p>
      <w:pPr>
        <w:spacing w:after="0" w:line="92"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67"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67" w:lineRule="exact"/>
        <w:rPr>
          <w:rFonts w:ascii="Times New Roman" w:cs="Times New Roman" w:eastAsia="Times New Roman" w:hAnsi="Times New Roman"/>
          <w:sz w:val="18"/>
          <w:szCs w:val="18"/>
          <w:color w:val="auto"/>
        </w:rPr>
      </w:pPr>
    </w:p>
    <w:p>
      <w:pPr>
        <w:ind w:left="424" w:right="100" w:hanging="424"/>
        <w:spacing w:after="0" w:line="266" w:lineRule="auto"/>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aware that the Agent and its affiliates are engaged in a broad range of transactions which may involve interests that differ from those of the Company and the Agent and its affiliates have no obligation to disclose such interests and transactions to the Company by virtue of any fiduciary, advisory or agency relationship or otherwise;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the Agent or its affiliates for breach of fiduciary duty or alleged breach of fiduciary duty in connection with the sale of Placement Shares under this Agreement and agrees that the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ectPr>
          <w:pgSz w:w="11900" w:h="16838" w:orient="portrait"/>
          <w:cols w:equalWidth="0" w:num="1">
            <w:col w:w="11004"/>
          </w:cols>
          <w:pgMar w:left="436" w:top="270" w:right="459" w:bottom="1440" w:gutter="0" w:footer="0" w:header="0"/>
        </w:sectPr>
      </w:pPr>
    </w:p>
    <w:bookmarkStart w:id="39" w:name="page40"/>
    <w:bookmarkEnd w:id="39"/>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113" w:lineRule="exact"/>
        <w:rPr>
          <w:sz w:val="20"/>
          <w:szCs w:val="20"/>
          <w:color w:val="auto"/>
        </w:rPr>
      </w:pPr>
    </w:p>
    <w:p>
      <w:pPr>
        <w:ind w:left="444" w:right="16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 means (i) each Representation Date, (ii) the time of each sale of any Placement Shares pursuant to this Agreement and (iii) each Settlement Date.</w:t>
      </w:r>
    </w:p>
    <w:p>
      <w:pPr>
        <w:spacing w:after="0" w:line="47" w:lineRule="exact"/>
        <w:rPr>
          <w:sz w:val="20"/>
          <w:szCs w:val="20"/>
          <w:color w:val="auto"/>
        </w:rPr>
      </w:pPr>
    </w:p>
    <w:p>
      <w:pPr>
        <w:ind w:left="444" w:right="20" w:firstLine="42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Governmental Authority</w:t>
      </w:r>
      <w:r>
        <w:rPr>
          <w:rFonts w:ascii="Times New Roman" w:cs="Times New Roman" w:eastAsia="Times New Roman" w:hAnsi="Times New Roman"/>
          <w:sz w:val="18"/>
          <w:szCs w:val="18"/>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 in each case, having jurisdiction over the Company or any of its properties.</w:t>
      </w:r>
    </w:p>
    <w:p>
      <w:pPr>
        <w:spacing w:after="0" w:line="68"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Issuer Free Writing Prospectus</w:t>
      </w:r>
      <w:r>
        <w:rPr>
          <w:rFonts w:ascii="Times New Roman" w:cs="Times New Roman" w:eastAsia="Times New Roman" w:hAnsi="Times New Roman"/>
          <w:sz w:val="18"/>
          <w:szCs w:val="18"/>
          <w:color w:val="auto"/>
        </w:rPr>
        <w:t>” means any “issuer free writing prospectus,” as defined in Rule 433, relating to the Placement Shares that</w:t>
      </w:r>
    </w:p>
    <w:p>
      <w:pPr>
        <w:spacing w:after="0" w:line="31" w:lineRule="exact"/>
        <w:rPr>
          <w:sz w:val="20"/>
          <w:szCs w:val="20"/>
          <w:color w:val="auto"/>
        </w:rPr>
      </w:pPr>
    </w:p>
    <w:p>
      <w:pPr>
        <w:ind w:left="444" w:right="180" w:hanging="4"/>
        <w:spacing w:after="0" w:line="253" w:lineRule="auto"/>
        <w:tabs>
          <w:tab w:leader="none" w:pos="69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spacing w:after="0" w:line="75" w:lineRule="exact"/>
        <w:rPr>
          <w:sz w:val="20"/>
          <w:szCs w:val="20"/>
          <w:color w:val="auto"/>
        </w:rPr>
      </w:pPr>
    </w:p>
    <w:p>
      <w:pPr>
        <w:ind w:left="444" w:right="14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refer to such rules under the Securities Act Regulations.</w:t>
      </w:r>
    </w:p>
    <w:p>
      <w:pPr>
        <w:spacing w:after="0" w:line="51" w:lineRule="exact"/>
        <w:rPr>
          <w:sz w:val="20"/>
          <w:szCs w:val="20"/>
          <w:color w:val="auto"/>
        </w:rPr>
      </w:pPr>
    </w:p>
    <w:p>
      <w:pPr>
        <w:ind w:left="444" w:right="140" w:firstLine="423"/>
        <w:spacing w:after="0" w:line="261"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72" w:lineRule="exact"/>
        <w:rPr>
          <w:sz w:val="20"/>
          <w:szCs w:val="20"/>
          <w:color w:val="auto"/>
        </w:rPr>
      </w:pPr>
    </w:p>
    <w:p>
      <w:pPr>
        <w:ind w:left="444" w:firstLine="423"/>
        <w:spacing w:after="0" w:line="256"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or any successor system;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or any successor system;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18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04"/>
          </w:cols>
          <w:pgMar w:left="436" w:top="270" w:right="459" w:bottom="1440" w:gutter="0" w:footer="0" w:header="0"/>
        </w:sectPr>
      </w:pPr>
    </w:p>
    <w:bookmarkStart w:id="40" w:name="page41"/>
    <w:bookmarkEnd w:id="4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Quisel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ACCEPTED as of the date first-above written: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Sameer Vasudev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Sameer Vasudev</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10980"/>
          </w:cols>
          <w:pgMar w:left="440" w:top="270" w:right="479" w:bottom="1440" w:gutter="0" w:footer="0" w:header="0"/>
        </w:sectPr>
      </w:pPr>
    </w:p>
    <w:bookmarkStart w:id="41" w:name="page42"/>
    <w:bookmarkEnd w:id="4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Form of Placement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40"/>
          </w:cols>
          <w:pgMar w:left="440" w:top="266"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Disc Medicine, Inc.</w:t>
      </w:r>
    </w:p>
    <w:p>
      <w:pPr>
        <w:spacing w:after="0" w:line="129" w:lineRule="exact"/>
        <w:rPr>
          <w:sz w:val="20"/>
          <w:szCs w:val="20"/>
          <w:color w:val="auto"/>
        </w:rPr>
      </w:pPr>
    </w:p>
    <w:p>
      <w:pPr>
        <w:sectPr>
          <w:pgSz w:w="11900" w:h="16838" w:orient="portrait"/>
          <w:cols w:equalWidth="0" w:num="2">
            <w:col w:w="1040" w:space="720"/>
            <w:col w:w="8980"/>
          </w:cols>
          <w:pgMar w:left="440" w:top="266" w:right="71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9" w:lineRule="exact"/>
        <w:rPr>
          <w:sz w:val="20"/>
          <w:szCs w:val="20"/>
          <w:color w:val="auto"/>
        </w:rPr>
      </w:pPr>
    </w:p>
    <w:p>
      <w:pPr>
        <w:sectPr>
          <w:pgSz w:w="11900" w:h="16838" w:orient="portrait"/>
          <w:cols w:equalWidth="0" w:num="2">
            <w:col w:w="1040" w:space="720"/>
            <w:col w:w="8980"/>
          </w:cols>
          <w:pgMar w:left="440" w:top="266" w:right="71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Placement Notice</w:t>
      </w:r>
    </w:p>
    <w:p>
      <w:pPr>
        <w:spacing w:after="0" w:line="117" w:lineRule="exact"/>
        <w:rPr>
          <w:sz w:val="20"/>
          <w:szCs w:val="20"/>
          <w:color w:val="auto"/>
        </w:rPr>
      </w:pPr>
    </w:p>
    <w:p>
      <w:pPr>
        <w:sectPr>
          <w:pgSz w:w="11900" w:h="16838" w:orient="portrait"/>
          <w:cols w:equalWidth="0" w:num="2">
            <w:col w:w="1040" w:space="720"/>
            <w:col w:w="8980"/>
          </w:cols>
          <w:pgMar w:left="440" w:top="266" w:right="71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202[•]</w:t>
      </w:r>
    </w:p>
    <w:p>
      <w:pPr>
        <w:spacing w:after="0" w:line="200" w:lineRule="exact"/>
        <w:rPr>
          <w:sz w:val="20"/>
          <w:szCs w:val="20"/>
          <w:color w:val="auto"/>
        </w:rPr>
      </w:pPr>
    </w:p>
    <w:p>
      <w:pPr>
        <w:sectPr>
          <w:pgSz w:w="11900" w:h="16838" w:orient="portrait"/>
          <w:cols w:equalWidth="0" w:num="2">
            <w:col w:w="1040" w:space="720"/>
            <w:col w:w="8980"/>
          </w:cols>
          <w:pgMar w:left="440" w:top="266" w:right="71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between Disc Medicine,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Cantor Fitzgerald &amp; Co.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dated November 15, 2024, the Company hereby requests that the Agent sell up to [•] of the Company’s common stock, par value $0.0001 per share, at a minimum market price of $[•] per share, during the time period beginning [month, day, time] and ending [month, day, time].</w:t>
      </w:r>
    </w:p>
    <w:p>
      <w:pPr>
        <w:sectPr>
          <w:pgSz w:w="11900" w:h="16838" w:orient="portrait"/>
          <w:cols w:equalWidth="0" w:num="1">
            <w:col w:w="10740"/>
          </w:cols>
          <w:pgMar w:left="440" w:top="266" w:right="719" w:bottom="1440" w:gutter="0" w:footer="0" w:header="0"/>
          <w:type w:val="continuous"/>
        </w:sectPr>
      </w:pPr>
    </w:p>
    <w:bookmarkStart w:id="42" w:name="page43"/>
    <w:bookmarkEnd w:id="4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shall pay to the Agent in cash, upon each sale of Placement Shares pursuant to this Agreement, an amount equal to 3.0% of the aggregate gross proceeds from each sale of Placement Shares.</w:t>
      </w:r>
    </w:p>
    <w:p>
      <w:pPr>
        <w:sectPr>
          <w:pgSz w:w="11900" w:h="16838" w:orient="portrait"/>
          <w:cols w:equalWidth="0" w:num="1">
            <w:col w:w="10640"/>
          </w:cols>
          <w:pgMar w:left="440" w:top="266" w:right="819" w:bottom="1440" w:gutter="0" w:footer="0" w:header="0"/>
        </w:sectPr>
      </w:pPr>
    </w:p>
    <w:bookmarkStart w:id="43" w:name="page44"/>
    <w:bookmarkEnd w:id="43"/>
    <w:p>
      <w:pPr>
        <w:jc w:val="right"/>
        <w:ind w:right="39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Rahul Khara, General Counsel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Sameer Vasudev</w:t>
      </w:r>
    </w:p>
    <w:p>
      <w:pPr>
        <w:sectPr>
          <w:pgSz w:w="11900" w:h="16838" w:orient="portrait"/>
          <w:cols w:equalWidth="0" w:num="1">
            <w:col w:w="10019"/>
          </w:cols>
          <w:pgMar w:left="440" w:top="266" w:right="1440"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Representation Date Certificate Pursuant to Section 7(l)</w:t>
      </w:r>
    </w:p>
    <w:p>
      <w:pPr>
        <w:spacing w:after="0" w:line="229"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undersigned, the duly qualified and elected Chief Executive Officer, of Disc Medicine,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does hereby certify in such capacity and on behalf of the Company,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of the Sales Agreement, dated November 15, 2024 (the “</w:t>
      </w:r>
      <w:r>
        <w:rPr>
          <w:rFonts w:ascii="Times New Roman" w:cs="Times New Roman" w:eastAsia="Times New Roman" w:hAnsi="Times New Roman"/>
          <w:sz w:val="18"/>
          <w:szCs w:val="18"/>
          <w:u w:val="single" w:color="auto"/>
          <w:color w:val="auto"/>
        </w:rPr>
        <w:t>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the Company and Cantor Fitzgerald &amp; Co., that to the best of the knowledge of the undersigned:</w:t>
      </w:r>
    </w:p>
    <w:p>
      <w:pPr>
        <w:spacing w:after="0" w:line="68" w:lineRule="exact"/>
        <w:rPr>
          <w:sz w:val="20"/>
          <w:szCs w:val="20"/>
          <w:color w:val="auto"/>
        </w:rPr>
      </w:pPr>
    </w:p>
    <w:p>
      <w:pPr>
        <w:jc w:val="both"/>
        <w:ind w:firstLine="1428"/>
        <w:spacing w:after="0" w:line="261" w:lineRule="auto"/>
        <w:tabs>
          <w:tab w:leader="none" w:pos="164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Sales Agreement are true and correct on and as of the date hereof with the same force and effect as if expressly made on and as of the date hereof, except for those representations and warranties that speak solely as of a specific date and which were true and correct as of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representations and warranties also shall be qualified by the disclosure included or incorporated by reference in the Registration Statement and Prospectus; and</w:t>
      </w:r>
    </w:p>
    <w:p>
      <w:pPr>
        <w:spacing w:after="0" w:line="179" w:lineRule="exact"/>
        <w:rPr>
          <w:rFonts w:ascii="Times New Roman" w:cs="Times New Roman" w:eastAsia="Times New Roman" w:hAnsi="Times New Roman"/>
          <w:sz w:val="18"/>
          <w:szCs w:val="18"/>
          <w:color w:val="auto"/>
        </w:rPr>
      </w:pPr>
    </w:p>
    <w:p>
      <w:pPr>
        <w:ind w:right="180" w:firstLine="1428"/>
        <w:spacing w:after="0" w:line="282" w:lineRule="auto"/>
        <w:tabs>
          <w:tab w:leader="none" w:pos="169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agreements and satisfied all conditions on its part to be performed or satisfied pursuant to the Sales Agreement at or prior to the date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herein without definition shall have the meanings given to such terms in the Sales Agreement.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t>
      </w:r>
    </w:p>
    <w:p>
      <w:pPr>
        <w:sectPr>
          <w:pgSz w:w="11900" w:h="16838" w:orient="portrait"/>
          <w:cols w:equalWidth="0" w:num="1">
            <w:col w:w="10960"/>
          </w:cols>
          <w:pgMar w:left="440" w:top="266" w:right="4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S-3ASR (File No. 333-281359) (as amended or supplemented, the “Registration Statement”) filed on August 8, 2024 with the Securities and Exchange Commission (the “Commission”) pursuant to the Securities Act of 1933, as amended (the “Securities Act”), relating to the registration of the offering by Disc Medicine, Inc., a Delaware corporation (the “Company”) of any combination of securities of the types specified therein. Reference is made to our opinion letter dated August 8, 2024 and included as Exhibit 5.1 to the Registration Statement. We are delivering this supplemental opinion letter in connection with the prospectus supplement (the “Prospectus Supplement”) filed on November 15, 2024 by the Company with the Commission pursuant to Rule 424 under the Securities Act. The Prospectus Supplement relates to the offering by the Company of up to $200,000,000 in shares (the “Shares”) of the Company’s common stock, par value $0.0001 per share (“Common Stock”) covered by the Registration Statement. The Shares are being offered and sold by the sales agent named in, and pursuant to, a sales agreement between the Company and such sales agent.</w:t>
      </w:r>
    </w:p>
    <w:p>
      <w:pPr>
        <w:spacing w:after="0" w:line="188"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the Shares are issued for a price per share equal to or greater than the minimum price authorized by the Company’s board of directors (or a duly authorized committee of the board of directors) prior to the date hereof (the “Minimum Price”) and that no event occurs that causes the number of authorized shares of Common Stock available for issuance by the Company to be less than the number of then unissued Shares that may be issued for the Minimum Price.</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opinion set forth below, we refer to the following as “Future Approval and Issuance”: (a) 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ectPr>
          <w:pgSz w:w="11900" w:h="16838" w:orient="portrait"/>
          <w:cols w:equalWidth="0" w:num="1">
            <w:col w:w="11020"/>
          </w:cols>
          <w:pgMar w:left="440" w:top="117"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Future Approval and Issuance, will be validly issued, fully paid and nonassessable.</w:t>
      </w:r>
    </w:p>
    <w:p>
      <w:pPr>
        <w:spacing w:after="0" w:line="160" w:lineRule="exact"/>
        <w:rPr>
          <w:sz w:val="20"/>
          <w:szCs w:val="20"/>
          <w:color w:val="auto"/>
        </w:rPr>
      </w:pPr>
    </w:p>
    <w:p>
      <w:pPr>
        <w:ind w:right="3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opinions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Lawyer </w:t>
      </w:r>
      <w:r>
        <w:rPr>
          <w:rFonts w:ascii="Times New Roman" w:cs="Times New Roman" w:eastAsia="Times New Roman" w:hAnsi="Times New Roman"/>
          <w:sz w:val="18"/>
          <w:szCs w:val="18"/>
          <w:color w:val="auto"/>
        </w:rPr>
        <w:t>815 (Summer 2019).</w:t>
      </w:r>
    </w:p>
    <w:p>
      <w:pPr>
        <w:spacing w:after="0" w:line="160"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Company’s Current Report on Form 8-K relating to the Shares (the “Current Report”) which is incorporated by reference in the Registration Statement. We hereby consent to the filing of this opinion letter as Exhibit 5.1 to the Current Report and its incorporation by reference and the reference to our firm in that report. In giving our consent, we do not admit that we are in the category of persons whose consent is required under Section 7 of the Securities Act or the rules and regulations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/s/ Goodwin Procter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decimal"/>
      <w:start w:val="1"/>
    </w:lvl>
  </w:abstractNum>
  <w:abstractNum w:abstractNumId="2">
    <w:nsid w:val="8138641"/>
    <w:multiLevelType w:val="hybridMultilevel"/>
    <w:lvl w:ilvl="0">
      <w:lvlJc w:val="left"/>
      <w:lvlText w:val="%1."/>
      <w:numFmt w:val="decimal"/>
      <w:start w:val="2"/>
    </w:lvl>
  </w:abstractNum>
  <w:abstractNum w:abstractNumId="3">
    <w:nsid w:val="1E7FF521"/>
    <w:multiLevelType w:val="hybridMultilevel"/>
    <w:lvl w:ilvl="0">
      <w:lvlJc w:val="left"/>
      <w:lvlText w:val="%1."/>
      <w:numFmt w:val="decimal"/>
      <w:start w:val="3"/>
    </w:lvl>
  </w:abstractNum>
  <w:abstractNum w:abstractNumId="4">
    <w:nsid w:val="7C3DBD3D"/>
    <w:multiLevelType w:val="hybridMultilevel"/>
    <w:lvl w:ilvl="0">
      <w:lvlJc w:val="left"/>
      <w:lvlText w:val="%1."/>
      <w:numFmt w:val="decimal"/>
      <w:start w:val="5"/>
    </w:lvl>
  </w:abstractNum>
  <w:abstractNum w:abstractNumId="5">
    <w:nsid w:val="737B8DDC"/>
    <w:multiLevelType w:val="hybridMultilevel"/>
    <w:lvl w:ilvl="0">
      <w:lvlJc w:val="left"/>
      <w:lvlText w:val="(%1)"/>
      <w:numFmt w:val="lowerLetter"/>
      <w:start w:val="1"/>
    </w:lvl>
  </w:abstractNum>
  <w:abstractNum w:abstractNumId="6">
    <w:nsid w:val="6CEAF087"/>
    <w:multiLevelType w:val="hybridMultilevel"/>
    <w:lvl w:ilvl="0">
      <w:lvlJc w:val="left"/>
      <w:lvlText w:val="(%1)"/>
      <w:numFmt w:val="lowerLetter"/>
      <w:start w:val="4"/>
    </w:lvl>
  </w:abstractNum>
  <w:abstractNum w:abstractNumId="7">
    <w:nsid w:val="22221A70"/>
    <w:multiLevelType w:val="hybridMultilevel"/>
    <w:lvl w:ilvl="0">
      <w:lvlJc w:val="left"/>
      <w:lvlText w:val="%1."/>
      <w:numFmt w:val="decimal"/>
      <w:start w:val="6"/>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1)"/>
      <w:numFmt w:val="lowerLetter"/>
      <w:start w:val="2"/>
    </w:lvl>
  </w:abstractNum>
  <w:abstractNum w:abstractNumId="10">
    <w:nsid w:val="614FD4A1"/>
    <w:multiLevelType w:val="hybridMultilevel"/>
    <w:lvl w:ilvl="0">
      <w:lvlJc w:val="left"/>
      <w:lvlText w:val="(%1)"/>
      <w:numFmt w:val="lowerLetter"/>
      <w:start w:val="6"/>
    </w:lvl>
  </w:abstractNum>
  <w:abstractNum w:abstractNumId="11">
    <w:nsid w:val="419AC241"/>
    <w:multiLevelType w:val="hybridMultilevel"/>
    <w:lvl w:ilvl="0">
      <w:lvlJc w:val="left"/>
      <w:lvlText w:val="(%1)"/>
      <w:numFmt w:val="lowerLetter"/>
      <w:start w:val="10"/>
    </w:lvl>
  </w:abstractNum>
  <w:abstractNum w:abstractNumId="12">
    <w:nsid w:val="5577F8E1"/>
    <w:multiLevelType w:val="hybridMultilevel"/>
    <w:lvl w:ilvl="0">
      <w:lvlJc w:val="left"/>
      <w:lvlText w:val="(%1)"/>
      <w:numFmt w:val="lowerLetter"/>
      <w:start w:val="14"/>
    </w:lvl>
  </w:abstractNum>
  <w:abstractNum w:abstractNumId="13">
    <w:nsid w:val="440BADFC"/>
    <w:multiLevelType w:val="hybridMultilevel"/>
    <w:lvl w:ilvl="0">
      <w:lvlJc w:val="left"/>
      <w:lvlText w:val="(%1)"/>
      <w:numFmt w:val="lowerLetter"/>
      <w:start w:val="17"/>
    </w:lvl>
  </w:abstractNum>
  <w:abstractNum w:abstractNumId="14">
    <w:nsid w:val="5072367"/>
    <w:multiLevelType w:val="hybridMultilevel"/>
    <w:lvl w:ilvl="0">
      <w:lvlJc w:val="left"/>
      <w:lvlText w:val="(%1)"/>
      <w:numFmt w:val="lowerLetter"/>
      <w:start w:val="22"/>
    </w:lvl>
  </w:abstractNum>
  <w:abstractNum w:abstractNumId="15">
    <w:nsid w:val="3804823E"/>
    <w:multiLevelType w:val="hybridMultilevel"/>
    <w:lvl w:ilvl="0">
      <w:lvlJc w:val="left"/>
      <w:lvlText w:val="(%1)"/>
      <w:numFmt w:val="lowerLetter"/>
      <w:start w:val="27"/>
    </w:lvl>
  </w:abstractNum>
  <w:abstractNum w:abstractNumId="16">
    <w:nsid w:val="77465F01"/>
    <w:multiLevelType w:val="hybridMultilevel"/>
    <w:lvl w:ilvl="0">
      <w:lvlJc w:val="left"/>
      <w:lvlText w:val="(%1)"/>
      <w:numFmt w:val="lowerLetter"/>
      <w:start w:val="29"/>
    </w:lvl>
    <w:lvl w:ilvl="1">
      <w:lvlJc w:val="left"/>
      <w:lvlText w:val="(%2)"/>
      <w:numFmt w:val="lowerRoman"/>
      <w:start w:val="3"/>
    </w:lvl>
    <w:lvl w:ilvl="2">
      <w:lvlJc w:val="left"/>
      <w:lvlText w:val="(%3)"/>
      <w:numFmt w:val="upperLetter"/>
      <w:start w:val="1"/>
    </w:lvl>
  </w:abstractNum>
  <w:abstractNum w:abstractNumId="17">
    <w:nsid w:val="7724C67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8">
    <w:nsid w:val="5C482A97"/>
    <w:multiLevelType w:val="hybridMultilevel"/>
    <w:lvl w:ilvl="0">
      <w:lvlJc w:val="left"/>
      <w:lvlText w:val="(%1)"/>
      <w:numFmt w:val="lowerLetter"/>
      <w:start w:val="32"/>
    </w:lvl>
    <w:lvl w:ilvl="1">
      <w:lvlJc w:val="left"/>
      <w:lvlText w:val="%2"/>
      <w:numFmt w:val="lowerRoman"/>
      <w:start w:val="1"/>
    </w:lvl>
    <w:lvl w:ilvl="2">
      <w:lvlJc w:val="left"/>
      <w:lvlText w:val="%3"/>
      <w:numFmt w:val="upperLetter"/>
      <w:start w:val="1"/>
    </w:lvl>
  </w:abstractNum>
  <w:abstractNum w:abstractNumId="19">
    <w:nsid w:val="2463B9EA"/>
    <w:multiLevelType w:val="hybridMultilevel"/>
    <w:lvl w:ilvl="0">
      <w:lvlJc w:val="left"/>
      <w:lvlText w:val="(%1)"/>
      <w:numFmt w:val="lowerLetter"/>
      <w:start w:val="34"/>
    </w:lvl>
  </w:abstractNum>
  <w:abstractNum w:abstractNumId="20">
    <w:nsid w:val="5E884ADC"/>
    <w:multiLevelType w:val="hybridMultilevel"/>
    <w:lvl w:ilvl="0">
      <w:lvlJc w:val="left"/>
      <w:lvlText w:val="(%1)"/>
      <w:numFmt w:val="lowerLetter"/>
      <w:start w:val="37"/>
    </w:lvl>
  </w:abstractNum>
  <w:abstractNum w:abstractNumId="21">
    <w:nsid w:val="51EAD36B"/>
    <w:multiLevelType w:val="hybridMultilevel"/>
    <w:lvl w:ilvl="0">
      <w:lvlJc w:val="left"/>
      <w:lvlText w:val="(%1)"/>
      <w:numFmt w:val="lowerLetter"/>
      <w:start w:val="39"/>
    </w:lvl>
  </w:abstractNum>
  <w:abstractNum w:abstractNumId="22">
    <w:nsid w:val="2D517796"/>
    <w:multiLevelType w:val="hybridMultilevel"/>
    <w:lvl w:ilvl="0">
      <w:lvlJc w:val="left"/>
      <w:lvlText w:val="(%1)"/>
      <w:numFmt w:val="lowerLetter"/>
      <w:start w:val="45"/>
    </w:lvl>
  </w:abstractNum>
  <w:abstractNum w:abstractNumId="23">
    <w:nsid w:val="580BD78F"/>
    <w:multiLevelType w:val="hybridMultilevel"/>
    <w:lvl w:ilvl="0">
      <w:lvlJc w:val="left"/>
      <w:lvlText w:val="%1."/>
      <w:numFmt w:val="decimal"/>
      <w:start w:val="7"/>
    </w:lvl>
  </w:abstractNum>
  <w:abstractNum w:abstractNumId="24">
    <w:nsid w:val="153EA438"/>
    <w:multiLevelType w:val="hybridMultilevel"/>
    <w:lvl w:ilvl="0">
      <w:lvlJc w:val="left"/>
      <w:lvlText w:val="(%1)"/>
      <w:numFmt w:val="lowerLetter"/>
      <w:start w:val="1"/>
    </w:lvl>
  </w:abstractNum>
  <w:abstractNum w:abstractNumId="25">
    <w:nsid w:val="3855585C"/>
    <w:multiLevelType w:val="hybridMultilevel"/>
    <w:lvl w:ilvl="0">
      <w:lvlJc w:val="left"/>
      <w:lvlText w:val="(%1)"/>
      <w:numFmt w:val="lowerLetter"/>
      <w:start w:val="2"/>
    </w:lvl>
  </w:abstractNum>
  <w:abstractNum w:abstractNumId="26">
    <w:nsid w:val="70A64E2A"/>
    <w:multiLevelType w:val="hybridMultilevel"/>
    <w:lvl w:ilvl="0">
      <w:lvlJc w:val="left"/>
      <w:lvlText w:val="(%1)"/>
      <w:numFmt w:val="lowerLetter"/>
      <w:start w:val="4"/>
    </w:lvl>
  </w:abstractNum>
  <w:abstractNum w:abstractNumId="27">
    <w:nsid w:val="6A2342EC"/>
    <w:multiLevelType w:val="hybridMultilevel"/>
    <w:lvl w:ilvl="0">
      <w:lvlJc w:val="left"/>
      <w:lvlText w:val="(%1)"/>
      <w:numFmt w:val="lowerLetter"/>
      <w:start w:val="9"/>
    </w:lvl>
  </w:abstractNum>
  <w:abstractNum w:abstractNumId="28">
    <w:nsid w:val="2A487CB0"/>
    <w:multiLevelType w:val="hybridMultilevel"/>
    <w:lvl w:ilvl="0">
      <w:lvlJc w:val="left"/>
      <w:lvlText w:val="(%1)"/>
      <w:numFmt w:val="lowerLetter"/>
      <w:start w:val="12"/>
    </w:lvl>
    <w:lvl w:ilvl="1">
      <w:lvlJc w:val="left"/>
      <w:lvlText w:val="(%2)"/>
      <w:numFmt w:val="lowerRoman"/>
      <w:start w:val="1"/>
    </w:lvl>
  </w:abstractNum>
  <w:abstractNum w:abstractNumId="29">
    <w:nsid w:val="1D4ED43B"/>
    <w:multiLevelType w:val="hybridMultilevel"/>
    <w:lvl w:ilvl="0">
      <w:lvlJc w:val="left"/>
      <w:lvlText w:val="(%1)"/>
      <w:numFmt w:val="lowerLetter"/>
      <w:start w:val="13"/>
    </w:lvl>
  </w:abstractNum>
  <w:abstractNum w:abstractNumId="30">
    <w:nsid w:val="725A06FB"/>
    <w:multiLevelType w:val="hybridMultilevel"/>
    <w:lvl w:ilvl="0">
      <w:lvlJc w:val="left"/>
      <w:lvlText w:val="(%1)"/>
      <w:numFmt w:val="lowerLetter"/>
      <w:start w:val="14"/>
    </w:lvl>
  </w:abstractNum>
  <w:abstractNum w:abstractNumId="31">
    <w:nsid w:val="2CD89A32"/>
    <w:multiLevelType w:val="hybridMultilevel"/>
    <w:lvl w:ilvl="0">
      <w:lvlJc w:val="left"/>
      <w:lvlText w:val="(%1)"/>
      <w:numFmt w:val="lowerLetter"/>
      <w:start w:val="18"/>
    </w:lvl>
    <w:lvl w:ilvl="1">
      <w:lvlJc w:val="left"/>
      <w:lvlText w:val="(%2)"/>
      <w:numFmt w:val="lowerRoman"/>
      <w:start w:val="2"/>
    </w:lvl>
  </w:abstractNum>
  <w:abstractNum w:abstractNumId="32">
    <w:nsid w:val="57E4CCAF"/>
    <w:multiLevelType w:val="hybridMultilevel"/>
    <w:lvl w:ilvl="0">
      <w:lvlJc w:val="left"/>
      <w:lvlText w:val="%1"/>
      <w:numFmt w:val="lowerLetter"/>
      <w:start w:val="1"/>
    </w:lvl>
    <w:lvl w:ilvl="1">
      <w:lvlJc w:val="left"/>
      <w:lvlText w:val="(%2)"/>
      <w:numFmt w:val="lowerRoman"/>
      <w:start w:val="4"/>
    </w:lvl>
  </w:abstractNum>
  <w:abstractNum w:abstractNumId="33">
    <w:nsid w:val="7A6D8D3C"/>
    <w:multiLevelType w:val="hybridMultilevel"/>
    <w:lvl w:ilvl="0">
      <w:lvlJc w:val="left"/>
      <w:lvlText w:val="(%1)"/>
      <w:numFmt w:val="lowerLetter"/>
      <w:start w:val="21"/>
    </w:lvl>
  </w:abstractNum>
  <w:abstractNum w:abstractNumId="34">
    <w:nsid w:val="4B588F54"/>
    <w:multiLevelType w:val="hybridMultilevel"/>
    <w:lvl w:ilvl="0">
      <w:lvlJc w:val="left"/>
      <w:lvlText w:val="%1."/>
      <w:numFmt w:val="decimal"/>
      <w:start w:val="8"/>
    </w:lvl>
  </w:abstractNum>
  <w:abstractNum w:abstractNumId="35">
    <w:nsid w:val="542289EC"/>
    <w:multiLevelType w:val="hybridMultilevel"/>
    <w:lvl w:ilvl="0">
      <w:lvlJc w:val="left"/>
      <w:lvlText w:val="%1."/>
      <w:numFmt w:val="decimal"/>
      <w:start w:val="9"/>
    </w:lvl>
  </w:abstractNum>
  <w:abstractNum w:abstractNumId="36">
    <w:nsid w:val="6DE91B18"/>
    <w:multiLevelType w:val="hybridMultilevel"/>
    <w:lvl w:ilvl="0">
      <w:lvlJc w:val="left"/>
      <w:lvlText w:val="(%1)"/>
      <w:numFmt w:val="lowerLetter"/>
      <w:start w:val="1"/>
    </w:lvl>
  </w:abstractNum>
  <w:abstractNum w:abstractNumId="37">
    <w:nsid w:val="38437FDB"/>
    <w:multiLevelType w:val="hybridMultilevel"/>
    <w:lvl w:ilvl="0">
      <w:lvlJc w:val="left"/>
      <w:lvlText w:val="(%1)"/>
      <w:numFmt w:val="lowerLetter"/>
      <w:start w:val="5"/>
    </w:lvl>
  </w:abstractNum>
  <w:abstractNum w:abstractNumId="38">
    <w:nsid w:val="7644A45C"/>
    <w:multiLevelType w:val="hybridMultilevel"/>
    <w:lvl w:ilvl="0">
      <w:lvlJc w:val="left"/>
      <w:lvlText w:val="%1."/>
      <w:numFmt w:val="decimal"/>
      <w:start w:val="10"/>
    </w:lvl>
  </w:abstractNum>
  <w:abstractNum w:abstractNumId="39">
    <w:nsid w:val="32FFF902"/>
    <w:multiLevelType w:val="hybridMultilevel"/>
    <w:lvl w:ilvl="0">
      <w:lvlJc w:val="left"/>
      <w:lvlText w:val="(%1)"/>
      <w:numFmt w:val="lowerLetter"/>
      <w:start w:val="1"/>
    </w:lvl>
    <w:lvl w:ilvl="1">
      <w:lvlJc w:val="left"/>
      <w:lvlText w:val="(%2)"/>
      <w:numFmt w:val="lowerLetter"/>
      <w:start w:val="9"/>
    </w:lvl>
  </w:abstractNum>
  <w:abstractNum w:abstractNumId="40">
    <w:nsid w:val="684A481A"/>
    <w:multiLevelType w:val="hybridMultilevel"/>
    <w:lvl w:ilvl="0">
      <w:lvlJc w:val="left"/>
      <w:lvlText w:val="(%1)"/>
      <w:numFmt w:val="lowerRoman"/>
      <w:start w:val="2"/>
    </w:lvl>
  </w:abstractNum>
  <w:abstractNum w:abstractNumId="41">
    <w:nsid w:val="579478FE"/>
    <w:multiLevelType w:val="hybridMultilevel"/>
    <w:lvl w:ilvl="0">
      <w:lvlJc w:val="left"/>
      <w:lvlText w:val="(%1)"/>
      <w:numFmt w:val="lowerLetter"/>
      <w:start w:val="2"/>
    </w:lvl>
  </w:abstractNum>
  <w:abstractNum w:abstractNumId="42">
    <w:nsid w:val="749ABB43"/>
    <w:multiLevelType w:val="hybridMultilevel"/>
    <w:lvl w:ilvl="0">
      <w:lvlJc w:val="left"/>
      <w:lvlText w:val="%1"/>
      <w:numFmt w:val="lowerLetter"/>
      <w:start w:val="1"/>
    </w:lvl>
    <w:lvl w:ilvl="1">
      <w:lvlJc w:val="left"/>
      <w:lvlText w:val="(%2)"/>
      <w:numFmt w:val="decimal"/>
      <w:start w:val="3"/>
    </w:lvl>
  </w:abstractNum>
  <w:abstractNum w:abstractNumId="43">
    <w:nsid w:val="3DC240FB"/>
    <w:multiLevelType w:val="hybridMultilevel"/>
    <w:lvl w:ilvl="0">
      <w:lvlJc w:val="left"/>
      <w:lvlText w:val="%1"/>
      <w:numFmt w:val="lowerLetter"/>
      <w:start w:val="1"/>
    </w:lvl>
    <w:lvl w:ilvl="1">
      <w:lvlJc w:val="left"/>
      <w:lvlText w:val="(%2)"/>
      <w:numFmt w:val="decimal"/>
      <w:start w:val="1"/>
    </w:lvl>
  </w:abstractNum>
  <w:abstractNum w:abstractNumId="44">
    <w:nsid w:val="1BA026FA"/>
    <w:multiLevelType w:val="hybridMultilevel"/>
    <w:lvl w:ilvl="0">
      <w:lvlJc w:val="left"/>
      <w:lvlText w:val="(%1)"/>
      <w:numFmt w:val="lowerLetter"/>
      <w:start w:val="4"/>
    </w:lvl>
    <w:lvl w:ilvl="1">
      <w:lvlJc w:val="left"/>
      <w:lvlText w:val="%2"/>
      <w:numFmt w:val="decimal"/>
      <w:start w:val="1"/>
    </w:lvl>
  </w:abstractNum>
  <w:abstractNum w:abstractNumId="45">
    <w:nsid w:val="79A1DEAA"/>
    <w:multiLevelType w:val="hybridMultilevel"/>
    <w:lvl w:ilvl="0">
      <w:lvlJc w:val="left"/>
      <w:lvlText w:val="(%1)"/>
      <w:numFmt w:val="lowerLetter"/>
      <w:start w:val="5"/>
    </w:lvl>
  </w:abstractNum>
  <w:abstractNum w:abstractNumId="46">
    <w:nsid w:val="75C6C33A"/>
    <w:multiLevelType w:val="hybridMultilevel"/>
    <w:lvl w:ilvl="0">
      <w:lvlJc w:val="left"/>
      <w:lvlText w:val="%1."/>
      <w:numFmt w:val="decimal"/>
      <w:start w:val="11"/>
    </w:lvl>
  </w:abstractNum>
  <w:abstractNum w:abstractNumId="47">
    <w:nsid w:val="12E685FB"/>
    <w:multiLevelType w:val="hybridMultilevel"/>
    <w:lvl w:ilvl="0">
      <w:lvlJc w:val="left"/>
      <w:lvlText w:val="(%1)"/>
      <w:numFmt w:val="lowerLetter"/>
      <w:start w:val="1"/>
    </w:lvl>
    <w:lvl w:ilvl="1">
      <w:lvlJc w:val="left"/>
      <w:lvlText w:val="(%2)"/>
      <w:numFmt w:val="decimal"/>
      <w:start w:val="5"/>
    </w:lvl>
  </w:abstractNum>
  <w:abstractNum w:abstractNumId="48">
    <w:nsid w:val="70C6A529"/>
    <w:multiLevelType w:val="hybridMultilevel"/>
    <w:lvl w:ilvl="0">
      <w:lvlJc w:val="left"/>
      <w:lvlText w:val="(%1)"/>
      <w:numFmt w:val="lowerLetter"/>
      <w:start w:val="3"/>
    </w:lvl>
  </w:abstractNum>
  <w:abstractNum w:abstractNumId="49">
    <w:nsid w:val="520EEDD1"/>
    <w:multiLevelType w:val="hybridMultilevel"/>
    <w:lvl w:ilvl="0">
      <w:lvlJc w:val="left"/>
      <w:lvlText w:val="%1."/>
      <w:numFmt w:val="decimal"/>
      <w:start w:val="13"/>
    </w:lvl>
  </w:abstractNum>
  <w:abstractNum w:abstractNumId="50">
    <w:nsid w:val="374A3FE6"/>
    <w:multiLevelType w:val="hybridMultilevel"/>
    <w:lvl w:ilvl="0">
      <w:lvlJc w:val="left"/>
      <w:lvlText w:val="%1."/>
      <w:numFmt w:val="decimal"/>
      <w:start w:val="14"/>
    </w:lvl>
  </w:abstractNum>
  <w:abstractNum w:abstractNumId="51">
    <w:nsid w:val="4F4EF005"/>
    <w:multiLevelType w:val="hybridMultilevel"/>
    <w:lvl w:ilvl="0">
      <w:lvlJc w:val="left"/>
      <w:lvlText w:val="%1."/>
      <w:numFmt w:val="decimal"/>
      <w:start w:val="16"/>
    </w:lvl>
  </w:abstractNum>
  <w:abstractNum w:abstractNumId="52">
    <w:nsid w:val="23F9C13C"/>
    <w:multiLevelType w:val="hybridMultilevel"/>
    <w:lvl w:ilvl="0">
      <w:lvlJc w:val="left"/>
      <w:lvlText w:val="%1."/>
      <w:numFmt w:val="decimal"/>
      <w:start w:val="19"/>
    </w:lvl>
  </w:abstractNum>
  <w:abstractNum w:abstractNumId="53">
    <w:nsid w:val="649BB77C"/>
    <w:multiLevelType w:val="hybridMultilevel"/>
    <w:lvl w:ilvl="0">
      <w:lvlJc w:val="left"/>
      <w:lvlText w:val="(%1)"/>
      <w:numFmt w:val="lowerLetter"/>
      <w:start w:val="1"/>
    </w:lvl>
  </w:abstractNum>
  <w:abstractNum w:abstractNumId="54">
    <w:nsid w:val="275AC794"/>
    <w:multiLevelType w:val="hybridMultilevel"/>
    <w:lvl w:ilvl="0">
      <w:lvlJc w:val="left"/>
      <w:lvlText w:val="%1."/>
      <w:numFmt w:val="decimal"/>
      <w:start w:val="23"/>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2024-11-15T15:48:42Z</dcterms:created>
  <dcterms:modified xsi:type="dcterms:W3CDTF">2024-11-15T15:48:42Z</dcterms:modified>
</cp:coreProperties>
</file>