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06,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321 Arsenal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101</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5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6, 2025, Disc Medicine, Inc. announced its financial results for the third quarter ended September 30, 2025 and provided a corporate update.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in connection with the announcement is being furnished as Exhibit 99.1 to this Current Report on Form 8-K.</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2.02 of this Current Report on Form 8-K shall be deemed to be furnished and not filed: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9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98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issued by Disc Medicine, Inc. on November 6, 2025, furnished herewith.</w:t>
            </w:r>
          </w:p>
        </w:tc>
      </w:tr>
      <w:tr>
        <w:trPr>
          <w:trHeight w:val="23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62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680" w:type="dxa"/>
            <w:vAlign w:val="bottom"/>
          </w:tcPr>
          <w:p>
            <w:pPr>
              <w:spacing w:after="0"/>
              <w:rPr>
                <w:sz w:val="20"/>
                <w:szCs w:val="20"/>
                <w:color w:val="auto"/>
              </w:rPr>
            </w:pPr>
          </w:p>
        </w:tc>
      </w:tr>
      <w:tr>
        <w:trPr>
          <w:trHeight w:val="979"/>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9"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2025</w:t>
      </w:r>
      <w:r>
        <w:rPr>
          <w:sz w:val="20"/>
          <w:szCs w:val="20"/>
          <w:color w:val="auto"/>
        </w:rPr>
        <w:tab/>
      </w:r>
      <w:r>
        <w:rPr>
          <w:rFonts w:ascii="Times New Roman" w:cs="Times New Roman" w:eastAsia="Times New Roman" w:hAnsi="Times New Roman"/>
          <w:sz w:val="18"/>
          <w:szCs w:val="18"/>
          <w:color w:val="auto"/>
        </w:rPr>
        <w:t>By:</w:t>
        <w:tab/>
        <w:t>/s/ John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John Quisel, J.D.,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254250"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5425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Disc Medicine Reports Third Quarter 2025 Financial Results and Provides Business Update</w:t>
      </w:r>
    </w:p>
    <w:p>
      <w:pPr>
        <w:spacing w:after="0" w:line="109" w:lineRule="exact"/>
        <w:rPr>
          <w:sz w:val="20"/>
          <w:szCs w:val="20"/>
          <w:color w:val="auto"/>
        </w:rPr>
      </w:pPr>
    </w:p>
    <w:p>
      <w:pPr>
        <w:jc w:val="both"/>
        <w:ind w:left="1020" w:hanging="503"/>
        <w:spacing w:after="0" w:line="267"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Submitted a New Drug Application (NDA) for accelerated approval of bitopertin in erythropoietic protoporphyria (EPP) on September 29, 2025; Awarded the FDA Commissioner’s National Priority Voucher (CNPV), which is designed to shorten the expected NDA review period to 1-2 months from NDA acceptance</w:t>
      </w:r>
    </w:p>
    <w:p>
      <w:pPr>
        <w:spacing w:after="0" w:line="65"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Acceleration of ongoing efforts to support the potential earlier approval and commercialization of bitopertin for EPP in the US, expected in late 2025 or early 2026</w:t>
      </w:r>
    </w:p>
    <w:p>
      <w:pPr>
        <w:spacing w:after="0" w:line="50"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data from Phase 2 study of DISC-0974 in patients with anemia of myelofibrosis (MF) to be presented at the American Society of Hematology (ASH) conference in December</w:t>
      </w:r>
    </w:p>
    <w:p>
      <w:pPr>
        <w:spacing w:after="0" w:line="50"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Progressing ongoing Phase 2 study of DISC-3405 in polycythemia vera (PV) and initiated a Phase 1b study of DISC-3405 in sickle cell disease (SCD) in October</w:t>
      </w:r>
    </w:p>
    <w:p>
      <w:pPr>
        <w:spacing w:after="0" w:line="50"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Strong financial position ending Q3 with approximately $616 million in cash, cash equivalents, and marketable securities; completed a public offering in October 2025, with net proceeds of approximately $211M expected to extend cash runway into 2029</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WATERTOWN, Mass., November 6, 2025 – Disc Medicine, Inc. (NASDAQ:IRON), a clinical-stage biopharmaceutical company focused on the discovery, development, and commercialization of novel treatments for patients suffering from serious hematologic diseases, today reported financial results for the third quarter ended September 30, 2025, and provided a review of recent program and corporate developments.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incredibly proud of the progress across our entire pipeline this quarter, most notably around our NDA submission for bitopertin in EPP at the end of September and subsequent receipt of the CNPV,” said John Quisel, J.D., Ph.D., Chief Executive Officer and President of Disc. “Achieving this milestone is a strong testament to our team’s commitment to execution and dedication to bringing a potential new treatment option to the EPP patient community. We continue to work with the Agency on their review of our application, and we are furthering our commercial infrastructure in preparation for a potential launch.”</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“Beyond bitopertin, our broader pipeline is progressing well, as we expect new data from the Phase 2 trial of DISC-0974 in MF anemia by the end of the year and data from studies of DISC-3405 in PV and SCD next year. With a strong balance sheet providing cash runway into 2029, we are well-positioned to prepare for the anticipated launch of bitopertin and ultimately advancing towards our goal of delivering new treatment options to patients suffering from hematological diseases.”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Highlights and Anticipated Milestones: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Bitopertin: GlyT1 Inhibitor (Heme Synthesis Modulator)</w:t>
      </w:r>
    </w:p>
    <w:p>
      <w:pPr>
        <w:spacing w:after="0" w:line="121" w:lineRule="exact"/>
        <w:rPr>
          <w:sz w:val="20"/>
          <w:szCs w:val="20"/>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NDA for bitopertin in EPP seeking priority review and accelerated approval with reduction in protoporphyrin IX (PPIX) as the surrogate endpoint for approval supported by clinical results from BEACON and AURORA Phase 2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CNPV, which is designed to shorten the NDA review process to 1-2 months from NDA acceptance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activities to support a potential US approval and launch in late 2025 or early 2026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Progressing confirmatory Phase 3 APOLLO clinical trial of bitopertin in adults and adolescents with EPP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DISC-0974: Anti-Hemojuvelin Antibody (Hepcidin Suppression)</w:t>
      </w:r>
    </w:p>
    <w:p>
      <w:pPr>
        <w:spacing w:after="0" w:line="121" w:lineRule="exact"/>
        <w:rPr>
          <w:sz w:val="20"/>
          <w:szCs w:val="20"/>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data from Phase 2 RALLY-MF trial of DISC-0974 in patients with anemia of myelofibrosis (MF) to be presented at ASH Annual Meeting in December, with topline data expected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 w:name="page5"/>
    <w:bookmarkEnd w:id="4"/>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254250" cy="351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recently completed multiple-dose cohorts of Phase 1b study of DISC-0974 in patients with anemia of NDD-CKD to be presented at ASN Kidney Week</w:t>
      </w:r>
    </w:p>
    <w:p>
      <w:pPr>
        <w:spacing w:after="0" w:line="53"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oDISC-0974 was generally well-tolerated with substantial decreases in hepcidin, increases in iron, and improvements in markers of erythropoiesis</w:t>
      </w:r>
    </w:p>
    <w:p>
      <w:pPr>
        <w:spacing w:after="0" w:line="53"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oMeaningful hemoglobin increases observed in only a subset of patients were in part driven by those with higher baseline erythropoietin (EPO) levels</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Disc is assessing options for the program based on full analysis of the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study in patients with inflammatory bowel disease (IBD) and anemia anticipated to begin in Q1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DISC-3405: Anti-TMPRSS6 Antibody (Hepcidin Induction)</w:t>
      </w:r>
    </w:p>
    <w:p>
      <w:pPr>
        <w:spacing w:after="0" w:line="121"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Progressing ongoing Phase 2 study of DISC-3405 in patients with PV with initial data expected in 2026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Phase 1b study of DISC-3405 in patients with SCD in October 2025 with initial data expected in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2025 Financial Results:</w:t>
      </w:r>
    </w:p>
    <w:p>
      <w:pPr>
        <w:spacing w:after="0" w:line="117" w:lineRule="exact"/>
        <w:rPr>
          <w:sz w:val="20"/>
          <w:szCs w:val="20"/>
          <w:color w:val="auto"/>
        </w:rPr>
      </w:pPr>
    </w:p>
    <w:p>
      <w:pPr>
        <w:ind w:left="1020" w:hanging="503"/>
        <w:spacing w:after="0" w:line="28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Cash, cash equivalents, and marketable securities were $615.9 million as of September 30, 2025. In October 2025, Disc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completed a public offering with net proceeds of approximately $211 million, extending cash runway into 2029.</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6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R&amp;D expenses were $50.3 million for the three months ended September 30, 2025,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$24.7 million for the three months ended September 30, 2024. The increase in R&amp;D expenses was primarily driven by the progression of Disc’s portfolio, including bitopertin’s clinical studies and drug manufacturing, the advancement of the DISC-0974 program, and increased headcount, as well as a payment of a $10.0 million milestone upon first administration to a patient in the Phase 2 trial of DISC-3405.</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SG&amp;A expenses were $17.4 million for the three months ended September 30, 2025,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$8.2 million for the three months ended September 30, 2024. The increase in SG&amp;A expenses was primarily due to increased headcount including establishing infrastructure to support potential commercialization.</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$62.3 million for the three months ended September 30, 2025, as compared to $26.6 million for the three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September 30, 2024. The increase was primarily due to higher operating costs in the current period to support the continued advancement of our pipeline.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Disc Medicine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 Medicine (NASDAQ:IRON)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www.discmedicine.com.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 announces material information to the public about the Company, its products and services, and other matters through a variety of means, including filings with the U.S. Securities and Exchange Commission (SEC), press releases, public conference calls, webcasts and the investor relations section of the Company website at ir.discmedicine.com in order to achieve broad, non-exclusionary distribution of information to the public and for complying with its disclosure obligations under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254250" cy="351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Disc Cautionary Statement Regarding 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but not limited to, express or implied statements regarding: Disc's expectations with respect to the next stages of its development programs for bitopertin, DISC-0974 and DISC-3405, including projected timelines for the initiation and completion of its clinical trials, anticipated timing of release of data, and other clinical activities; the registrational pathway for bitopertin, including the potential for accelerated approval, benefits of the CNPV, expected review period and the timing of approval, if granted; anticipated discussions with regulatory agencies; ongoing preparations for the potential launch of bitopertin; and the strength of its financial position and its anticipated cash runway.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the content and timing of decisions made by the FDA and other regulatory authorities; and the other risks and uncertainties described in Disc’s filings with the Securities and Exchange Commission, including in the “Risk Factors” section of Disc’s Annual Report on Form 10-K for the year ended December 31, 2024, and in subsequent Quarterly Reports on Form 10-Q.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254250" cy="351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40" w:type="dxa"/>
            <w:vAlign w:val="bottom"/>
            <w:gridSpan w:val="7"/>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gridSpan w:val="7"/>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4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50,334</w:t>
            </w:r>
          </w:p>
        </w:tc>
        <w:tc>
          <w:tcPr>
            <w:tcW w:w="16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24,685</w:t>
            </w:r>
          </w:p>
        </w:tc>
        <w:tc>
          <w:tcPr>
            <w:tcW w:w="14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124,416</w:t>
            </w:r>
          </w:p>
        </w:tc>
        <w:tc>
          <w:tcPr>
            <w:tcW w:w="18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71,874</w:t>
            </w:r>
          </w:p>
        </w:tc>
        <w:tc>
          <w:tcPr>
            <w:tcW w:w="100" w:type="dxa"/>
            <w:vAlign w:val="bottom"/>
          </w:tcPr>
          <w:p>
            <w:pPr>
              <w:spacing w:after="0"/>
              <w:rPr>
                <w:sz w:val="18"/>
                <w:szCs w:val="18"/>
                <w:color w:val="auto"/>
              </w:rPr>
            </w:pPr>
          </w:p>
        </w:tc>
      </w:tr>
      <w:tr>
        <w:trPr>
          <w:trHeight w:val="216"/>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44,636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32,856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169,052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95,170</w:t>
            </w:r>
          </w:p>
        </w:tc>
        <w:tc>
          <w:tcPr>
            <w:tcW w:w="100" w:type="dxa"/>
            <w:vAlign w:val="bottom"/>
          </w:tcPr>
          <w:p>
            <w:pPr>
              <w:spacing w:after="0"/>
              <w:rPr>
                <w:sz w:val="18"/>
                <w:szCs w:val="18"/>
                <w:color w:val="auto"/>
              </w:rPr>
            </w:pP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(67,696)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(32,856)</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(169,052)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(95,170)</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15,449</w:t>
            </w:r>
          </w:p>
        </w:tc>
        <w:tc>
          <w:tcPr>
            <w:tcW w:w="10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7"/>
              </w:rPr>
              <w:t>(273)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r>
      <w:tr>
        <w:trPr>
          <w:trHeight w:val="20"/>
        </w:trPr>
        <w:tc>
          <w:tcPr>
            <w:tcW w:w="484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(62,321)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(26,599)</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(151,653)</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(79,900)</w:t>
            </w:r>
          </w:p>
        </w:tc>
      </w:tr>
      <w:tr>
        <w:trPr>
          <w:trHeight w:val="20"/>
        </w:trPr>
        <w:tc>
          <w:tcPr>
            <w:tcW w:w="4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8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(1.77)</w:t>
            </w:r>
          </w:p>
        </w:tc>
        <w:tc>
          <w:tcPr>
            <w:tcW w:w="3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(0.89)</w:t>
            </w:r>
          </w:p>
        </w:tc>
        <w:tc>
          <w:tcPr>
            <w:tcW w:w="3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(4.39)</w:t>
            </w:r>
          </w:p>
        </w:tc>
        <w:tc>
          <w:tcPr>
            <w:tcW w:w="300" w:type="dxa"/>
            <w:vAlign w:val="bottom"/>
            <w:gridSpan w:val="2"/>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(2.98)</w:t>
            </w:r>
          </w:p>
        </w:tc>
      </w:tr>
      <w:tr>
        <w:trPr>
          <w:trHeight w:val="197"/>
        </w:trPr>
        <w:tc>
          <w:tcPr>
            <w:tcW w:w="48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64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35,178,691</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29,935,551</w:t>
            </w: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34,516,134</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26,809,605</w:t>
            </w:r>
          </w:p>
        </w:tc>
        <w:tc>
          <w:tcPr>
            <w:tcW w:w="100" w:type="dxa"/>
            <w:vAlign w:val="bottom"/>
            <w:tcBorders>
              <w:top w:val="single" w:sz="8" w:color="CFF0FC"/>
            </w:tcBorders>
          </w:tcPr>
          <w:p>
            <w:pPr>
              <w:spacing w:after="0"/>
              <w:rPr>
                <w:sz w:val="17"/>
                <w:szCs w:val="17"/>
                <w:color w:val="auto"/>
              </w:rPr>
            </w:pPr>
          </w:p>
        </w:tc>
      </w:tr>
      <w:tr>
        <w:trPr>
          <w:trHeight w:val="20"/>
        </w:trPr>
        <w:tc>
          <w:tcPr>
            <w:tcW w:w="548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6840" w:type="dxa"/>
            <w:vAlign w:val="bottom"/>
            <w:gridSpan w:val="5"/>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9"/>
              </w:rPr>
              <w:t>DISC MEDICINE, INC.</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300" w:type="dxa"/>
            <w:vAlign w:val="bottom"/>
            <w:gridSpan w:val="10"/>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840" w:type="dxa"/>
            <w:vAlign w:val="bottom"/>
          </w:tcPr>
          <w:p>
            <w:pPr>
              <w:spacing w:after="0"/>
              <w:rPr>
                <w:sz w:val="20"/>
                <w:szCs w:val="20"/>
                <w:color w:val="auto"/>
              </w:rPr>
            </w:pPr>
          </w:p>
        </w:tc>
        <w:tc>
          <w:tcPr>
            <w:tcW w:w="200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9"/>
        </w:trPr>
        <w:tc>
          <w:tcPr>
            <w:tcW w:w="4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5"/>
        </w:trPr>
        <w:tc>
          <w:tcPr>
            <w:tcW w:w="4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186"/>
        </w:trPr>
        <w:tc>
          <w:tcPr>
            <w:tcW w:w="4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4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615,920</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489,881</w:t>
            </w:r>
          </w:p>
        </w:tc>
        <w:tc>
          <w:tcPr>
            <w:tcW w:w="100" w:type="dxa"/>
            <w:vAlign w:val="bottom"/>
          </w:tcPr>
          <w:p>
            <w:pPr>
              <w:spacing w:after="0"/>
              <w:rPr>
                <w:sz w:val="18"/>
                <w:szCs w:val="18"/>
                <w:color w:val="auto"/>
              </w:rPr>
            </w:pPr>
          </w:p>
        </w:tc>
      </w:tr>
      <w:tr>
        <w:trPr>
          <w:trHeight w:val="216"/>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6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11,248</w:t>
            </w:r>
          </w:p>
        </w:tc>
        <w:tc>
          <w:tcPr>
            <w:tcW w:w="34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627,168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493,615</w:t>
            </w:r>
          </w:p>
        </w:tc>
        <w:tc>
          <w:tcPr>
            <w:tcW w:w="100" w:type="dxa"/>
            <w:vAlign w:val="bottom"/>
          </w:tcPr>
          <w:p>
            <w:pPr>
              <w:spacing w:after="0"/>
              <w:rPr>
                <w:sz w:val="18"/>
                <w:szCs w:val="18"/>
                <w:color w:val="auto"/>
              </w:rPr>
            </w:pPr>
          </w:p>
        </w:tc>
      </w:tr>
      <w:tr>
        <w:trPr>
          <w:trHeight w:val="216"/>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6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34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630,456</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496,773</w:t>
            </w:r>
          </w:p>
        </w:tc>
        <w:tc>
          <w:tcPr>
            <w:tcW w:w="10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8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4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26,744</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23,316</w:t>
            </w:r>
          </w:p>
        </w:tc>
        <w:tc>
          <w:tcPr>
            <w:tcW w:w="100" w:type="dxa"/>
            <w:vAlign w:val="bottom"/>
          </w:tcPr>
          <w:p>
            <w:pPr>
              <w:spacing w:after="0"/>
              <w:rPr>
                <w:sz w:val="18"/>
                <w:szCs w:val="18"/>
                <w:color w:val="auto"/>
              </w:rPr>
            </w:pPr>
          </w:p>
        </w:tc>
      </w:tr>
      <w:tr>
        <w:trPr>
          <w:trHeight w:val="216"/>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6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30,321</w:t>
            </w:r>
          </w:p>
        </w:tc>
        <w:tc>
          <w:tcPr>
            <w:tcW w:w="34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100" w:type="dxa"/>
            <w:vAlign w:val="bottom"/>
          </w:tcPr>
          <w:p>
            <w:pPr>
              <w:spacing w:after="0"/>
              <w:rPr>
                <w:sz w:val="18"/>
                <w:szCs w:val="18"/>
                <w:color w:val="auto"/>
              </w:rPr>
            </w:pPr>
          </w:p>
        </w:tc>
      </w:tr>
      <w:tr>
        <w:trPr>
          <w:trHeight w:val="216"/>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573,391</w:t>
            </w:r>
          </w:p>
        </w:tc>
        <w:tc>
          <w:tcPr>
            <w:tcW w:w="34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443,587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630,456</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496,773</w:t>
            </w:r>
          </w:p>
        </w:tc>
        <w:tc>
          <w:tcPr>
            <w:tcW w:w="10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-3891280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-3891280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-3891280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-3891280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-3325495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-3325495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-3325495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-3016885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-2999740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-3016885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-2999740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-3016885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-2999740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-3016885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-1319530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-1036955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-1036955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peg.rusconi@deerfieldgroup.com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Christina Tartaglia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Precision 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christina.tartaglia@precisionaq.com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2025-11-06T07:46:17Z</dcterms:created>
  <dcterms:modified xsi:type="dcterms:W3CDTF">2025-11-06T07:46:17Z</dcterms:modified>
</cp:coreProperties>
</file>