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2110740</wp:posOffset>
            </wp:positionH>
            <wp:positionV relativeFrom="page">
              <wp:posOffset>1592580</wp:posOffset>
            </wp:positionV>
            <wp:extent cx="355092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55092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2022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ind w:right="-6"/>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548640</wp:posOffset>
                </wp:positionH>
                <wp:positionV relativeFrom="page">
                  <wp:posOffset>474345</wp:posOffset>
                </wp:positionV>
                <wp:extent cx="667512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2pt,37.35pt" to="568.8pt,37.3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548640</wp:posOffset>
                </wp:positionH>
                <wp:positionV relativeFrom="page">
                  <wp:posOffset>493395</wp:posOffset>
                </wp:positionV>
                <wp:extent cx="667512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2pt,38.85pt" to="568.8pt,38.85pt" o:allowincell="f" strokecolor="#000000" strokeweight="0.75pt">
                <w10:wrap anchorx="page" anchory="page"/>
              </v:line>
            </w:pict>
          </mc:Fallback>
        </mc:AlternateContent>
        <w:t>UNITED STATES</w:t>
      </w:r>
    </w:p>
    <w:p>
      <w:pPr>
        <w:spacing w:after="0" w:line="3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64770</wp:posOffset>
                </wp:positionV>
                <wp:extent cx="118872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1pt" to="308.15pt,5.1pt" o:allowincell="f" strokecolor="#000000" strokeweight="1pt"/>
            </w:pict>
          </mc:Fallback>
        </mc:AlternateConten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86995</wp:posOffset>
                </wp:positionV>
                <wp:extent cx="118872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85pt" to="308.15pt,6.85pt" o:allowincell="f" strokecolor="#000000" strokeweight="1pt"/>
            </w:pict>
          </mc:Fallback>
        </mc:AlternateContent>
      </w:r>
    </w:p>
    <w:p>
      <w:pPr>
        <w:spacing w:after="0" w:line="1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23" w:lineRule="exact"/>
        <w:rPr>
          <w:sz w:val="20"/>
          <w:szCs w:val="20"/>
          <w:color w:val="auto"/>
        </w:rPr>
      </w:pPr>
    </w:p>
    <w:p>
      <w:pPr>
        <w:ind w:left="487" w:hanging="487"/>
        <w:spacing w:after="0"/>
        <w:tabs>
          <w:tab w:leader="none" w:pos="487" w:val="left"/>
        </w:tabs>
        <w:numPr>
          <w:ilvl w:val="0"/>
          <w:numId w:val="1"/>
        </w:numPr>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2022</w:t>
      </w:r>
    </w:p>
    <w:p>
      <w:pPr>
        <w:spacing w:after="0" w:line="2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5" w:lineRule="exact"/>
        <w:rPr>
          <w:sz w:val="20"/>
          <w:szCs w:val="20"/>
          <w:color w:val="auto"/>
        </w:rPr>
      </w:pPr>
    </w:p>
    <w:p>
      <w:pPr>
        <w:ind w:left="487" w:hanging="487"/>
        <w:spacing w:after="0"/>
        <w:tabs>
          <w:tab w:leader="none" w:pos="487" w:val="left"/>
        </w:tabs>
        <w:numPr>
          <w:ilvl w:val="0"/>
          <w:numId w:val="2"/>
        </w:numPr>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 w:lineRule="exact"/>
        <w:rPr>
          <w:sz w:val="20"/>
          <w:szCs w:val="20"/>
          <w:color w:val="auto"/>
        </w:rPr>
      </w:pPr>
    </w:p>
    <w:p>
      <w:pPr>
        <w:ind w:left="3347"/>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___________to___________</w:t>
      </w:r>
    </w:p>
    <w:p>
      <w:pPr>
        <w:spacing w:after="0" w:line="3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Commission file number: 001-39438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80645</wp:posOffset>
                </wp:positionV>
                <wp:extent cx="118872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35pt" to="308.15pt,6.35pt" o:allowincell="f" strokecolor="#000000" strokeweight="1pt"/>
            </w:pict>
          </mc:Fallback>
        </mc:AlternateContent>
      </w:r>
    </w:p>
    <w:p>
      <w:pPr>
        <w:spacing w:after="0" w:line="1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34"/>
          <w:szCs w:val="34"/>
          <w:b w:val="1"/>
          <w:bCs w:val="1"/>
          <w:color w:val="auto"/>
        </w:rPr>
        <w:t>Disc Medicine, Inc.</w:t>
      </w:r>
    </w:p>
    <w:p>
      <w:pPr>
        <w:spacing w:after="0" w:line="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71755</wp:posOffset>
                </wp:positionV>
                <wp:extent cx="11887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65pt" to="308.15pt,5.65pt" o:allowincell="f" strokecolor="#000000" strokeweight="1pt"/>
            </w:pict>
          </mc:Fallback>
        </mc:AlternateConten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4280" w:type="dxa"/>
            <w:vAlign w:val="bottom"/>
          </w:tcPr>
          <w:p>
            <w:pPr>
              <w:jc w:val="center"/>
              <w:ind w:left="86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82-3220679</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(I.R.S. Employer</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Identification No.)</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auto"/>
                <w:w w:val="99"/>
              </w:rPr>
              <w:t>321 Arsenal Street, Suite 101</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auto"/>
                <w:w w:val="99"/>
              </w:rPr>
              <w:t>Watertown, Massachusetts</w:t>
            </w: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02472</w:t>
            </w: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auto"/>
                <w:w w:val="99"/>
              </w:rPr>
              <w:t>(Address of principal executive offices)</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(617) 674-9274</w:t>
            </w:r>
          </w:p>
        </w:tc>
        <w:tc>
          <w:tcPr>
            <w:tcW w:w="100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160" w:type="dxa"/>
            <w:vAlign w:val="bottom"/>
            <w:gridSpan w:val="3"/>
          </w:tcPr>
          <w:p>
            <w:pPr>
              <w:jc w:val="center"/>
              <w:ind w:left="3204"/>
              <w:spacing w:after="0"/>
              <w:rPr>
                <w:sz w:val="20"/>
                <w:szCs w:val="20"/>
                <w:color w:val="auto"/>
              </w:rPr>
            </w:pPr>
            <w:r>
              <w:rPr>
                <w:rFonts w:ascii="Times New Roman" w:cs="Times New Roman" w:eastAsia="Times New Roman" w:hAnsi="Times New Roman"/>
                <w:sz w:val="15"/>
                <w:szCs w:val="15"/>
                <w:b w:val="1"/>
                <w:bCs w:val="1"/>
                <w:color w:val="auto"/>
                <w:w w:val="99"/>
              </w:rPr>
              <w:t>(Registrant’s telephone number, including area code)</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60" w:type="dxa"/>
            <w:vAlign w:val="bottom"/>
            <w:gridSpan w:val="3"/>
          </w:tcPr>
          <w:p>
            <w:pPr>
              <w:jc w:val="center"/>
              <w:ind w:left="320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5"/>
                <w:szCs w:val="15"/>
                <w:color w:val="auto"/>
              </w:rPr>
            </w:pP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32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Name of each exchange</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2880" w:type="dxa"/>
            <w:vAlign w:val="bottom"/>
            <w:tcBorders>
              <w:bottom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auto"/>
                <w:w w:val="99"/>
              </w:rPr>
              <w:t>Symbol(s)</w:t>
            </w:r>
          </w:p>
        </w:tc>
        <w:tc>
          <w:tcPr>
            <w:tcW w:w="32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on which registered</w:t>
            </w:r>
          </w:p>
        </w:tc>
        <w:tc>
          <w:tcPr>
            <w:tcW w:w="0" w:type="dxa"/>
            <w:vAlign w:val="bottom"/>
          </w:tcPr>
          <w:p>
            <w:pPr>
              <w:spacing w:after="0"/>
              <w:rPr>
                <w:sz w:val="1"/>
                <w:szCs w:val="1"/>
                <w:color w:val="auto"/>
              </w:rPr>
            </w:pPr>
          </w:p>
        </w:tc>
      </w:tr>
      <w:tr>
        <w:trPr>
          <w:trHeight w:val="185"/>
        </w:trPr>
        <w:tc>
          <w:tcPr>
            <w:tcW w:w="4280" w:type="dxa"/>
            <w:vAlign w:val="bottom"/>
          </w:tcPr>
          <w:p>
            <w:pPr>
              <w:jc w:val="center"/>
              <w:ind w:right="484"/>
              <w:spacing w:after="0"/>
              <w:rPr>
                <w:sz w:val="20"/>
                <w:szCs w:val="20"/>
                <w:color w:val="auto"/>
              </w:rPr>
            </w:pPr>
            <w:r>
              <w:rPr>
                <w:rFonts w:ascii="Times New Roman" w:cs="Times New Roman" w:eastAsia="Times New Roman" w:hAnsi="Times New Roman"/>
                <w:sz w:val="15"/>
                <w:szCs w:val="15"/>
                <w:b w:val="1"/>
                <w:bCs w:val="1"/>
                <w:color w:val="auto"/>
              </w:rPr>
              <w:t>Common Stock, $0.0001 Par Value</w:t>
            </w: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auto"/>
              </w:rPr>
              <w:t>IRON</w:t>
            </w:r>
          </w:p>
        </w:tc>
        <w:tc>
          <w:tcPr>
            <w:tcW w:w="32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The Nasdaq Global Market</w:t>
            </w:r>
          </w:p>
        </w:tc>
        <w:tc>
          <w:tcPr>
            <w:tcW w:w="0" w:type="dxa"/>
            <w:vAlign w:val="bottom"/>
          </w:tcPr>
          <w:p>
            <w:pPr>
              <w:spacing w:after="0"/>
              <w:rPr>
                <w:sz w:val="1"/>
                <w:szCs w:val="1"/>
                <w:color w:val="auto"/>
              </w:rPr>
            </w:pPr>
          </w:p>
        </w:tc>
      </w:tr>
      <w:tr>
        <w:trPr>
          <w:trHeight w:val="192"/>
        </w:trPr>
        <w:tc>
          <w:tcPr>
            <w:tcW w:w="7160" w:type="dxa"/>
            <w:vAlign w:val="bottom"/>
            <w:gridSpan w:val="3"/>
          </w:tcPr>
          <w:p>
            <w:pPr>
              <w:jc w:val="center"/>
              <w:ind w:left="320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auto"/>
                <w:w w:val="95"/>
              </w:rPr>
              <w:t>None</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428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000" w:type="dxa"/>
            <w:vAlign w:val="bottom"/>
            <w:gridSpan w:val="2"/>
          </w:tcPr>
          <w:p>
            <w:pPr>
              <w:spacing w:after="0"/>
              <w:rPr>
                <w:sz w:val="7"/>
                <w:szCs w:val="7"/>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255"/>
        </w:trPr>
        <w:tc>
          <w:tcPr>
            <w:tcW w:w="816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vMerge w:val="continue"/>
          </w:tcPr>
          <w:p>
            <w:pPr>
              <w:spacing w:after="0"/>
              <w:rPr>
                <w:sz w:val="22"/>
                <w:szCs w:val="22"/>
                <w:color w:val="auto"/>
              </w:rPr>
            </w:pPr>
          </w:p>
        </w:tc>
        <w:tc>
          <w:tcPr>
            <w:tcW w:w="1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1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bl>
    <w:p>
      <w:pPr>
        <w:jc w:val="both"/>
        <w:ind w:left="7" w:firstLine="490"/>
        <w:spacing w:after="0" w:line="251"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ind w:left="7"/>
        <w:spacing w:after="0"/>
        <w:tabs>
          <w:tab w:leader="none" w:pos="1427" w:val="left"/>
          <w:tab w:leader="none" w:pos="2067" w:val="left"/>
        </w:tabs>
        <w:rPr>
          <w:sz w:val="20"/>
          <w:szCs w:val="20"/>
          <w:color w:val="auto"/>
        </w:rPr>
      </w:pPr>
      <w:r>
        <w:rPr>
          <w:rFonts w:ascii="Times New Roman" w:cs="Times New Roman" w:eastAsia="Times New Roman" w:hAnsi="Times New Roman"/>
          <w:sz w:val="16"/>
          <w:szCs w:val="16"/>
          <w:color w:val="auto"/>
        </w:rPr>
        <w:t>for the past 90 days.</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27" w:lineRule="exact"/>
        <w:rPr>
          <w:sz w:val="20"/>
          <w:szCs w:val="20"/>
          <w:color w:val="auto"/>
        </w:rPr>
      </w:pPr>
    </w:p>
    <w:p>
      <w:pPr>
        <w:ind w:left="7" w:right="160" w:firstLine="49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0"/>
          <w:szCs w:val="20"/>
          <w:color w:val="auto"/>
        </w:rPr>
      </w:pPr>
    </w:p>
    <w:p>
      <w:pPr>
        <w:ind w:left="307" w:hanging="307"/>
        <w:spacing w:after="0"/>
        <w:tabs>
          <w:tab w:leader="none" w:pos="307" w:val="left"/>
        </w:tabs>
        <w:numPr>
          <w:ilvl w:val="0"/>
          <w:numId w:val="3"/>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p>
      <w:pPr>
        <w:spacing w:after="0" w:line="27" w:lineRule="exact"/>
        <w:rPr>
          <w:sz w:val="20"/>
          <w:szCs w:val="20"/>
          <w:color w:val="auto"/>
        </w:rPr>
      </w:pPr>
    </w:p>
    <w:p>
      <w:pPr>
        <w:jc w:val="both"/>
        <w:ind w:left="7" w:right="140" w:firstLine="49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22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100"/>
              <w:spacing w:after="0"/>
              <w:rPr>
                <w:sz w:val="20"/>
                <w:szCs w:val="20"/>
                <w:color w:val="auto"/>
              </w:rPr>
            </w:pPr>
            <w:r>
              <w:rPr>
                <w:rFonts w:ascii="Segoe UI Symbol" w:cs="Segoe UI Symbol" w:eastAsia="Segoe UI Symbol" w:hAnsi="Segoe UI Symbol"/>
                <w:sz w:val="16"/>
                <w:szCs w:val="16"/>
                <w:color w:val="auto"/>
              </w:rPr>
              <w:t>☐</w:t>
            </w: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rPr>
                <w:sz w:val="20"/>
                <w:szCs w:val="20"/>
                <w:color w:val="auto"/>
              </w:rPr>
            </w:pPr>
            <w:r>
              <w:rPr>
                <w:rFonts w:ascii="Segoe UI Symbol" w:cs="Segoe UI Symbol" w:eastAsia="Segoe UI Symbol" w:hAnsi="Segoe UI Symbol"/>
                <w:sz w:val="16"/>
                <w:szCs w:val="16"/>
                <w:color w:val="auto"/>
                <w:w w:val="86"/>
              </w:rPr>
              <w:t>☐</w:t>
            </w: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100"/>
              <w:spacing w:after="0"/>
              <w:rPr>
                <w:sz w:val="20"/>
                <w:szCs w:val="20"/>
                <w:color w:val="auto"/>
              </w:rPr>
            </w:pPr>
            <w:r>
              <w:rPr>
                <w:rFonts w:ascii="Segoe UI Symbol" w:cs="Segoe UI Symbol" w:eastAsia="Segoe UI Symbol" w:hAnsi="Segoe UI Symbol"/>
                <w:sz w:val="16"/>
                <w:szCs w:val="16"/>
                <w:color w:val="auto"/>
              </w:rPr>
              <w:t>☒</w:t>
            </w: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rPr>
                <w:sz w:val="20"/>
                <w:szCs w:val="20"/>
                <w:color w:val="auto"/>
              </w:rPr>
            </w:pPr>
            <w:r>
              <w:rPr>
                <w:rFonts w:ascii="Segoe UI Symbol" w:cs="Segoe UI Symbol" w:eastAsia="Segoe UI Symbol" w:hAnsi="Segoe UI Symbol"/>
                <w:sz w:val="16"/>
                <w:szCs w:val="16"/>
                <w:color w:val="auto"/>
                <w:w w:val="86"/>
              </w:rPr>
              <w:t>☒</w:t>
            </w:r>
          </w:p>
        </w:tc>
      </w:tr>
      <w:tr>
        <w:trPr>
          <w:trHeight w:val="258"/>
        </w:trPr>
        <w:tc>
          <w:tcPr>
            <w:tcW w:w="1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Segoe UI Symbol" w:cs="Segoe UI Symbol" w:eastAsia="Segoe UI Symbol" w:hAnsi="Segoe UI Symbol"/>
                <w:sz w:val="16"/>
                <w:szCs w:val="16"/>
                <w:color w:val="auto"/>
                <w:w w:val="86"/>
              </w:rPr>
              <w:t>☒</w:t>
            </w:r>
          </w:p>
        </w:tc>
      </w:tr>
    </w:tbl>
    <w:p>
      <w:pPr>
        <w:ind w:left="7" w:right="100" w:firstLine="490"/>
        <w:spacing w:after="0" w:line="25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ind w:left="7" w:right="320" w:firstLine="49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xml:space="preserve">issued its audit report. </w:t>
      </w:r>
      <w:r>
        <w:rPr>
          <w:rFonts w:ascii="Segoe UI Symbol" w:cs="Segoe UI Symbol" w:eastAsia="Segoe UI Symbol" w:hAnsi="Segoe UI Symbol"/>
          <w:sz w:val="16"/>
          <w:szCs w:val="16"/>
          <w:color w:val="auto"/>
        </w:rPr>
        <w:t>☐</w:t>
      </w:r>
    </w:p>
    <w:p>
      <w:pPr>
        <w:spacing w:after="0" w:line="27" w:lineRule="exact"/>
        <w:rPr>
          <w:sz w:val="20"/>
          <w:szCs w:val="20"/>
          <w:color w:val="auto"/>
        </w:rPr>
      </w:pPr>
    </w:p>
    <w:p>
      <w:pPr>
        <w:ind w:left="7" w:right="240" w:firstLine="490"/>
        <w:spacing w:after="0" w:line="25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ind w:left="7" w:right="60" w:firstLine="490"/>
        <w:spacing w:after="0" w:line="247"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2" w:lineRule="exact"/>
        <w:rPr>
          <w:sz w:val="20"/>
          <w:szCs w:val="20"/>
          <w:color w:val="auto"/>
        </w:rPr>
      </w:pPr>
    </w:p>
    <w:p>
      <w:pPr>
        <w:ind w:left="487"/>
        <w:spacing w:after="0"/>
        <w:tabs>
          <w:tab w:leader="none" w:pos="7907" w:val="left"/>
          <w:tab w:leader="none" w:pos="8527"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27" w:lineRule="exact"/>
        <w:rPr>
          <w:sz w:val="20"/>
          <w:szCs w:val="20"/>
          <w:color w:val="auto"/>
        </w:rPr>
      </w:pPr>
    </w:p>
    <w:p>
      <w:pPr>
        <w:ind w:left="7" w:right="20" w:firstLine="490"/>
        <w:spacing w:after="0" w:line="239"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computed by reference to the price of the registrant’s Common Stock as of June 30, 2022, the last business day of the registrant’s most recently completed second fiscal quarter, was approximately $29.0 million (based on the last reported sale price on the Nasdaq Global Market as of such date). For this computation, the registrant has excluded the market value of all shares of Common Stock reported as beneficially owned by its executive officer and directors; such exclusion shall not be deemed to constitute an admission that any such person is an affiliate of the registrant.</w:t>
      </w:r>
    </w:p>
    <w:p>
      <w:pPr>
        <w:spacing w:after="0" w:line="4"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As of February 28, 2023, there were 18,998,025 shares of the registrant’s Common Stock, $0.0001 par value per share, outstanding.</w:t>
      </w:r>
    </w:p>
    <w:p>
      <w:pPr>
        <w:spacing w:after="0" w:line="162" w:lineRule="exact"/>
        <w:rPr>
          <w:sz w:val="20"/>
          <w:szCs w:val="20"/>
          <w:color w:val="auto"/>
        </w:rPr>
      </w:pPr>
    </w:p>
    <w:p>
      <w:pPr>
        <w:ind w:left="67"/>
        <w:spacing w:after="0"/>
        <w:tabs>
          <w:tab w:leader="none" w:pos="2067" w:val="left"/>
          <w:tab w:leader="none" w:pos="2807" w:val="left"/>
          <w:tab w:leader="none" w:pos="4427" w:val="left"/>
          <w:tab w:leader="none" w:pos="6947" w:val="left"/>
          <w:tab w:leader="none" w:pos="8687" w:val="left"/>
        </w:tabs>
        <w:rPr>
          <w:sz w:val="20"/>
          <w:szCs w:val="20"/>
          <w:color w:val="auto"/>
        </w:rPr>
      </w:pPr>
      <w:r>
        <w:rPr>
          <w:rFonts w:ascii="Times New Roman" w:cs="Times New Roman" w:eastAsia="Times New Roman" w:hAnsi="Times New Roman"/>
          <w:sz w:val="16"/>
          <w:szCs w:val="16"/>
          <w:color w:val="auto"/>
        </w:rPr>
        <w:t>Auditor Firm Id:</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Auditor Name:</w:t>
      </w:r>
      <w:r>
        <w:rPr>
          <w:sz w:val="20"/>
          <w:szCs w:val="20"/>
          <w:color w:val="auto"/>
        </w:rPr>
        <w:tab/>
      </w:r>
      <w:r>
        <w:rPr>
          <w:rFonts w:ascii="Times New Roman" w:cs="Times New Roman" w:eastAsia="Times New Roman" w:hAnsi="Times New Roman"/>
          <w:sz w:val="16"/>
          <w:szCs w:val="16"/>
          <w:color w:val="auto"/>
        </w:rPr>
        <w:t>Ernst &amp; Young LLP</w:t>
      </w:r>
      <w:r>
        <w:rPr>
          <w:sz w:val="20"/>
          <w:szCs w:val="20"/>
          <w:color w:val="auto"/>
        </w:rPr>
        <w:tab/>
      </w:r>
      <w:r>
        <w:rPr>
          <w:rFonts w:ascii="Times New Roman" w:cs="Times New Roman" w:eastAsia="Times New Roman" w:hAnsi="Times New Roman"/>
          <w:sz w:val="16"/>
          <w:szCs w:val="16"/>
          <w:color w:val="auto"/>
        </w:rPr>
        <w:t>Auditor Location:</w:t>
      </w:r>
      <w:r>
        <w:rPr>
          <w:sz w:val="20"/>
          <w:szCs w:val="20"/>
          <w:color w:val="auto"/>
        </w:rPr>
        <w:tab/>
      </w:r>
      <w:r>
        <w:rPr>
          <w:rFonts w:ascii="Times New Roman" w:cs="Times New Roman" w:eastAsia="Times New Roman" w:hAnsi="Times New Roman"/>
          <w:sz w:val="16"/>
          <w:szCs w:val="16"/>
          <w:color w:val="auto"/>
        </w:rPr>
        <w:t>Boston, Massachusetts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198120</wp:posOffset>
                </wp:positionV>
                <wp:extent cx="667512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5.6pt" to="524.15pt,15.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179070</wp:posOffset>
                </wp:positionV>
                <wp:extent cx="667512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4.1pt" to="524.15pt,14.1pt" o:allowincell="f" strokecolor="#000000" strokeweight="0.75pt"/>
            </w:pict>
          </mc:Fallback>
        </mc:AlternateContent>
      </w:r>
    </w:p>
    <w:p>
      <w:pPr>
        <w:sectPr>
          <w:pgSz w:w="12240" w:h="15840" w:orient="portrait"/>
          <w:cols w:equalWidth="0" w:num="1">
            <w:col w:w="10447"/>
          </w:cols>
          <w:pgMar w:left="893" w:top="797" w:right="900" w:bottom="1440" w:gutter="0" w:footer="0" w:header="0"/>
        </w:sectPr>
      </w:pPr>
    </w:p>
    <w:bookmarkStart w:id="2" w:name="page3"/>
    <w:bookmarkEnd w:id="2"/>
    <w:p>
      <w:pPr>
        <w:ind w:left="440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27305</wp:posOffset>
            </wp:positionV>
            <wp:extent cx="4635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463550" cy="9525"/>
                    </a:xfrm>
                    <a:prstGeom prst="rect">
                      <a:avLst/>
                    </a:prstGeom>
                    <a:noFill/>
                  </pic:spPr>
                </pic:pic>
              </a:graphicData>
            </a:graphic>
          </wp:anchor>
        </w:drawing>
      </w:r>
    </w:p>
    <w:p>
      <w:pPr>
        <w:spacing w:after="0" w:line="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5" w:lineRule="exact"/>
        <w:rPr>
          <w:sz w:val="20"/>
          <w:szCs w:val="20"/>
          <w:color w:val="auto"/>
        </w:rPr>
      </w:pPr>
    </w:p>
    <w:p>
      <w:pPr>
        <w:spacing w:after="0"/>
        <w:tabs>
          <w:tab w:leader="none" w:pos="820" w:val="left"/>
          <w:tab w:leader="dot" w:pos="10000" w:val="left"/>
        </w:tabs>
        <w:rPr>
          <w:sz w:val="20"/>
          <w:szCs w:val="20"/>
          <w:color w:val="auto"/>
        </w:rPr>
      </w:pPr>
      <w:r>
        <w:rPr>
          <w:rFonts w:ascii="Times New Roman" w:cs="Times New Roman" w:eastAsia="Times New Roman" w:hAnsi="Times New Roman"/>
          <w:sz w:val="20"/>
          <w:szCs w:val="20"/>
          <w:color w:val="auto"/>
        </w:rPr>
        <w:t>Item 1.</w:t>
        <w:tab/>
        <w:t>Business</w:t>
      </w:r>
      <w:r>
        <w:rPr>
          <w:sz w:val="20"/>
          <w:szCs w:val="20"/>
          <w:color w:val="auto"/>
        </w:rPr>
        <w:tab/>
      </w:r>
      <w:r>
        <w:rPr>
          <w:rFonts w:ascii="Times New Roman" w:cs="Times New Roman" w:eastAsia="Times New Roman" w:hAnsi="Times New Roman"/>
          <w:sz w:val="20"/>
          <w:szCs w:val="20"/>
          <w:color w:val="auto"/>
        </w:rPr>
        <w:t>1</w:t>
      </w:r>
    </w:p>
    <w:p>
      <w:pPr>
        <w:spacing w:after="0" w:line="28" w:lineRule="exact"/>
        <w:rPr>
          <w:sz w:val="20"/>
          <w:szCs w:val="20"/>
          <w:color w:val="auto"/>
        </w:rPr>
      </w:pPr>
    </w:p>
    <w:p>
      <w:pPr>
        <w:spacing w:after="0"/>
        <w:tabs>
          <w:tab w:leader="dot" w:pos="996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45</w:t>
      </w:r>
    </w:p>
    <w:p>
      <w:pPr>
        <w:spacing w:after="0"/>
        <w:tabs>
          <w:tab w:leader="dot" w:pos="996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95</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auto"/>
        </w:rPr>
        <w:t>Item 2.</w:t>
        <w:tab/>
        <w:t>Properties</w:t>
      </w:r>
      <w:r>
        <w:rPr>
          <w:sz w:val="20"/>
          <w:szCs w:val="20"/>
          <w:color w:val="auto"/>
        </w:rPr>
        <w:tab/>
      </w:r>
      <w:r>
        <w:rPr>
          <w:rFonts w:ascii="Times New Roman" w:cs="Times New Roman" w:eastAsia="Times New Roman" w:hAnsi="Times New Roman"/>
          <w:sz w:val="20"/>
          <w:szCs w:val="20"/>
          <w:color w:val="auto"/>
        </w:rPr>
        <w:t>95</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auto"/>
        </w:rPr>
        <w:t>Item 3.</w:t>
        <w:tab/>
        <w:t>Legal Proceedings</w:t>
      </w:r>
      <w:r>
        <w:rPr>
          <w:sz w:val="20"/>
          <w:szCs w:val="20"/>
          <w:color w:val="auto"/>
        </w:rPr>
        <w:tab/>
      </w:r>
      <w:r>
        <w:rPr>
          <w:rFonts w:ascii="Times New Roman" w:cs="Times New Roman" w:eastAsia="Times New Roman" w:hAnsi="Times New Roman"/>
          <w:sz w:val="20"/>
          <w:szCs w:val="20"/>
          <w:color w:val="auto"/>
        </w:rPr>
        <w:t>95</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auto"/>
        </w:rPr>
        <w:t>Item 4.</w:t>
        <w:tab/>
        <w:t>Mine Safety Disclosures</w:t>
      </w:r>
      <w:r>
        <w:rPr>
          <w:sz w:val="20"/>
          <w:szCs w:val="20"/>
          <w:color w:val="auto"/>
        </w:rPr>
        <w:tab/>
      </w:r>
      <w:r>
        <w:rPr>
          <w:rFonts w:ascii="Times New Roman" w:cs="Times New Roman" w:eastAsia="Times New Roman" w:hAnsi="Times New Roman"/>
          <w:sz w:val="20"/>
          <w:szCs w:val="20"/>
          <w:color w:val="auto"/>
        </w:rPr>
        <w:t>95</w:t>
      </w:r>
    </w:p>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spacing w:after="0" w:line="28" w:lineRule="exact"/>
        <w:rPr>
          <w:sz w:val="20"/>
          <w:szCs w:val="20"/>
          <w:color w:val="auto"/>
        </w:rPr>
      </w:pPr>
    </w:p>
    <w:p>
      <w:pPr>
        <w:ind w:left="840"/>
        <w:spacing w:after="0"/>
        <w:tabs>
          <w:tab w:leader="dot" w:pos="996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96</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auto"/>
        </w:rPr>
        <w:t>Item 6.</w:t>
        <w:tab/>
        <w:t>Reserved</w:t>
      </w:r>
      <w:r>
        <w:rPr>
          <w:sz w:val="20"/>
          <w:szCs w:val="20"/>
          <w:color w:val="auto"/>
        </w:rPr>
        <w:tab/>
      </w:r>
      <w:r>
        <w:rPr>
          <w:rFonts w:ascii="Times New Roman" w:cs="Times New Roman" w:eastAsia="Times New Roman" w:hAnsi="Times New Roman"/>
          <w:sz w:val="20"/>
          <w:szCs w:val="20"/>
          <w:color w:val="auto"/>
        </w:rPr>
        <w:t>96</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97</w:t>
      </w:r>
    </w:p>
    <w:p>
      <w:pPr>
        <w:spacing w:after="0"/>
        <w:tabs>
          <w:tab w:leader="dot" w:pos="990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105</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w:t>
      </w:r>
      <w:r>
        <w:rPr>
          <w:sz w:val="20"/>
          <w:szCs w:val="20"/>
          <w:color w:val="auto"/>
        </w:rPr>
        <w:tab/>
      </w:r>
      <w:r>
        <w:rPr>
          <w:rFonts w:ascii="Times New Roman" w:cs="Times New Roman" w:eastAsia="Times New Roman" w:hAnsi="Times New Roman"/>
          <w:sz w:val="20"/>
          <w:szCs w:val="20"/>
          <w:color w:val="auto"/>
        </w:rPr>
        <w:t>106</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132</w:t>
      </w:r>
    </w:p>
    <w:p>
      <w:pPr>
        <w:spacing w:after="0"/>
        <w:tabs>
          <w:tab w:leader="dot" w:pos="990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132</w:t>
      </w:r>
    </w:p>
    <w:p>
      <w:pPr>
        <w:spacing w:after="0"/>
        <w:tabs>
          <w:tab w:leader="dot" w:pos="990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132</w:t>
      </w:r>
    </w:p>
    <w:p>
      <w:pPr>
        <w:spacing w:after="0"/>
        <w:tabs>
          <w:tab w:leader="dot" w:pos="9900" w:val="left"/>
        </w:tabs>
        <w:rPr>
          <w:sz w:val="20"/>
          <w:szCs w:val="20"/>
          <w:color w:val="auto"/>
        </w:rPr>
      </w:pPr>
      <w:r>
        <w:rPr>
          <w:rFonts w:ascii="Times New Roman" w:cs="Times New Roman" w:eastAsia="Times New Roman" w:hAnsi="Times New Roman"/>
          <w:sz w:val="20"/>
          <w:szCs w:val="20"/>
          <w:color w:val="auto"/>
        </w:rPr>
        <w:t>Item 9C.  Disclosures Regarding Foreign Jurisdictions That Prevent Inspections</w:t>
      </w:r>
      <w:r>
        <w:rPr>
          <w:sz w:val="20"/>
          <w:szCs w:val="20"/>
          <w:color w:val="auto"/>
        </w:rPr>
        <w:tab/>
      </w:r>
      <w:r>
        <w:rPr>
          <w:rFonts w:ascii="Times New Roman" w:cs="Times New Roman" w:eastAsia="Times New Roman" w:hAnsi="Times New Roman"/>
          <w:sz w:val="20"/>
          <w:szCs w:val="20"/>
          <w:color w:val="auto"/>
        </w:rPr>
        <w:t>132</w:t>
      </w:r>
    </w:p>
    <w:p>
      <w:pPr>
        <w:spacing w:after="0" w:line="1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133</w:t>
      </w:r>
    </w:p>
    <w:p>
      <w:pPr>
        <w:spacing w:after="0" w:line="28"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142</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147</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150</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14.</w:t>
        <w:tab/>
        <w:t>Principal Accounting Fees and Services</w:t>
      </w:r>
      <w:r>
        <w:rPr>
          <w:sz w:val="20"/>
          <w:szCs w:val="20"/>
          <w:color w:val="auto"/>
        </w:rPr>
        <w:tab/>
      </w:r>
      <w:r>
        <w:rPr>
          <w:rFonts w:ascii="Times New Roman" w:cs="Times New Roman" w:eastAsia="Times New Roman" w:hAnsi="Times New Roman"/>
          <w:sz w:val="20"/>
          <w:szCs w:val="20"/>
          <w:color w:val="auto"/>
        </w:rPr>
        <w:t>152</w:t>
      </w:r>
    </w:p>
    <w:p>
      <w:pPr>
        <w:spacing w:after="0" w:line="1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4"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15.</w:t>
        <w:tab/>
        <w:t>Exhibits, Financial Statement Schedules</w:t>
      </w:r>
      <w:r>
        <w:rPr>
          <w:sz w:val="20"/>
          <w:szCs w:val="20"/>
          <w:color w:val="auto"/>
        </w:rPr>
        <w:tab/>
      </w:r>
      <w:r>
        <w:rPr>
          <w:rFonts w:ascii="Times New Roman" w:cs="Times New Roman" w:eastAsia="Times New Roman" w:hAnsi="Times New Roman"/>
          <w:sz w:val="20"/>
          <w:szCs w:val="20"/>
          <w:color w:val="auto"/>
        </w:rPr>
        <w:t>153</w:t>
      </w:r>
    </w:p>
    <w:p>
      <w:pPr>
        <w:spacing w:after="0" w:line="28"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156</w:t>
      </w:r>
    </w:p>
    <w:p>
      <w:pPr>
        <w:spacing w:after="0"/>
        <w:tabs>
          <w:tab w:leader="dot" w:pos="990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157</w:t>
      </w:r>
    </w:p>
    <w:p>
      <w:pPr>
        <w:sectPr>
          <w:pgSz w:w="12240" w:h="15840" w:orient="portrait"/>
          <w:cols w:equalWidth="0" w:num="1">
            <w:col w:w="10280"/>
          </w:cols>
          <w:pgMar w:left="900" w:top="696" w:right="106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280"/>
          </w:cols>
          <w:pgMar w:left="900" w:top="696" w:right="1060" w:bottom="244" w:gutter="0" w:footer="0" w:header="0"/>
          <w:type w:val="continuous"/>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100" w:lineRule="exact"/>
        <w:rPr>
          <w:sz w:val="20"/>
          <w:szCs w:val="20"/>
          <w:color w:val="auto"/>
        </w:rPr>
      </w:pPr>
    </w:p>
    <w:p>
      <w:pPr>
        <w:ind w:left="720" w:right="20" w:hanging="367"/>
        <w:spacing w:after="0" w:line="252"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7"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efficiently discover and develop product candidates;</w:t>
      </w:r>
    </w:p>
    <w:p>
      <w:pPr>
        <w:spacing w:after="0" w:line="133" w:lineRule="exact"/>
        <w:rPr>
          <w:rFonts w:ascii="Arial" w:cs="Arial" w:eastAsia="Arial" w:hAnsi="Arial"/>
          <w:sz w:val="20"/>
          <w:szCs w:val="20"/>
          <w:color w:val="auto"/>
        </w:rPr>
      </w:pPr>
    </w:p>
    <w:p>
      <w:pPr>
        <w:ind w:left="720" w:right="8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the potential to successfully manufacture our drug substances and product candidates for preclinical use, for clinical trials and on a larger scale for commercial use, if approved;</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funding for our operations necessary to complete further development and commercialization of our product candidates;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regulatory approval of our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products, if approved;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pricing and reimbursement of our product candidates, if approved;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of our business model, and strategic plans for our business and product candidates;</w:t>
      </w:r>
    </w:p>
    <w:p>
      <w:pPr>
        <w:spacing w:after="0" w:line="133" w:lineRule="exact"/>
        <w:rPr>
          <w:rFonts w:ascii="Arial" w:cs="Arial" w:eastAsia="Arial" w:hAnsi="Arial"/>
          <w:sz w:val="20"/>
          <w:szCs w:val="20"/>
          <w:color w:val="auto"/>
        </w:rPr>
      </w:pPr>
    </w:p>
    <w:p>
      <w:pPr>
        <w:ind w:left="720" w:right="64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covering our product candidates;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of our future expenses, revenues, capital requirements, and our needs for additional financing;</w:t>
      </w:r>
    </w:p>
    <w:p>
      <w:pPr>
        <w:spacing w:after="0" w:line="133" w:lineRule="exact"/>
        <w:rPr>
          <w:rFonts w:ascii="Arial" w:cs="Arial" w:eastAsia="Arial" w:hAnsi="Arial"/>
          <w:sz w:val="20"/>
          <w:szCs w:val="20"/>
          <w:color w:val="auto"/>
        </w:rPr>
      </w:pPr>
    </w:p>
    <w:p>
      <w:pPr>
        <w:ind w:left="720" w:right="340" w:hanging="367"/>
        <w:spacing w:after="0" w:line="304" w:lineRule="auto"/>
        <w:tabs>
          <w:tab w:leader="none" w:pos="7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39" w:lineRule="exact"/>
        <w:rPr>
          <w:rFonts w:ascii="Arial" w:cs="Arial" w:eastAsia="Arial" w:hAnsi="Arial"/>
          <w:sz w:val="19"/>
          <w:szCs w:val="19"/>
          <w:color w:val="auto"/>
        </w:rPr>
      </w:pPr>
    </w:p>
    <w:p>
      <w:pPr>
        <w:ind w:left="720" w:right="50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future agreements with third parties in connection with the commercialization of product candidates and any other approved product;</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growth potential of the markets for our product candidates, and our ability to serve those markets;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rate and degree of market acceptance of our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developments in the United States and foreign countries;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contract with third-party suppliers and manufacturers and their ability to perform adequately;</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produce our products or product candidates with advantages in turnaround times or manufacturing cost;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and retain key scientific or management personnel;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laws and regulations;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relating to our competitors and our industry;</w:t>
      </w:r>
    </w:p>
    <w:p>
      <w:pPr>
        <w:spacing w:after="0" w:line="133" w:lineRule="exact"/>
        <w:rPr>
          <w:rFonts w:ascii="Arial" w:cs="Arial" w:eastAsia="Arial" w:hAnsi="Arial"/>
          <w:sz w:val="20"/>
          <w:szCs w:val="20"/>
          <w:color w:val="auto"/>
        </w:rPr>
      </w:pPr>
    </w:p>
    <w:p>
      <w:pPr>
        <w:ind w:left="720" w:right="100" w:hanging="367"/>
        <w:spacing w:after="0" w:line="252"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87"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other risks and uncertainties, including those listed under the caption “Risk Factors.”</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360"/>
          </w:cols>
          <w:pgMar w:left="900" w:top="696" w:right="980" w:bottom="175" w:gutter="0" w:footer="0" w:header="0"/>
        </w:sectPr>
      </w:pPr>
    </w:p>
    <w:bookmarkStart w:id="4" w:name="page5"/>
    <w:bookmarkEnd w:id="4"/>
    <w:p>
      <w:pPr>
        <w:ind w:firstLine="490"/>
        <w:spacing w:after="0" w:line="249" w:lineRule="auto"/>
        <w:rPr>
          <w:sz w:val="20"/>
          <w:szCs w:val="20"/>
          <w:color w:val="auto"/>
        </w:rPr>
      </w:pPr>
      <w:r>
        <w:rPr>
          <w:rFonts w:ascii="Times New Roman" w:cs="Times New Roman" w:eastAsia="Times New Roman" w:hAnsi="Times New Roman"/>
          <w:sz w:val="20"/>
          <w:szCs w:val="20"/>
          <w:color w:val="auto"/>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8" w:lineRule="exact"/>
        <w:rPr>
          <w:sz w:val="20"/>
          <w:szCs w:val="20"/>
          <w:color w:val="auto"/>
        </w:rPr>
      </w:pPr>
    </w:p>
    <w:p>
      <w:pPr>
        <w:ind w:left="720" w:hanging="367"/>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maintain the listing of our common stock on Nasdaq;</w:t>
      </w:r>
    </w:p>
    <w:p>
      <w:pPr>
        <w:spacing w:after="0" w:line="133" w:lineRule="exact"/>
        <w:rPr>
          <w:rFonts w:ascii="Arial" w:cs="Arial" w:eastAsia="Arial" w:hAnsi="Arial"/>
          <w:sz w:val="20"/>
          <w:szCs w:val="20"/>
          <w:color w:val="auto"/>
        </w:rPr>
      </w:pPr>
    </w:p>
    <w:p>
      <w:pPr>
        <w:ind w:left="720" w:right="8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81" w:lineRule="exact"/>
        <w:rPr>
          <w:rFonts w:ascii="Arial" w:cs="Arial" w:eastAsia="Arial" w:hAnsi="Arial"/>
          <w:sz w:val="20"/>
          <w:szCs w:val="20"/>
          <w:color w:val="auto"/>
        </w:rPr>
      </w:pPr>
    </w:p>
    <w:p>
      <w:pPr>
        <w:ind w:left="720" w:right="40" w:hanging="367"/>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risk of downturns in the economy and the possibility of rapid change in the highly competitive industry in which we operate;</w:t>
      </w:r>
    </w:p>
    <w:p>
      <w:pPr>
        <w:spacing w:after="0" w:line="64" w:lineRule="exact"/>
        <w:rPr>
          <w:rFonts w:ascii="Arial" w:cs="Arial" w:eastAsia="Arial" w:hAnsi="Arial"/>
          <w:sz w:val="20"/>
          <w:szCs w:val="20"/>
          <w:color w:val="auto"/>
        </w:rPr>
      </w:pPr>
    </w:p>
    <w:p>
      <w:pPr>
        <w:ind w:left="720" w:right="680" w:hanging="367"/>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we will need to raise additional capital to execute our business plan, which may not be available on acceptable terms or at all; and</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we experience difficulties in managing our growth and expanding operations.</w:t>
      </w:r>
    </w:p>
    <w:p>
      <w:pPr>
        <w:sectPr>
          <w:pgSz w:w="12240" w:h="15840" w:orient="portrait"/>
          <w:cols w:equalWidth="0" w:num="1">
            <w:col w:w="10340"/>
          </w:cols>
          <w:pgMar w:left="900" w:top="700"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340"/>
          </w:cols>
          <w:pgMar w:left="900" w:top="700" w:right="1000" w:bottom="186" w:gutter="0" w:footer="0" w:header="0"/>
          <w:type w:val="continuous"/>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88" w:lineRule="exact"/>
        <w:rPr>
          <w:sz w:val="20"/>
          <w:szCs w:val="20"/>
          <w:color w:val="auto"/>
        </w:rPr>
      </w:pPr>
    </w:p>
    <w:p>
      <w:pPr>
        <w:ind w:left="980" w:right="420" w:hanging="498"/>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limited operating history may make it difficult for you to evaluate the success of our business to date and to assess our future viability.</w:t>
      </w:r>
    </w:p>
    <w:p>
      <w:pPr>
        <w:spacing w:after="0" w:line="64" w:lineRule="exact"/>
        <w:rPr>
          <w:rFonts w:ascii="Arial" w:cs="Arial" w:eastAsia="Arial" w:hAnsi="Arial"/>
          <w:sz w:val="20"/>
          <w:szCs w:val="20"/>
          <w:color w:val="auto"/>
        </w:rPr>
      </w:pPr>
    </w:p>
    <w:p>
      <w:pPr>
        <w:ind w:left="980" w:hanging="498"/>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significant net losses since our inception and anticipate that we will continue to incur losses for the foreseeable future.</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no products approved for commercial sale and have not generated any revenue from product sales.</w:t>
      </w:r>
    </w:p>
    <w:p>
      <w:pPr>
        <w:spacing w:after="0" w:line="133" w:lineRule="exact"/>
        <w:rPr>
          <w:rFonts w:ascii="Arial" w:cs="Arial" w:eastAsia="Arial" w:hAnsi="Arial"/>
          <w:sz w:val="20"/>
          <w:szCs w:val="20"/>
          <w:color w:val="auto"/>
        </w:rPr>
      </w:pPr>
    </w:p>
    <w:p>
      <w:pPr>
        <w:ind w:left="980" w:right="28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81" w:lineRule="exact"/>
        <w:rPr>
          <w:rFonts w:ascii="Arial" w:cs="Arial" w:eastAsia="Arial" w:hAnsi="Arial"/>
          <w:sz w:val="20"/>
          <w:szCs w:val="20"/>
          <w:color w:val="auto"/>
        </w:rPr>
      </w:pPr>
    </w:p>
    <w:p>
      <w:pPr>
        <w:ind w:left="980" w:right="38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81" w:lineRule="exact"/>
        <w:rPr>
          <w:rFonts w:ascii="Arial" w:cs="Arial" w:eastAsia="Arial" w:hAnsi="Arial"/>
          <w:sz w:val="20"/>
          <w:szCs w:val="20"/>
          <w:color w:val="auto"/>
        </w:rPr>
      </w:pPr>
    </w:p>
    <w:p>
      <w:pPr>
        <w:ind w:left="980" w:right="6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81" w:lineRule="exact"/>
        <w:rPr>
          <w:rFonts w:ascii="Arial" w:cs="Arial" w:eastAsia="Arial" w:hAnsi="Arial"/>
          <w:sz w:val="20"/>
          <w:szCs w:val="20"/>
          <w:color w:val="auto"/>
        </w:rPr>
      </w:pPr>
    </w:p>
    <w:p>
      <w:pPr>
        <w:ind w:left="980" w:right="4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Interim, top-line,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81" w:lineRule="exact"/>
        <w:rPr>
          <w:rFonts w:ascii="Arial" w:cs="Arial" w:eastAsia="Arial" w:hAnsi="Arial"/>
          <w:sz w:val="20"/>
          <w:szCs w:val="20"/>
          <w:color w:val="auto"/>
        </w:rPr>
      </w:pPr>
    </w:p>
    <w:p>
      <w:pPr>
        <w:ind w:left="980" w:right="760" w:hanging="498"/>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experience delays or difficulties in the enrollment of patients in clinical trials, our receipt of necessary regulatory approvals could be delayed or prevented.</w:t>
      </w:r>
    </w:p>
    <w:p>
      <w:pPr>
        <w:spacing w:after="0" w:line="64" w:lineRule="exact"/>
        <w:rPr>
          <w:rFonts w:ascii="Arial" w:cs="Arial" w:eastAsia="Arial" w:hAnsi="Arial"/>
          <w:sz w:val="20"/>
          <w:szCs w:val="20"/>
          <w:color w:val="auto"/>
        </w:rPr>
      </w:pPr>
    </w:p>
    <w:p>
      <w:pPr>
        <w:ind w:left="980" w:right="80" w:hanging="498"/>
        <w:spacing w:after="0" w:line="249"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90" w:lineRule="exact"/>
        <w:rPr>
          <w:rFonts w:ascii="Arial" w:cs="Arial" w:eastAsia="Arial" w:hAnsi="Arial"/>
          <w:sz w:val="20"/>
          <w:szCs w:val="20"/>
          <w:color w:val="auto"/>
        </w:rPr>
      </w:pPr>
    </w:p>
    <w:p>
      <w:pPr>
        <w:ind w:left="980" w:right="8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81" w:lineRule="exact"/>
        <w:rPr>
          <w:rFonts w:ascii="Arial" w:cs="Arial" w:eastAsia="Arial" w:hAnsi="Arial"/>
          <w:sz w:val="20"/>
          <w:szCs w:val="20"/>
          <w:color w:val="auto"/>
        </w:rPr>
      </w:pPr>
    </w:p>
    <w:p>
      <w:pPr>
        <w:ind w:left="980" w:right="8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81" w:lineRule="exact"/>
        <w:rPr>
          <w:rFonts w:ascii="Arial" w:cs="Arial" w:eastAsia="Arial" w:hAnsi="Arial"/>
          <w:sz w:val="20"/>
          <w:szCs w:val="20"/>
          <w:color w:val="auto"/>
        </w:rPr>
      </w:pPr>
    </w:p>
    <w:p>
      <w:pPr>
        <w:ind w:left="980" w:right="28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81" w:lineRule="exact"/>
        <w:rPr>
          <w:rFonts w:ascii="Arial" w:cs="Arial" w:eastAsia="Arial" w:hAnsi="Arial"/>
          <w:sz w:val="20"/>
          <w:szCs w:val="20"/>
          <w:color w:val="auto"/>
        </w:rPr>
      </w:pPr>
    </w:p>
    <w:p>
      <w:pPr>
        <w:ind w:left="980" w:right="40" w:hanging="498"/>
        <w:spacing w:after="0" w:line="258"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1" w:lineRule="exact"/>
        <w:rPr>
          <w:rFonts w:ascii="Arial" w:cs="Arial" w:eastAsia="Arial" w:hAnsi="Arial"/>
          <w:sz w:val="20"/>
          <w:szCs w:val="20"/>
          <w:color w:val="auto"/>
        </w:rPr>
      </w:pPr>
    </w:p>
    <w:p>
      <w:pPr>
        <w:ind w:left="980" w:right="220" w:hanging="498"/>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substantial competition, which may result in others discovering, developing, or commercializing products before or more successfully than we do.</w:t>
      </w:r>
    </w:p>
    <w:p>
      <w:pPr>
        <w:spacing w:after="0" w:line="64" w:lineRule="exact"/>
        <w:rPr>
          <w:rFonts w:ascii="Arial" w:cs="Arial" w:eastAsia="Arial" w:hAnsi="Arial"/>
          <w:sz w:val="20"/>
          <w:szCs w:val="20"/>
          <w:color w:val="auto"/>
        </w:rPr>
      </w:pPr>
    </w:p>
    <w:p>
      <w:pPr>
        <w:ind w:left="980" w:right="520" w:hanging="498"/>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our current product candidates or any future product candidates do not achieve broad market acceptance, the revenue that we generate from our sales may be limited, and we may never become profitable.</w:t>
      </w:r>
    </w:p>
    <w:p>
      <w:pPr>
        <w:sectPr>
          <w:pgSz w:w="12240" w:h="15840" w:orient="portrait"/>
          <w:cols w:equalWidth="0" w:num="1">
            <w:col w:w="10360"/>
          </w:cols>
          <w:pgMar w:left="900" w:top="696"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10360"/>
          </w:cols>
          <w:pgMar w:left="900" w:top="696" w:right="980" w:bottom="175" w:gutter="0" w:footer="0" w:header="0"/>
          <w:type w:val="continuous"/>
        </w:sectPr>
      </w:pPr>
    </w:p>
    <w:bookmarkStart w:id="6" w:name="page7"/>
    <w:bookmarkEnd w:id="6"/>
    <w:p>
      <w:pPr>
        <w:ind w:left="980" w:right="60" w:hanging="498"/>
        <w:spacing w:after="0" w:line="247"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93" w:lineRule="exact"/>
        <w:rPr>
          <w:rFonts w:ascii="Arial" w:cs="Arial" w:eastAsia="Arial" w:hAnsi="Arial"/>
          <w:sz w:val="20"/>
          <w:szCs w:val="20"/>
          <w:color w:val="auto"/>
        </w:rPr>
      </w:pPr>
    </w:p>
    <w:p>
      <w:pPr>
        <w:ind w:left="980" w:right="700" w:hanging="498"/>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might not realize the anticipated benefits of our current collaborations with Mabwell or NIH, or any other collaborations we enter into in the future.</w:t>
      </w:r>
    </w:p>
    <w:p>
      <w:pPr>
        <w:spacing w:after="0" w:line="64" w:lineRule="exact"/>
        <w:rPr>
          <w:rFonts w:ascii="Arial" w:cs="Arial" w:eastAsia="Arial" w:hAnsi="Arial"/>
          <w:sz w:val="20"/>
          <w:szCs w:val="20"/>
          <w:color w:val="auto"/>
        </w:rPr>
      </w:pPr>
    </w:p>
    <w:p>
      <w:pPr>
        <w:jc w:val="both"/>
        <w:ind w:left="980" w:hanging="498"/>
        <w:spacing w:after="0" w:line="252"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87" w:lineRule="exact"/>
        <w:rPr>
          <w:rFonts w:ascii="Arial" w:cs="Arial" w:eastAsia="Arial" w:hAnsi="Arial"/>
          <w:sz w:val="20"/>
          <w:szCs w:val="20"/>
          <w:color w:val="auto"/>
        </w:rPr>
      </w:pPr>
    </w:p>
    <w:p>
      <w:pPr>
        <w:ind w:left="980" w:right="380" w:hanging="498"/>
        <w:spacing w:after="0" w:line="249"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90" w:lineRule="exact"/>
        <w:rPr>
          <w:rFonts w:ascii="Arial" w:cs="Arial" w:eastAsia="Arial" w:hAnsi="Arial"/>
          <w:sz w:val="20"/>
          <w:szCs w:val="20"/>
          <w:color w:val="auto"/>
        </w:rPr>
      </w:pPr>
    </w:p>
    <w:p>
      <w:pPr>
        <w:ind w:left="980" w:right="780" w:hanging="498"/>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obtain or grant licenses or sublicenses to intellectual property rights in all markets on equally or sufficiently favorable terms with third parties.</w:t>
      </w:r>
    </w:p>
    <w:p>
      <w:pPr>
        <w:spacing w:after="0" w:line="64" w:lineRule="exact"/>
        <w:rPr>
          <w:rFonts w:ascii="Arial" w:cs="Arial" w:eastAsia="Arial" w:hAnsi="Arial"/>
          <w:sz w:val="20"/>
          <w:szCs w:val="20"/>
          <w:color w:val="auto"/>
        </w:rPr>
      </w:pPr>
    </w:p>
    <w:p>
      <w:pPr>
        <w:jc w:val="both"/>
        <w:ind w:left="980" w:right="460" w:hanging="498"/>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81" w:lineRule="exact"/>
        <w:rPr>
          <w:rFonts w:ascii="Arial" w:cs="Arial" w:eastAsia="Arial" w:hAnsi="Arial"/>
          <w:sz w:val="20"/>
          <w:szCs w:val="20"/>
          <w:color w:val="auto"/>
        </w:rPr>
      </w:pPr>
    </w:p>
    <w:p>
      <w:pPr>
        <w:ind w:left="980" w:right="260" w:hanging="498"/>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mean that we will be successful in obtaining regulatory approval of our product candidates in other jurisdictions.</w:t>
      </w:r>
    </w:p>
    <w:p>
      <w:pPr>
        <w:spacing w:after="0" w:line="64" w:lineRule="exact"/>
        <w:rPr>
          <w:rFonts w:ascii="Arial" w:cs="Arial" w:eastAsia="Arial" w:hAnsi="Arial"/>
          <w:sz w:val="20"/>
          <w:szCs w:val="20"/>
          <w:color w:val="auto"/>
        </w:rPr>
      </w:pPr>
    </w:p>
    <w:p>
      <w:pPr>
        <w:ind w:left="980" w:right="20" w:hanging="498"/>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success depends on our ability to retain key executives and experienced scientists and to attract, retain, and motivate qualified personnel.</w:t>
      </w:r>
    </w:p>
    <w:p>
      <w:pPr>
        <w:spacing w:after="0" w:line="64" w:lineRule="exact"/>
        <w:rPr>
          <w:rFonts w:ascii="Arial" w:cs="Arial" w:eastAsia="Arial" w:hAnsi="Arial"/>
          <w:sz w:val="20"/>
          <w:szCs w:val="20"/>
          <w:color w:val="auto"/>
        </w:rPr>
      </w:pPr>
    </w:p>
    <w:p>
      <w:pPr>
        <w:ind w:left="980" w:right="100" w:hanging="498"/>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81" w:lineRule="exact"/>
        <w:rPr>
          <w:rFonts w:ascii="Arial" w:cs="Arial" w:eastAsia="Arial" w:hAnsi="Arial"/>
          <w:sz w:val="20"/>
          <w:szCs w:val="20"/>
          <w:color w:val="auto"/>
        </w:rPr>
      </w:pPr>
    </w:p>
    <w:p>
      <w:pPr>
        <w:ind w:left="980" w:right="740" w:hanging="498"/>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Unfavorable global economic conditions could adversely affect our business, financial condition or results of operations.</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price of our common stock is expected to be volatile.</w:t>
      </w:r>
    </w:p>
    <w:p>
      <w:pPr>
        <w:spacing w:after="0" w:line="133" w:lineRule="exact"/>
        <w:rPr>
          <w:rFonts w:ascii="Arial" w:cs="Arial" w:eastAsia="Arial" w:hAnsi="Arial"/>
          <w:sz w:val="20"/>
          <w:szCs w:val="20"/>
          <w:color w:val="auto"/>
        </w:rPr>
      </w:pPr>
    </w:p>
    <w:p>
      <w:pPr>
        <w:ind w:left="980" w:right="220" w:hanging="498"/>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will incur additional costs and increased demands upon management as a result of complying with the laws and regulations affecting public companies.</w:t>
      </w:r>
    </w:p>
    <w:p>
      <w:pPr>
        <w:spacing w:after="0" w:line="64" w:lineRule="exact"/>
        <w:rPr>
          <w:rFonts w:ascii="Arial" w:cs="Arial" w:eastAsia="Arial" w:hAnsi="Arial"/>
          <w:sz w:val="20"/>
          <w:szCs w:val="20"/>
          <w:color w:val="auto"/>
        </w:rPr>
      </w:pPr>
    </w:p>
    <w:p>
      <w:pPr>
        <w:ind w:left="980" w:right="60" w:hanging="498"/>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81" w:lineRule="exact"/>
        <w:rPr>
          <w:rFonts w:ascii="Arial" w:cs="Arial" w:eastAsia="Arial" w:hAnsi="Arial"/>
          <w:sz w:val="20"/>
          <w:szCs w:val="20"/>
          <w:color w:val="auto"/>
        </w:rPr>
      </w:pPr>
    </w:p>
    <w:p>
      <w:pPr>
        <w:ind w:left="980" w:right="100" w:hanging="498"/>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223"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This section contains forward-looking statements. You should refer to the explanation of the qualifications and limitations on forward-looking statements beginning on page ii.</w:t>
      </w:r>
    </w:p>
    <w:p>
      <w:pPr>
        <w:sectPr>
          <w:pgSz w:w="12240" w:h="15840" w:orient="portrait"/>
          <w:cols w:equalWidth="0" w:num="1">
            <w:col w:w="10440"/>
          </w:cols>
          <w:pgMar w:left="900" w:top="71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v</w:t>
      </w:r>
    </w:p>
    <w:p>
      <w:pPr>
        <w:sectPr>
          <w:pgSz w:w="12240" w:h="15840" w:orient="portrait"/>
          <w:cols w:equalWidth="0" w:num="1">
            <w:col w:w="10440"/>
          </w:cols>
          <w:pgMar w:left="900" w:top="714" w:right="900" w:bottom="175"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6" w:lineRule="exact"/>
        <w:rPr>
          <w:sz w:val="20"/>
          <w:szCs w:val="20"/>
          <w:color w:val="auto"/>
        </w:rPr>
      </w:pPr>
    </w:p>
    <w:p>
      <w:pPr>
        <w:ind w:right="400" w:firstLine="490"/>
        <w:spacing w:after="0" w:line="275" w:lineRule="auto"/>
        <w:rPr>
          <w:sz w:val="20"/>
          <w:szCs w:val="20"/>
          <w:color w:val="auto"/>
        </w:rPr>
      </w:pPr>
      <w:r>
        <w:rPr>
          <w:rFonts w:ascii="Times New Roman" w:cs="Times New Roman" w:eastAsia="Times New Roman" w:hAnsi="Times New Roman"/>
          <w:sz w:val="20"/>
          <w:szCs w:val="20"/>
          <w:i w:val="1"/>
          <w:iCs w:val="1"/>
          <w:color w:val="auto"/>
        </w:rPr>
        <w:t>Except where the context otherwise requires or where otherwise indicated, the terms “Disc,” “we,” “us,” “our,” “our company,” “the company,” and “our business” refer to Disc Medicine, Inc. and its consolidated subsidiaries.</w:t>
      </w:r>
    </w:p>
    <w:p>
      <w:pPr>
        <w:spacing w:after="0" w:line="6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expect interim data from BEACON in the first half of 2023 and topline data from AURORA by year-end 2023. We entered into a collaborative research and development agreement with the National Institutes of Health, or NIH, to conduct an NIH-sponsored clinical trial of bitopertin in DBA. The FDA authorized the clinical trial to proceed and we expect the trial to begin by mid-year 2023. We are planning additional trials of bitopertin in other indications.</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expect interim data from both of these trials in 2023. In addition, we are developing a preclinical anti-hemojuvelin, or HJV, monoclonal antibody, DISC-0998, which also targets hepcidin suppression and was in-licensed from AbbVie Deutschland GmbH &amp; Co. KG, or AbbVie. DISC-0998 is designed to increase serum iron levels and has an extended serum half-life as compared to DISC-0974. We believe this profile may be desirable in certain subsets of patients with anemia associated with inflammatory diseases.</w:t>
      </w:r>
    </w:p>
    <w:p>
      <w:pPr>
        <w:spacing w:after="0" w:line="8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Lastly, we are developing MWTX-003, a monoclonal antibody against Transmembrane Serine Protease 6, or TMPRSS6, that we licensed from Mabwell Therapeutics, Inc., or Mabwell.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Heme Biosynthesis Modulation: Bitopertin</w:t>
      </w:r>
    </w:p>
    <w:p>
      <w:pPr>
        <w:spacing w:after="0" w:line="11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Our first therapeutic approach is focused on the modulation of heme biosynthesis, a multistep enzymatic process that is highly active in the formation of new red blood cells. We believe this approach has the potential to address a wide range of hematologic diseases where red blood cell formation becomes dysregulated. This includes a family of rare diseases called porphyrias, which are caused by genetic or acquired defects in the enzymes that mediate heme biosynthesis and result in the accumulation of toxic metabolites called porphyrins. Bitopertin is the most advanced product candidate in our heme biosynthesis portfolio. It is designed to be an oral, selective inhibitor of GlyT1, a key membrane transporter required to supply developing red blood cells with sufficient amounts of the amino acid glycine to support erythropoiesis. Glycine is necessary for the first step of heme biosynthesis, and by limiting glycine uptake in newly forming red blood cells, bitopertin has the potential to reduce the activity of the heme biosynthesis pathway, thereby reducing the pathological accumulation of toxic metabolites.</w:t>
      </w:r>
    </w:p>
    <w:p>
      <w:pPr>
        <w:sectPr>
          <w:pgSz w:w="12240" w:h="15840" w:orient="portrait"/>
          <w:cols w:equalWidth="0" w:num="1">
            <w:col w:w="10440"/>
          </w:cols>
          <w:pgMar w:left="900" w:top="936" w:right="900" w:bottom="175"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440"/>
          </w:cols>
          <w:pgMar w:left="900" w:top="936" w:right="900" w:bottom="175" w:gutter="0" w:footer="0" w:header="0"/>
          <w:type w:val="continuous"/>
        </w:sectPr>
      </w:pPr>
    </w:p>
    <w:bookmarkStart w:id="8" w:name="page9"/>
    <w:bookmarkEnd w:id="8"/>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In May 2021, we licensed the worldwide rights to develop and commercialize bitopertin from Roche, a pharmaceutical company that had previously evaluated bitopertin in a comprehensive clinical program in over 4,000 individuals, originally with a focus on treating certain neurologic disorders. The data generated in these clinical trials failed to establish the efficacy of bitopertin in neurologic disorders. However, the data did demonstrate that, by limiting glycine uptake in newly forming red blood cells, bitopertin reduced the activity of the heme biosynthesis pathway, and we believe that this effect has the potential to treat many hematologic disorders. In addition, bitopertin was observed to be well tolerated in humans, with adverse events reported to be generally mild and infrequent across all trials conducted by Roche including at daily oral doses well above those that we plan to use in our clinical trials. We are initially focused on developing bitopertin for the treatment of EPP and XLP which are both diseases marked by severe photosensitivity and damage to the hepatobiliary system caused by the accumulation of protoporphyrin IX, or PPIX, a toxic metabolite of the heme biosynthesis pathway. Based on the demonstrated activity of bitopertin as a GlyT1 inhibitor and suppressor of heme biosynthesis in the clinical trials conducted by Roche, as well as the preclinical data we have generated in disease-relevant animal models and human cellular models, we have initiated a clinical program of bitopertin for EPP and XLP. In July 2022, we initiated BEACON, a Phase 2 open-label, parallel-dose clinical trial of bitopertin in EPP and XLP patients that is being conducted at sites in Australia. Interim data is expected in the first half of 2023. Separately, in October 2022, we initiated AURORA, a Phase 2, randomized, double-blind, placebo-controlled clinical trial of bitopertin in EPP patients that is being conducted at sites in the United States. In July 2022, we received IND clearance from the FDA. Topline data from AURORA is expected by year-end 2023. We also plan to explore the potential of bitopertin to treat other hematologic diseases, and entered into a collaborative research and development agreement with the NIH to conduct an NIH-sponsored clinical trial of bitopertin in DBA. The FDA authorized the clinical trial to proceed and we expect the trial to begin by mid-year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Targeting the Hepcidin Pathway to Modulate Iron Homeostasis: Anti-Hemojuvelin mAbs and TMPRSS6 inhibitor Programs</w:t>
      </w:r>
    </w:p>
    <w:p>
      <w:pPr>
        <w:spacing w:after="0" w:line="118"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We are also developing a portfolio of product candidates focused on modulating iron homeostasis. Our initial product candidates aim to control the production of hepcidin, which is the master regulator of iron homeostasis. Iron is an essential element that is required for erythropoiesis as well as other important biological functions, and when iron homeostasis becomes dysregulated, it can cause a wide range of diseases. We believe that modulating the production of hepcidin to correct pathologic alterations in iron homeostasis has the potential to be a powerful therapeutic strategy. We are leveraging two approaches that are designed to either suppress or induce hepcidin production in order to increase or decrease serum iron levels, respectively.</w:t>
      </w:r>
    </w:p>
    <w:p>
      <w:pPr>
        <w:spacing w:after="0" w:line="8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The lead product candidate in our iron homeostasis portfolio, DISC-0974, is designed to suppress hepcidin production and is in development for the treatment of anemia associated with inflammatory diseases. DISC-0974, an antibody that we in-licensed from AbbVie, is designed to inhibit HJV, a critical regulator of hepcidin production. We selected this target because the effects of inhibiting HJV, namely decreased hepcidin and increased serum iron levels, have been genetically demonstrated in both animal knockout studies and in patients with juvenile hemochromatosis who lack fully functional genes encoding HJV. We have completed our Phase 1, placebo-controlled, single-ascending dose clinical trial of DISC-0974 in healthy volunteers. Data from the Phase 1 clinical trial showed an acceptable tolerability profile and evidence of target engagement and iron mobilization and augmented erythropoiesis. At the highest dose, a single 56 mg dose delivered by subcutaneous administration, DISC-0974 increased hemoglobin levels by greater than 1 g/dL relative to the placebo group. Data from the Phase 1 trial were presented at the 2022 European Hematology Association meeting and the 2022 American Society of Hematology annual meeting. We initiated a Phase 1b/2 open-label clinical trial in patients with anemia of MF in July 2022 and initiated a separate Phase 1b/2 placebo controlled, single- and multiple-ascending dose clinical trial in patients with non-dialysis dependent CKD and anemia in February 2023. We expect interim data from both of these trials in 2023. DISC-0974 has undergone testing in healthy volunteers and has just begun clinical testing for anemia of MF and CKD, and therefore there can be no assurance that DISC-0974 will achieve the desired effects in these indications. In addition, we are developing a preclinical anti-HJV monoclonal antibody, DISC-0998, which also is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As part of our portfolio to modulate iron homeostasis, we are also advancing MWTX-003, a monoclonal antibody against TMPRSS6 that we in-licensed from Mabwell. MWTX-003 is part of our iron homeostasis portfolio and is designed to induce hepcidin production and reduce serum iron levels. An IND for MWTX-003 has been cleared by the FDA, and we plan to initiate a Phase 1 clinical trial in healthy volunteers in the second half of 2023. We plan to develop MWTX-003 for the treatment of disease where iron restriction may be beneficial, initially for patients with PV as well as diseases of iron overload. We selected this target based on the genetic confirmation of the effects of decreased TMPRSS6 activity in both animal knockout studies and in patients with iron-refractory iron deficiency anemia who lack fully functional genes encoding TMPRSS6.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We are building an innovative pipeline of product candidates that aim to modify fundamental biological pathways associated with the formation and function of red blood cells. We own worldwide rights to each of our current product candidates.</w:t>
      </w:r>
    </w:p>
    <w:p>
      <w:pPr>
        <w:sectPr>
          <w:pgSz w:w="12240" w:h="15840" w:orient="portrait"/>
          <w:cols w:equalWidth="0" w:num="1">
            <w:col w:w="10460"/>
          </w:cols>
          <w:pgMar w:left="900" w:top="70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460"/>
          </w:cols>
          <w:pgMar w:left="900" w:top="700" w:right="880" w:bottom="17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color w:val="auto"/>
        </w:rPr>
        <w:t>Clinical-Stage Product Candidates</w:t>
      </w:r>
    </w:p>
    <w:p>
      <w:pPr>
        <w:spacing w:after="0" w:line="11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diagram below reflects the status of the clinical-stage product candidates, bitopertin, DISC-0974 and MWTX-003, and clinical trials that have been completed, are ongoing or are expected to initiate by the end of 2023. The timelines described reflect our current expectations and beliefs based on our internal plans and certain limited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6638290" cy="2695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6638290" cy="269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also plan to develop bitopertin, DISC-0974 and MWTX-003 for other indications. For example, we are exploring the potential of bitopertin as a treatment for macrocytic anemias, such as DBA and certain types of myelodysplastic syndromes, or MDS, in preclinical studies and have entered into a collaborative research and development agreement with the NIH to conduct an NIH-sponsored clinical trial of bitopertin in DBA. The FDA authorized the clinical trial to proceed and we expect the trial to begin by mid-year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Product Candidates</w:t>
      </w:r>
    </w:p>
    <w:p>
      <w:pPr>
        <w:spacing w:after="0" w:line="118"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We also have preclinical-stage programs in development. This includes DISC-0998: a separate, preclinical anti-HJV monoclonal antibody, which is also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Corporate History and Team</w:t>
      </w:r>
    </w:p>
    <w:p>
      <w:pPr>
        <w:spacing w:after="0" w:line="12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and establishing and maintaining our intellectual property portfolio.</w:t>
      </w:r>
    </w:p>
    <w:p>
      <w:pPr>
        <w:spacing w:after="0" w:line="7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and Tibsovo, as well as numerous late-stage clinical and approved therapies for other therapeutic areas. Our team has significant previous experience at leading biotechnology and pharmaceutical companies, including Acceleron Pharma, Inc., Agios Pharmaceuticals, Inc., Astellas Pharma, Inc., Bristol-Myers Squibb Company, GlaxoSmithKline, Johnson &amp; Johnson, Merck &amp; Co., Inc., Takeda Pharmaceutical Co., and The Medicines Company. Our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4"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auto"/>
        </w:rPr>
        <w:t>Our mission is to significantly improve the lives of patients suffering from hematologic diseases by developing differentiated product candidates, including ones designed to target fundamental pathways associated with the formation and function of red blood cells. To achieve our mission, we are focused on the following key elements of our strategy:</w:t>
      </w:r>
    </w:p>
    <w:p>
      <w:pPr>
        <w:sectPr>
          <w:pgSz w:w="12240" w:h="15840" w:orient="portrait"/>
          <w:cols w:equalWidth="0" w:num="1">
            <w:col w:w="10440"/>
          </w:cols>
          <w:pgMar w:left="900" w:top="702" w:right="900" w:bottom="1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440"/>
          </w:cols>
          <w:pgMar w:left="900" w:top="702" w:right="900" w:bottom="175" w:gutter="0" w:footer="0" w:header="0"/>
          <w:type w:val="continuous"/>
        </w:sectPr>
      </w:pPr>
    </w:p>
    <w:bookmarkStart w:id="10" w:name="page11"/>
    <w:bookmarkEnd w:id="10"/>
    <w:p>
      <w:pPr>
        <w:ind w:left="720" w:hanging="367"/>
        <w:spacing w:after="0" w:line="243"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Advance the clinical development of bitopertin for the treatment of patients with EPP and XLP and expand into other diseases characterized by dysregulation of the heme biosynthesis pathway. </w:t>
      </w:r>
      <w:r>
        <w:rPr>
          <w:rFonts w:ascii="Times New Roman" w:cs="Times New Roman" w:eastAsia="Times New Roman" w:hAnsi="Times New Roman"/>
          <w:sz w:val="20"/>
          <w:szCs w:val="20"/>
          <w:color w:val="auto"/>
        </w:rPr>
        <w:t>In multiple clinical trials conducted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Roche in other indications, bitopertin was observed to be a regulator of heme biosynthesis. We are initially developing bitopertin for the treatment of patients with EPP and XLP, which are part of a group of severe diseases, known as porphyrias, caused by defects in the heme biosynthesis pathway that cause an accumulation of toxic metabolites referred to as porphyrins. Based on the clinical data generated by Roche in multiple clinical trials in other indications and the compelling preclinical data we have generated, we believe bitopertin has the potential to be a disease-modifying treatment for these patients. In July 2022, we initiated BEACON, a Phase 2 open-label, parallel-dose clinical trial of bitopertin in EPP and XLP patients that is being conducted at sites in Australia. Interim data is expected in the first half of 2023. Separately, in July 2022, we received IND clearance from the FDA and in October 2022 initiated AURORA. AURORA is a Phase 2, randomized, double-blind, placebo-controlled clinical trial of bitopertin in EPP patients that is being conducted at sites in the United States. Topline data from AURORA is expected by year-end 2023. We also plan to explore the potential of bitopertin to treat other hematologic diseases, including DBA.</w:t>
      </w:r>
    </w:p>
    <w:p>
      <w:pPr>
        <w:spacing w:after="0" w:line="96" w:lineRule="exact"/>
        <w:rPr>
          <w:rFonts w:ascii="Arial" w:cs="Arial" w:eastAsia="Arial" w:hAnsi="Arial"/>
          <w:sz w:val="20"/>
          <w:szCs w:val="20"/>
          <w:color w:val="auto"/>
        </w:rPr>
      </w:pPr>
    </w:p>
    <w:p>
      <w:pPr>
        <w:ind w:left="720" w:right="40" w:hanging="367"/>
        <w:spacing w:after="0" w:line="259" w:lineRule="auto"/>
        <w:tabs>
          <w:tab w:leader="none" w:pos="72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Advance the clinical development of DISC-0974 for the treatment of anemia associated with MF, CKD and other inflammatory diseases. </w:t>
      </w:r>
      <w:r>
        <w:rPr>
          <w:rFonts w:ascii="Times New Roman" w:cs="Times New Roman" w:eastAsia="Times New Roman" w:hAnsi="Times New Roman"/>
          <w:sz w:val="19"/>
          <w:szCs w:val="19"/>
          <w:color w:val="auto"/>
        </w:rPr>
        <w:t>We are initially developing our lead hepcidin-suppressing program, DISC-0974,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treatment of anemia associated with MF and CKD. We have completed a Phase 1, placebo-controlled, single-ascending dose clinical trial of DISC-0974 in healthy volunteers. Data from the Phase 1 clinical trial showed an acceptable tolerability profile and evidence of target engagement and iron mobilization and augmented erythropoiesis. We initiated a Phase 1b/2 open-label clinical trial in patients with anemia of MF in June 2022 and initiated a separate Phase 1b/2 placebo controlled, single/multiple ascending dose clinical trial in patients with non-dialysis dependent CKD and anemia in February 2023. We expect interim data from these two trials in 2023. We also plan to further expand the development of DISC-0974 into anemias associated with other inflammatory diseases, such as inflammatory bowel disease.</w:t>
      </w:r>
    </w:p>
    <w:p>
      <w:pPr>
        <w:spacing w:after="0" w:line="81" w:lineRule="exact"/>
        <w:rPr>
          <w:rFonts w:ascii="Arial" w:cs="Arial" w:eastAsia="Arial" w:hAnsi="Arial"/>
          <w:sz w:val="19"/>
          <w:szCs w:val="19"/>
          <w:color w:val="auto"/>
        </w:rPr>
      </w:pPr>
    </w:p>
    <w:p>
      <w:pPr>
        <w:ind w:left="720" w:right="20" w:hanging="367"/>
        <w:spacing w:after="0" w:line="246"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Advance the clinical development of MWTX-003 for the treatment of PV and expand into other diseases associated with excess iron availability. </w:t>
      </w:r>
      <w:r>
        <w:rPr>
          <w:rFonts w:ascii="Times New Roman" w:cs="Times New Roman" w:eastAsia="Times New Roman" w:hAnsi="Times New Roman"/>
          <w:sz w:val="20"/>
          <w:szCs w:val="20"/>
          <w:color w:val="auto"/>
        </w:rPr>
        <w:t>The second program in our iron homeostasis portfolio is MWTX-003, which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designed to induce hepcidin production. We plan to initiate a Phase 1 clinical trial in healthy volunteers in the second half of 2023, followed by a study in patients with PV. The inhibition of TMPRSS6 has been shown in non-clinical studies to increase hepcidin levels and restrict iron availability, and MWTX-003 demonstrated activity in disease models of PV, and beta-thalassemia. In clinical trials conducted by third parties, iron restriction through a hepcidin mechanism resulted in disease control in patients with PV, which is our initial indication of focus for this program.</w:t>
      </w:r>
    </w:p>
    <w:p>
      <w:pPr>
        <w:spacing w:after="0" w:line="93" w:lineRule="exact"/>
        <w:rPr>
          <w:rFonts w:ascii="Arial" w:cs="Arial" w:eastAsia="Arial" w:hAnsi="Arial"/>
          <w:sz w:val="20"/>
          <w:szCs w:val="20"/>
          <w:color w:val="auto"/>
        </w:rPr>
      </w:pPr>
    </w:p>
    <w:p>
      <w:pPr>
        <w:ind w:left="720" w:hanging="367"/>
        <w:spacing w:after="0" w:line="244"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Continue to build our pipeline through internal research or business development. </w:t>
      </w:r>
      <w:r>
        <w:rPr>
          <w:rFonts w:ascii="Times New Roman" w:cs="Times New Roman" w:eastAsia="Times New Roman" w:hAnsi="Times New Roman"/>
          <w:sz w:val="20"/>
          <w:szCs w:val="20"/>
          <w:color w:val="auto"/>
        </w:rPr>
        <w:t>Though we have yet to generate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data for our product candidates, other than Phase 1 data for DISC-0974, we believe that all of our current product candidates, if approved, could have pipeline-in-a-product potential, and for each product candidate, we plan to explore its potential across multiple hematologic diseases. In addition, we plan to leverage our expertise in hematology to 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spacing w:after="0" w:line="91" w:lineRule="exact"/>
        <w:rPr>
          <w:rFonts w:ascii="Arial" w:cs="Arial" w:eastAsia="Arial" w:hAnsi="Arial"/>
          <w:sz w:val="20"/>
          <w:szCs w:val="20"/>
          <w:color w:val="auto"/>
        </w:rPr>
      </w:pPr>
    </w:p>
    <w:p>
      <w:pPr>
        <w:ind w:left="720" w:hanging="367"/>
        <w:spacing w:after="0" w:line="244"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Opportunistically evaluate strategic collaborations to maximize the value of our product candidates and preclinical programs. </w:t>
      </w:r>
      <w:r>
        <w:rPr>
          <w:rFonts w:ascii="Times New Roman" w:cs="Times New Roman" w:eastAsia="Times New Roman" w:hAnsi="Times New Roman"/>
          <w:sz w:val="20"/>
          <w:szCs w:val="20"/>
          <w:color w:val="auto"/>
        </w:rPr>
        <w:t>We have obtained exclusive, worldwide licenses for the development and commercialization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bitopertin, DISC-0974, and DISC-0998, and exclusive, worldwide rights for MWTX-003 and related antibodies in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 and preclinical programs in order to treat patients in need of new therapies, while also maximizing value for our stockholders.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Approach</w:t>
      </w:r>
    </w:p>
    <w:p>
      <w:pPr>
        <w:spacing w:after="0" w:line="124" w:lineRule="exact"/>
        <w:rPr>
          <w:sz w:val="20"/>
          <w:szCs w:val="20"/>
          <w:color w:val="auto"/>
        </w:rPr>
      </w:pPr>
    </w:p>
    <w:p>
      <w:pPr>
        <w:ind w:right="40" w:firstLine="490"/>
        <w:spacing w:after="0" w:line="270" w:lineRule="auto"/>
        <w:rPr>
          <w:sz w:val="20"/>
          <w:szCs w:val="20"/>
          <w:color w:val="auto"/>
        </w:rPr>
      </w:pPr>
      <w:r>
        <w:rPr>
          <w:rFonts w:ascii="Times New Roman" w:cs="Times New Roman" w:eastAsia="Times New Roman" w:hAnsi="Times New Roman"/>
          <w:sz w:val="19"/>
          <w:szCs w:val="19"/>
          <w:color w:val="auto"/>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w:t>
      </w:r>
    </w:p>
    <w:p>
      <w:pPr>
        <w:sectPr>
          <w:pgSz w:w="12240" w:h="15840" w:orient="portrait"/>
          <w:cols w:equalWidth="0" w:num="1">
            <w:col w:w="10440"/>
          </w:cols>
          <w:pgMar w:left="900" w:top="710" w:right="900" w:bottom="175"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440"/>
          </w:cols>
          <w:pgMar w:left="900" w:top="710" w:right="900" w:bottom="175" w:gutter="0" w:footer="0" w:header="0"/>
          <w:type w:val="continuous"/>
        </w:sectPr>
      </w:pPr>
    </w:p>
    <w:bookmarkStart w:id="11" w:name="page12"/>
    <w:bookmarkEnd w:id="11"/>
    <w:p>
      <w:pPr>
        <w:spacing w:after="0" w:line="246" w:lineRule="auto"/>
        <w:rPr>
          <w:sz w:val="20"/>
          <w:szCs w:val="20"/>
          <w:color w:val="auto"/>
        </w:rPr>
      </w:pPr>
      <w:r>
        <w:rPr>
          <w:rFonts w:ascii="Times New Roman" w:cs="Times New Roman" w:eastAsia="Times New Roman" w:hAnsi="Times New Roman"/>
          <w:sz w:val="20"/>
          <w:szCs w:val="20"/>
          <w:color w:val="auto"/>
        </w:rPr>
        <w:t>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previously conducted animal models and preclinical data, we believe our product candidate portfolio, by targeting fundamental pathways in red blood cell biology, has the potential to address a range of hematologic diseases in which modification of iron and heme plays a critical function.</w:t>
      </w:r>
    </w:p>
    <w:p>
      <w:pPr>
        <w:spacing w:after="0" w:line="80"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We are focused on therapeutic approaches that modulate heme and iron to address diseases of heme biosynthesis and red blood cell production. Our current pipeline is focused on the following three approaches:</w:t>
      </w:r>
    </w:p>
    <w:p>
      <w:pPr>
        <w:spacing w:after="0" w:line="63" w:lineRule="exact"/>
        <w:rPr>
          <w:sz w:val="20"/>
          <w:szCs w:val="20"/>
          <w:color w:val="auto"/>
        </w:rPr>
      </w:pPr>
    </w:p>
    <w:p>
      <w:pPr>
        <w:ind w:left="720" w:right="420" w:hanging="367"/>
        <w:spacing w:after="0" w:line="276"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Modulating the heme biosynthesis pathway, which is anticipated to be useful in diseases caused by excesses in toxic heme pathway metabolites, e.g. EPs;</w:t>
      </w:r>
    </w:p>
    <w:p>
      <w:pPr>
        <w:spacing w:after="0" w:line="64" w:lineRule="exact"/>
        <w:rPr>
          <w:rFonts w:ascii="Arial" w:cs="Arial" w:eastAsia="Arial" w:hAnsi="Arial"/>
          <w:sz w:val="20"/>
          <w:szCs w:val="20"/>
          <w:color w:val="auto"/>
        </w:rPr>
      </w:pPr>
    </w:p>
    <w:p>
      <w:pPr>
        <w:ind w:left="720" w:right="20" w:hanging="367"/>
        <w:spacing w:after="0" w:line="258"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81" w:lineRule="exact"/>
        <w:rPr>
          <w:rFonts w:ascii="Arial" w:cs="Arial" w:eastAsia="Arial" w:hAnsi="Arial"/>
          <w:sz w:val="20"/>
          <w:szCs w:val="20"/>
          <w:color w:val="auto"/>
        </w:rPr>
      </w:pPr>
    </w:p>
    <w:p>
      <w:pPr>
        <w:ind w:left="720" w:right="440" w:hanging="367"/>
        <w:spacing w:after="0" w:line="276"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Decreasing iron availability, which is anticipated to lower red blood cell production in diseases of excessive red cell production, e.g. PV.</w:t>
      </w:r>
    </w:p>
    <w:p>
      <w:pPr>
        <w:spacing w:after="0" w:line="13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Additionally, we focus on therapeutic mechanisms that have been validated in humans, through evidence from either human genetics or third-party clinical trials. For example, our lead program, bitopertin, which has been evaluated in over 4,000 individuals, has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p>
    <w:p>
      <w:pPr>
        <w:spacing w:after="0" w:line="80"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Heme Biosynthesis Modulation Portfolio</w:t>
      </w:r>
    </w:p>
    <w:p>
      <w:pPr>
        <w:spacing w:after="0" w:line="12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Heme Biosynthesis: Fundamental to Erythropoiesis</w:t>
      </w:r>
    </w:p>
    <w:p>
      <w:pPr>
        <w:spacing w:after="0" w:line="120"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 is regulated by the availability of heme. As a result, agents that affect heme biosynthesis have broad potential to treat diseases of the heme and hemoglobin biosynthesis pathways and other hematologic diseases resulting from dysregulated erythropoiesis.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440"/>
          </w:cols>
          <w:pgMar w:left="900" w:top="700" w:right="900" w:bottom="175"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189230</wp:posOffset>
            </wp:positionV>
            <wp:extent cx="5105400" cy="1924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5105400"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Heme Biosynthesis as a Therapeutic Target for Diseases</w:t>
      </w:r>
    </w:p>
    <w:p>
      <w:pPr>
        <w:spacing w:after="0" w:line="12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In many hematologic diseases, there is abnormal proliferation and differentiation of the progenitor cells that develop into red blood cells. An alteration in any aspect of red blood cell maturation can result in the build-up of metabolic intermediates from heme and hemoglobin biosynthesis, and these intermediates can cause a variety of disease states. Defects of the heme biosynthesis enzymes in the erythroid lineage can cause the build-up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 Restricting heme formation has the potential to ameliorate symptoms in certain patients with these hemoglobinopathies and disorders of red blood cell excess. Therefore, we believe that inhibitors of heme biosynthesis have the potential to treat a wide range of hematologic diseases by restricting the production of damaging metabolites, including porphyrins, heme and globins.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rPr>
          <w:sz w:val="20"/>
          <w:szCs w:val="20"/>
          <w:color w:val="auto"/>
        </w:rPr>
      </w:pPr>
      <w:r>
        <w:rPr>
          <w:rFonts w:ascii="Times New Roman" w:cs="Times New Roman" w:eastAsia="Times New Roman" w:hAnsi="Times New Roman"/>
          <w:sz w:val="20"/>
          <w:szCs w:val="20"/>
          <w:i w:val="1"/>
          <w:iCs w:val="1"/>
          <w:color w:val="auto"/>
        </w:rPr>
        <w:t>Erythropoietic Porphyrias</w:t>
      </w:r>
    </w:p>
    <w:p>
      <w:pPr>
        <w:spacing w:after="0" w:line="92"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19"/>
          <w:szCs w:val="19"/>
          <w:color w:val="auto"/>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440"/>
          </w:cols>
          <w:pgMar w:left="900" w:top="696" w:right="900" w:bottom="175"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195580</wp:posOffset>
            </wp:positionV>
            <wp:extent cx="3200400" cy="280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3200400" cy="280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8"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auto"/>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 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w:t>
      </w:r>
    </w:p>
    <w:p>
      <w:pPr>
        <w:spacing w:after="0" w:line="9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82"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auto"/>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Treatment Options for Erythropoietic Porphyrias</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 are designed to promote melanin production, or tanning, and thereby increase patient tolerance to sunlight. Afamelanotide, an a-melanocyte-stimulating hormone analog delivered by a surgically-administered subcutaneous implant, was approved by the FDA in 2019 for the treatment of EPP. Afamelanotide provides reduction in photosensitivity, but is not designed to reduce PPIX</w:t>
      </w:r>
    </w:p>
    <w:p>
      <w:pPr>
        <w:sectPr>
          <w:pgSz w:w="12240" w:h="15840" w:orient="portrait"/>
          <w:cols w:equalWidth="0" w:num="1">
            <w:col w:w="10440"/>
          </w:cols>
          <w:pgMar w:left="900" w:top="696" w:right="900" w:bottom="175"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440"/>
          </w:cols>
          <w:pgMar w:left="900" w:top="696" w:right="900" w:bottom="175" w:gutter="0" w:footer="0" w:header="0"/>
          <w:type w:val="continuous"/>
        </w:sectPr>
      </w:pPr>
    </w:p>
    <w:bookmarkStart w:id="14" w:name="page15"/>
    <w:bookmarkEnd w:id="14"/>
    <w:p>
      <w:pPr>
        <w:ind w:right="20"/>
        <w:spacing w:after="0" w:line="246" w:lineRule="auto"/>
        <w:rPr>
          <w:sz w:val="20"/>
          <w:szCs w:val="20"/>
          <w:color w:val="auto"/>
        </w:rPr>
      </w:pPr>
      <w:r>
        <w:rPr>
          <w:rFonts w:ascii="Times New Roman" w:cs="Times New Roman" w:eastAsia="Times New Roman" w:hAnsi="Times New Roman"/>
          <w:sz w:val="20"/>
          <w:szCs w:val="20"/>
          <w:color w:val="auto"/>
        </w:rPr>
        <w:t>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is currently in Phase 3 development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8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 Bitopertin, an Oral, Selective GlyT1 Inhibitor</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as shown below, and therefore has the potential to treat a range of hematologic disorders associated with the biosynthesis of heme and hemoglobin.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Bitopertin May Treat a Range of Hematologic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189230</wp:posOffset>
            </wp:positionV>
            <wp:extent cx="5362575" cy="129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5362575" cy="129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8" w:lineRule="exact"/>
        <w:rPr>
          <w:sz w:val="20"/>
          <w:szCs w:val="20"/>
          <w:color w:val="auto"/>
        </w:rPr>
      </w:pPr>
    </w:p>
    <w:p>
      <w:pPr>
        <w:jc w:val="both"/>
        <w:ind w:right="540" w:firstLine="490"/>
        <w:spacing w:after="0" w:line="244" w:lineRule="auto"/>
        <w:rPr>
          <w:sz w:val="20"/>
          <w:szCs w:val="20"/>
          <w:color w:val="auto"/>
        </w:rPr>
      </w:pPr>
      <w:r>
        <w:rPr>
          <w:rFonts w:ascii="Times New Roman" w:cs="Times New Roman" w:eastAsia="Times New Roman" w:hAnsi="Times New Roman"/>
          <w:sz w:val="20"/>
          <w:szCs w:val="20"/>
          <w:color w:val="auto"/>
        </w:rPr>
        <w:t>We are initially focused on the ability of bitopertin to suppress the accumulation of PPIX, as shown below, based on preclinical data from cellular and mouse models of disease. Based on its mechanism of action, we believe bitopertin has the potential to be a disease-modifying treatment for EPP and XLP.</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Mechanism of Action for Bitopertin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189230</wp:posOffset>
            </wp:positionV>
            <wp:extent cx="3267075" cy="140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326707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8"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19"/>
          <w:szCs w:val="19"/>
          <w:color w:val="auto"/>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 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w:t>
      </w:r>
    </w:p>
    <w:p>
      <w:pPr>
        <w:sectPr>
          <w:pgSz w:w="12240" w:h="15840" w:orient="portrait"/>
          <w:cols w:equalWidth="0" w:num="1">
            <w:col w:w="10420"/>
          </w:cols>
          <w:pgMar w:left="900" w:top="700" w:right="920" w:bottom="175"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420"/>
          </w:cols>
          <w:pgMar w:left="900" w:top="700" w:right="920" w:bottom="175" w:gutter="0" w:footer="0" w:header="0"/>
          <w:type w:val="continuous"/>
        </w:sectPr>
      </w:pPr>
    </w:p>
    <w:bookmarkStart w:id="15" w:name="page16"/>
    <w:bookmarkEnd w:id="15"/>
    <w:p>
      <w:pPr>
        <w:spacing w:after="0" w:line="249" w:lineRule="auto"/>
        <w:rPr>
          <w:sz w:val="20"/>
          <w:szCs w:val="20"/>
          <w:color w:val="auto"/>
        </w:rPr>
      </w:pPr>
      <w:r>
        <w:rPr>
          <w:rFonts w:ascii="Times New Roman" w:cs="Times New Roman" w:eastAsia="Times New Roman" w:hAnsi="Times New Roman"/>
          <w:sz w:val="20"/>
          <w:szCs w:val="20"/>
          <w:color w:val="auto"/>
        </w:rPr>
        <w:t>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pacing w:after="0" w:line="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Bitopertin has been evaluated in an extensive clinical program focused on neurological disease conducted by Roche in over 4,000 individuals, which demonstrated the activity of bitopertin as a GlyT1 inhibitor and suppressor of heme biosynthesis. We have also conducted preclinical studies in cellular models of EPP and animal models of EPP and XLP, which showed that bitopertin significantly decreased PPIX by 45 and 73%, respectively, which is more than the threshold 30% reduction that has been associated with marked symptom improvement in the studies described above. In a separate study, we also demonstrated that bitopertin reduced liver fibrosis in an animal model of EPP. Based on the aggregate of these results, we have initiated a clinical program to study bitopertin in EPP and XLP. In July 2022, we initiated BEACON, a Phase 2 open-label, parallel-dose clinical trial of bitopertin in EPP and XLP patients that is being conducted at sites in Australia. Interim data is expected in the first half of 2023. Separately, in July 2022, we received IND clearance from the FDA and initiated AURORA in October 2022. AURORA is a Phase 2, randomized, double-blind, placebo-controlled clinical trial of bitopertin in EPP patients that is being conducted at sites in the United States. Topline data from AURORA is expected by year-end 2023. We also plan to explore the potential of bitopertin to treat other hematologic diseases, and have entered into a collaborative research and development agreement with the NIH to initiate an NIH-sponsored clinical trial of bitopertin in DBA. The FDA authorized the clinical trial to proceed and we expect the trial to begin by mid-year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Data</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those indications after completing over 30 clinical trials in more than 4,000 individuals. Roche conducted a pilot study for the treatment of anemia in 12 patients with beta-thalassemia, a population with a normal heme biosynthesis pathway; this trial did not show consistent increases 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This was observed in multiple clinical trials by a mild, dose-dependent decrease in heme biosynthesis, which manifested as a decrease in hemoglobin of approximately 0.5 to 2 g/dL that stabilized after approximately 16 weeks, the approximate lifespan of a red blood cell.</w:t>
      </w:r>
    </w:p>
    <w:p>
      <w:pPr>
        <w:spacing w:after="0" w:line="88"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For example, a single dose clinical trial in healthy volunteers evaluating bitopertin at doses ranging from 3 mg to 80 mg administered once-daily in 24 individuals demonstrated dose-dependent inhibition of erythrocyte glycine uptake levels, as shown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Bitopertin Inhibits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195580</wp:posOffset>
            </wp:positionV>
            <wp:extent cx="5562600" cy="2095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556260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w:t>
      </w:r>
    </w:p>
    <w:p>
      <w:pPr>
        <w:sectPr>
          <w:pgSz w:w="12240" w:h="15840" w:orient="portrait"/>
          <w:cols w:equalWidth="0" w:num="1">
            <w:col w:w="10440"/>
          </w:cols>
          <w:pgMar w:left="900" w:top="700" w:right="900" w:bottom="175"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440"/>
          </w:cols>
          <w:pgMar w:left="900" w:top="700" w:right="900" w:bottom="175" w:gutter="0" w:footer="0" w:header="0"/>
          <w:type w:val="continuous"/>
        </w:sectPr>
      </w:pPr>
    </w:p>
    <w:bookmarkStart w:id="16" w:name="page17"/>
    <w:bookmarkEnd w:id="16"/>
    <w:p>
      <w:pPr>
        <w:ind w:right="200"/>
        <w:spacing w:after="0" w:line="277" w:lineRule="auto"/>
        <w:rPr>
          <w:sz w:val="20"/>
          <w:szCs w:val="20"/>
          <w:color w:val="auto"/>
        </w:rPr>
      </w:pPr>
      <w:r>
        <w:rPr>
          <w:rFonts w:ascii="Times New Roman" w:cs="Times New Roman" w:eastAsia="Times New Roman" w:hAnsi="Times New Roman"/>
          <w:sz w:val="20"/>
          <w:szCs w:val="20"/>
          <w:color w:val="auto"/>
        </w:rPr>
        <w:t>g/dL and approximately 1.0 g/dL, respectively. The effect of bitopertin on hemoglobin reached a plateau at approximately week 26 and effects were generally stable for the remainder of the 52-week trial.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Data</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PPIX is well-established as the pathologic driver in EPP and XLP, and we believe that the suppression of heme biosynthesis in patients with EPP and XLP will result in reduced levels of PPIX. As described above, there is clinical evidence suggesting that reduction of PPIX by greater than 30% has the potential to significantly reduce photosensitivity in EPP and potentially XLP patients. Based on this clinical evidence, we conducted preclinical research to validate the effects of bitopertin on PPIX levels in disease relevant cell and animal models. In our studies bitopertin reduced PPIX levels in a dose-responsive manner in human cell lines that were genetically modified to recapitulate the EPP disease state and in mice that were genetically modified to recapitulate the EPP and XLP disease states.</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To create a cellular model of EPP, we genetically modified a human erythroleukemia cell line, K562, to introduce the mutations that cause EPP in human patients. Similar to the human disease state, the genetically modified cells exhibited a greater than 50-fold increase in PPIX levels. In the K562 model, bitopertin decreased the formation of 5-aminolevulinic acid, or 5-ALA, which is the first metabolite of the heme biosynthesis pathway, and prevented PPIX accumulation, as demonstrated by an EC50 of 3 nM to 10 nM, without significantly affecting heme levels, as shown below. EC50, or half maximal effective concentration, refers to the concentration of drug that induces a response halfway between baseline and the maximum potential response after a specified exposure time and nM refers to nanomolar, a measure of concentration.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Effects of Bitopertin on PPIX and Heme Levels in a Human Erythroid Cell Line Carrying EPP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189230</wp:posOffset>
            </wp:positionV>
            <wp:extent cx="4953000" cy="2295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4953000"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8" w:lineRule="exact"/>
        <w:rPr>
          <w:sz w:val="20"/>
          <w:szCs w:val="20"/>
          <w:color w:val="auto"/>
        </w:rPr>
      </w:pPr>
    </w:p>
    <w:p>
      <w:pPr>
        <w:ind w:right="40" w:firstLine="490"/>
        <w:spacing w:after="0"/>
        <w:rPr>
          <w:sz w:val="20"/>
          <w:szCs w:val="20"/>
          <w:color w:val="auto"/>
        </w:rPr>
      </w:pPr>
      <w:r>
        <w:rPr>
          <w:rFonts w:ascii="Times New Roman" w:cs="Times New Roman" w:eastAsia="Times New Roman" w:hAnsi="Times New Roman"/>
          <w:sz w:val="20"/>
          <w:szCs w:val="20"/>
          <w:color w:val="auto"/>
        </w:rPr>
        <w:t xml:space="preserve">To further assess the potential of bitopertin to reduce PPIX levels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we conducted studies in mice that were genetically modified with mutations similar to those that cause EPP and XLP in humans. Bitopertin was evaluated in female Fechm1Pas EPP and male Alas2Q548X/Y XLP mouse models. In both models, mice developed protoporphyria characterized by elevated red blood cell and liver PPIX levels. Fechm1Pas and Alas2Q548X mice were fed a diet containing 0 or 100 ppm of bitopertin for 8 weeks starting at 6 weeks of age, which is a dose level that is similar to a once-daily 30 mg dose of bitopertin in humans. As shown in the figures below, after 8 weeks of treatment, PPIX levels decreased in Fechm1Pas and Alas2Q548X animals receiving bitopertin with a mean reduction of 45% and 73%, respectively, compared to the control group. Changes in hemoglobin levels were limited, indicating bitopertin can potentially reduce PPIX accumulation without impacting erythropoiesis to a degree that is clinically relevant. In a separate study designed to evaluate liver pathology in a mouse model of EPP, bitopertin treatment was shown to significantly reduce liver fibrosis, demonstrating the potential for bitopertin to be disease modifying.</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440"/>
          </w:cols>
          <w:pgMar w:left="900" w:top="700" w:right="900" w:bottom="175"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b w:val="1"/>
          <w:bCs w:val="1"/>
          <w:color w:val="auto"/>
        </w:rPr>
        <w:t>Effects of Bitopertin on PPIX and Hemoglobin Levels in Mouse Models of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189230</wp:posOffset>
            </wp:positionV>
            <wp:extent cx="5505450" cy="2200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5505450" cy="220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Development Plan</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believe that the findings from our preclinical studies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 Accordingly, we have initiated a clinical program to study bitopertin in EPP and XLP. In July 2022, we initiated BEACON, a Phase 2 open-label, parallel-dose clinical trial of bitopertin in EPP and XLP patients that is being conducted at sites in Australia. Interim data is expected in the first half of 2023. Separately, in October 2022 we initiated AURORA, a Phase 2, randomized, double-blind, placebo-controlled clinical trial of bitopertin in EPP patients being conducted at sites in the United States. We filed an IND for this study with the FDA in April 2022 and were on clinical hold until the study design was finalized with the FDA. In July 2022, we received IND clearance from the FDA to initiate the study. Topline data from AURORA is expected by year-end 2023. We also plan to explore the potential of bitopertin to treat other hematologic diseases, and have entered into a collaborative research and development agreement with the NIH to initiate an NIH-sponsored clinical trial of bitopertin in DBA. The FDA authorized the clinical trial to proceed and we expect the trial to begin by mid-year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2 Clinical Development Program in Patients with EPP and XLP</w:t>
      </w:r>
    </w:p>
    <w:p>
      <w:pPr>
        <w:spacing w:after="0" w:line="11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As part of our clinical development program, we have initiated a clinical development program that consists of two separate Phase 2 clinical trials of bitopertin in patients with EPP and XLP.</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July 2022, we initiated BEACON, a Phase 2 clinical trial of bitopertin in EPP and XLP patients that is being conducted at sites in Australia. The study is a randomized, open-label, parallel-dose clinical trial designed to evaluate the safety, tolerability, and efficacy of bitopertin. It is designed to enroll approximately 20 adult patients with EPP or XLP at sites in Australia. The study will primarily assess changes in levels of PPIX as well as the PK profile, safety and tolerability of bitopertin in EPP or XLP patients. It will also include measures of photosensitivity, daylight tolerance, pain and exploratory biomarkers of hepatobiliary disease. Patients will receive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Upon completion of the 24-week treatment period, patients may continue on bitopertin for an additional 24 weeks. We expect to report interim data in the first half of 2023. The trial design is summarized in the figure below.</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440"/>
          </w:cols>
          <w:pgMar w:left="900" w:top="696" w:right="900" w:bottom="175"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BEACON Trial Design: Open-Label, Phase 2 Clinical Trial of Bitopertin in Patients with EPP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 XLP (N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175260</wp:posOffset>
            </wp:positionV>
            <wp:extent cx="5353050" cy="146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5353050"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Separately, in October 2022 we initiated AURORA, a Phase 2, randomized, double-blind, placebo-controlled, parallel dosing trial in approximately 75 adult patients with EPP. We expect to enroll patients into a placebo group, a 20 mg/day dose group and a 60 mg/day dose group,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will include assessments of blood PPIX levels and patient photosensitivity. Additional study measures will include time to prodromal symptom, hepatobiliary markers, quality of life, safety and tolerability, among others. The FDA has previously approved afamelanotide for the treatment of photosensitivity in EPP patients on the basis of a clinical endpoint measuring a change in pain-free time spent in sunlight in treated patients, relative to patients treated with placebo. In July 2022, we received IND clearance from the FDA for the AURORA clinical trial. Topline data is expected by year-end 2023. The trial design is summarized in the figure below.</w:t>
      </w:r>
    </w:p>
    <w:p>
      <w:pPr>
        <w:spacing w:after="0" w:line="19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b w:val="1"/>
          <w:bCs w:val="1"/>
          <w:color w:val="auto"/>
        </w:rPr>
        <w:t>AURORA Trial Design: Randomized, Double-Blind, Placebo-Controlled Phase 2 Clinical Trial of Bitopertin in Patients with EPP (N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133350</wp:posOffset>
            </wp:positionV>
            <wp:extent cx="5676900" cy="1562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676900" cy="156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Additional Safety Data from Selected Clinical Trials Conducted by Roche</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Based on the comprehensive data package from Roche’s healthy volunteer trials, we anticipate that bitopertin will have an acceptable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demonstrated a comprehensive tolerability profile.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(total n=2,438) of 5 mg, 10 mg, and 20 mg doses of bitopertin for up to 52 weeks, followed by extension phases. In these trials, bitopertin treatment was not associated with any significant tolerability issues. Most of the adverse events were considered mild or moderate in severity in all trials.</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440"/>
          </w:cols>
          <w:pgMar w:left="900" w:top="696" w:right="90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t>Additional Preclinical Safety Data from Studies Conducted by Roche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There is also comprehensive nonclinical safety data for bitopertin supporting further development in the EPP and other hematologic diseases. The main targets for bitopertin toxicity in repeat-dose toxicity studies were identified as the CNS and the intended PD effect of altered erythropoiesis. No primary histopathological findings attributable to bitopertin were noted in any organ. The CNS-related effects following repeated treatment with bitopertin were generally mild and reversible upon cessation of treatment. The incidence, severity, and onset of the CNS-related effects were dose-dependent, and histopathology evaluation did not show any morphological lesions. The repeat-dose toxicity studies were performed in rats for up to 26 weeks and in non-human primates, or NHPs, for up to 52 weeks. Two-year carcinogenicity studies showed that bitopertin was not carcinogenic in mice or rats. In juvenile toxicity studies conducted in rats, treatment was generally well-tolerated and no effects specific to the juvenile rat were identified on development or behavior at any dose level tested.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Bitopertin in Additional Indications: Diamond-Blackfan Anemia and Macrocytic Anemias</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believe that bitopertin may be therapeutically beneficial for the treatment of DBA and other anemias that are characterized as macrocytic anemias.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Other anemias characterized by ribosomal defects exhibit a similar phenotype and are collectively referred to as macrocytic anemias. An example is the form of MDS characterized by a deletion in the 5q chromosomal locus, or Del(5q) MDS. Heme biosynthesis inhibitors have shown benefits on red blood cell formation in patient-derived cells from patients with Del(5q) MDS, and therefore we expect bitopertin may be therapeutically beneficial in these related conditions. We are continuing to explore the potential of bitopertin in these additional indications in preclinical studies. We have entered into a collaborative research and development agreement with the NIH to conduct an NIH-sponsored clinical trial of bitopertin in DBA. The FDA authorized the clinical trial to proceed and the trial is planned to begin by mid-year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Iron Homeostasis Portfolio</w:t>
      </w:r>
    </w:p>
    <w:p>
      <w:pPr>
        <w:spacing w:after="0" w:line="12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Hepcidin: The Master Regulator of Iron Homeostasis</w:t>
      </w:r>
    </w:p>
    <w:p>
      <w:pPr>
        <w:spacing w:after="0" w:line="12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ectPr>
          <w:pgSz w:w="12240" w:h="15840" w:orient="portrait"/>
          <w:cols w:equalWidth="0" w:num="1">
            <w:col w:w="10440"/>
          </w:cols>
          <w:pgMar w:left="900" w:top="702"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440"/>
          </w:cols>
          <w:pgMar w:left="900" w:top="702" w:right="900" w:bottom="175"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b w:val="1"/>
          <w:bCs w:val="1"/>
          <w:color w:val="auto"/>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189230</wp:posOffset>
            </wp:positionV>
            <wp:extent cx="5648325" cy="2171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564832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Hepcidin is a Therapeutic Target for Diseases of Iron Metabolism</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hereditary hemochromatosis, or HH, beta-thalassemia, and MDS, iron levels are pathologically high due to inadequate hepcidin production, and agents that increase hepcidin could be beneficial.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189230</wp:posOffset>
            </wp:positionV>
            <wp:extent cx="5648325" cy="1752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5648325" cy="175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60" w:firstLine="490"/>
        <w:spacing w:after="0" w:line="270" w:lineRule="auto"/>
        <w:rPr>
          <w:sz w:val="20"/>
          <w:szCs w:val="20"/>
          <w:color w:val="auto"/>
        </w:rPr>
      </w:pPr>
      <w:r>
        <w:rPr>
          <w:rFonts w:ascii="Times New Roman" w:cs="Times New Roman" w:eastAsia="Times New Roman" w:hAnsi="Times New Roman"/>
          <w:sz w:val="19"/>
          <w:szCs w:val="19"/>
          <w:color w:val="auto"/>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Hepcidin Suppression</w:t>
      </w:r>
    </w:p>
    <w:p>
      <w:pPr>
        <w:spacing w:after="0" w:line="118"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We are developing a portfolio of product candidates designed to lower hepcidin and restore serum iron levels to address anemia of inflammatory diseases. Our lead product candidate, DISC-0974, is a monoclonal antibody, which we in-licensed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 We have observed the effects of DISC-0974 on hepcidin and serum iron levels in preclinical studies, and have completed a single ascending dose Phase 1 clinical trial to evaluate these effects in healthy volunteers.</w:t>
      </w:r>
    </w:p>
    <w:p>
      <w:pPr>
        <w:sectPr>
          <w:pgSz w:w="12240" w:h="15840" w:orient="portrait"/>
          <w:cols w:equalWidth="0" w:num="1">
            <w:col w:w="10440"/>
          </w:cols>
          <w:pgMar w:left="900" w:top="696" w:right="900" w:bottom="175"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440"/>
          </w:cols>
          <w:pgMar w:left="900" w:top="696" w:right="900" w:bottom="17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i w:val="1"/>
          <w:iCs w:val="1"/>
          <w:color w:val="auto"/>
        </w:rPr>
        <w:t>Hepcidin Induction</w:t>
      </w:r>
    </w:p>
    <w:p>
      <w:pPr>
        <w:spacing w:after="0" w:line="11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MWTX-003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 We in-licensed MWTX-003 from Mabwell and an IND for MWTX-003 has been accepted by the FDA. We plan to initiate a Phase 1 clinical trial of MWTX-003 in healthy volunteers in the second half of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Lead Hepcidin Suppression Program: DISC-0974 For the Treatment of Anemia of Inflammatory Diseases</w:t>
      </w:r>
    </w:p>
    <w:p>
      <w:pPr>
        <w:spacing w:after="0" w:line="124"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 In July 2021, we initiated a single ascending dose Phase 1 clinical trial of DISC-0974 in healthy volunteers. We have completed our Phase 1 clinical trial. Data from the Phase 1 clinical trial showed an acceptable tolerability profile and evidence of target engagement and iron mobilization and augmented erythropoiesis. We initiated a Phase 1b/2 clinical trial in patients with anemia of MF in June 2022 and initiated a separate Phase 1b/2 placebo controlled, single/multiple ascending dose clinical trial in patients with non-dialysis dependent CKD and anemia in February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Anemia Associated with Inflammatory Diseases</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Anemia of inflammation is a hallmark of a wide range of autoimmune and chronic diseases, including MF, CKD, rheumatoid arthritis, inflammatory bowel disease, cancer, obesity, chronic obstructive pulmonary disease, and cardiovascular disease. Anemia occurs frequently in these diseases and for example, affects approximately 87% of myelofibrosis, 17-50% of chronic kidney disease, 25-35% of inflammatory bowel disease,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Anemia of Myelofibrosis</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MF is a rare, chronic blood cancer that currently affects an estimated 16,000 to 18,500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pacing w:after="0" w:line="82"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Currently, patients with MF are treated with JAK inhibitors approved to treat intermediate or high risk MF, including ruxolitinib and fedratinib, which reduce splenomegaly and other symptoms, but typically worsen anemia to the point that patients frequently discontinue treatment.</w:t>
      </w:r>
    </w:p>
    <w:p>
      <w:pPr>
        <w:sectPr>
          <w:pgSz w:w="12240" w:h="15840" w:orient="portrait"/>
          <w:cols w:equalWidth="0" w:num="1">
            <w:col w:w="10440"/>
          </w:cols>
          <w:pgMar w:left="900" w:top="702"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440"/>
          </w:cols>
          <w:pgMar w:left="900" w:top="702" w:right="900" w:bottom="175" w:gutter="0" w:footer="0" w:header="0"/>
          <w:type w:val="continuous"/>
        </w:sectPr>
      </w:pPr>
    </w:p>
    <w:bookmarkStart w:id="22" w:name="page23"/>
    <w:bookmarkEnd w:id="22"/>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189230</wp:posOffset>
            </wp:positionV>
            <wp:extent cx="3886200" cy="2619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388620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195580</wp:posOffset>
            </wp:positionV>
            <wp:extent cx="2819400" cy="2105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2819400" cy="210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Anemia of Chronic Kidney Disease</w:t>
      </w:r>
    </w:p>
    <w:p>
      <w:pPr>
        <w:spacing w:after="0" w:line="9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CKD is a highly prevalent disease characterized by the progressive loss of kidney function that eventually leads to kidney failure or end-stage renal disease necessitating dialysis or a kidney transplant for survival. It is caused by a constellation of underlying chronic conditions, such as diabetes, hypertension, and heart disease, that damage the kidneys over time and create a chronically inflamed state. CKD is widespread and is estimated to affect nearly 700 million patients worldwide. While it is most common in developed countries, CKD cases are growing rapidly in populous, emerging markets, such as China and India. In the U.S. alone, there are an estimated 39 million patients with CKD, the vast majority of which have not initiated dialysis.</w:t>
      </w:r>
    </w:p>
    <w:p>
      <w:pPr>
        <w:spacing w:after="0" w:line="8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Anemia is a hallmark of CKD and both worsens and becomes increasingly common as kidney function deteriorates. It is associated with increased risk of hospitalization, cardiovascular complications, and death, and frequently causes significant fatigue, cognitive dysfunction, and declining quality of life. The prevalence of anemia in CKD varies depending on the stage of disease and ranges from approximately 17% to 50% in patients with earlier-stage CKD who do not require dialysis to nearly all patients with end-stage renal disease who are dialysis-dependent.</w:t>
      </w:r>
    </w:p>
    <w:p>
      <w:pPr>
        <w:spacing w:after="0" w:line="77"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While the underlying cause of anemia of CKD is multifactorial, among the primary molecular drivers are declining production by kidney cells of erythropoietin, or EPO, a growth factor that normally stimulates red blood cell production, and elevated hepcidin levels, which suppress the iron supply needed to support erythropoiesis. Hepcidin levels are correlated with CKD disease stage and severity of anemia and can be nearly 20-fold higher in patients with CKD than in healthy individuals, as shown in the graph below. Hepcidin elevation results from dysregulated overproduction induced by chronic inflammation and accumulation as the body is unable to excrete hepcidin from the kidney. This combination results in a cycle where patients become progressively more anemic and incapable of erythropoiesis as their disease progresses.</w:t>
      </w:r>
    </w:p>
    <w:p>
      <w:pPr>
        <w:sectPr>
          <w:pgSz w:w="12240" w:h="15840" w:orient="portrait"/>
          <w:cols w:equalWidth="0" w:num="1">
            <w:col w:w="10280"/>
          </w:cols>
          <w:pgMar w:left="900" w:top="696" w:right="106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80"/>
          </w:cols>
          <w:pgMar w:left="900" w:top="696" w:right="1060" w:bottom="175"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auto"/>
        </w:rPr>
        <w:t>Hepcidin Levels Are Elevated in Patients with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195580</wp:posOffset>
            </wp:positionV>
            <wp:extent cx="3590925" cy="256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3590925"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Historically, the treatment of anemia of CKD has relied on red blood cell transfusions, but risks associated with iron overload, infection, and the development of antibodies precluding the ability to receive organ transplants have reduced the use of transfusions over time. Beginning in the 1990s, the standard of care shifted to injectable recombinant ESAs, such as EPOGEN (epoetin alfa) and Aranesp (darbepoetin alfa), which are administered to provide supraphysiological levels of erythropoietin to stimulate production of red blood cells. While hemoglobin levels were raised, several large clinical studies conducted by others revealed significant safety risks with the ESAs, including thrombosis, stroke, myocardial infarction, and death, which led to regulatory actions, including a black box warning and other label restrictions. In addition, changes in reimbursement and clinical practice guidelines have all significantly curtailed the use of ESAs for the treatment of anemia of CKD. As a result, a high proportion of patients with anemia of CKD today are either untreated or sub-optimally treated, despite being severely anemic. For example, according to the U.S. Renal Data System, the mean hemoglobin levels of patients who are about to initiate dialysis treatment is 9.3 g/dL, which is significantly below the normal range.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 DISC-0974, an Anti-HJV Monoclonal Antibody</w:t>
      </w:r>
    </w:p>
    <w:p>
      <w:pPr>
        <w:spacing w:after="0" w:line="12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DISC-0974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we intend to develop DISC-0974 as a once-monthly, subcutaneous injection.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Hemojuvelin Has a Critical and Specific Role for Hepcidin Regulation and Homeostasis</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440"/>
          </w:cols>
          <w:pgMar w:left="900" w:top="696" w:right="900" w:bottom="175" w:gutter="0" w:footer="0" w:header="0"/>
          <w:type w:val="continuous"/>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195580</wp:posOffset>
            </wp:positionV>
            <wp:extent cx="2333625" cy="2371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2333625"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195580</wp:posOffset>
            </wp:positionV>
            <wp:extent cx="3343275" cy="2543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3343275" cy="254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p>
    <w:p>
      <w:pPr>
        <w:sectPr>
          <w:pgSz w:w="12240" w:h="15840" w:orient="portrait"/>
          <w:cols w:equalWidth="0" w:num="1">
            <w:col w:w="10380"/>
          </w:cols>
          <w:pgMar w:left="900" w:top="696" w:right="9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380"/>
          </w:cols>
          <w:pgMar w:left="900" w:top="696" w:right="960" w:bottom="17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Data</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In multiple preclinical studies conducted by us and AbbVie, DISC-0974 was observed to be a selective inhibitor of HJV and administration of DISC-0974 resulted in significantly decreased hepcidin production and increased serum iron levels, providing preclinical proof-of-mechanism.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DISC-0974 Decreased Hepcidin Expression and Increased Iron in Preclinical Studies</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In multiple preclinical studies, we have established the pharmacology of DISC-0974. These studies demonstrated that inhibition of HJV resulted in suppression of hepcidin and increased serum iron levels and other measures of iron. The figure below is representative of the PK / PD effects of DISC-0974. In this experiment, a single, 5 mg/kg dose of DISC-0974 (serum concentration represented in blue) resulted in a rapid decrease of hepcidin levels (in gray) and an increase in serum iron levels (in red). As serum levels of DISC-0974 decreased over time, these effects were reversed and hepcidin levels increased and serum levels decreased.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 Single Dose of DISC-0974 in an NHP Reduced Hepcidin Levels and Increased Serum Iron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189230</wp:posOffset>
            </wp:positionV>
            <wp:extent cx="3314700" cy="2085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3314700" cy="208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These effects were observed to be robust, dose-dependent, and consistent across several studies in both normal animals and models of inflammation. The three panels below show data from a multiple dose study conducted in NHPs. Animals were given vehicle (0 mg/kg; purple dashes) or 0.6 mg/kg (blue lines), 3 mg/kg (red lines) or 60 mg/kg (black lines) of DISC-0974 in three subcutaneous injections, administered once every 14 days. DISC-0974 treatment resulted in dose-dependent decreases in hepcidin (middle panel) and dose-dependent increases in transferrin saturation (TSAT percentage) (right panel). Notably, transferrin saturation levels reached a maximum theoretical level (100%) at dose levels of 3 mg/kg and greater, demonstrating that DISC-0974 is an agent for controlling iron homeostasis.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Repeat Doses of DISC-0974 in NHPs Reduced Hepcidin Levels and Increased Serum Iron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189230</wp:posOffset>
            </wp:positionV>
            <wp:extent cx="5562600" cy="2028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556260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420" w:firstLine="490"/>
        <w:spacing w:after="0" w:line="305" w:lineRule="auto"/>
        <w:rPr>
          <w:sz w:val="20"/>
          <w:szCs w:val="20"/>
          <w:color w:val="auto"/>
        </w:rPr>
      </w:pPr>
      <w:r>
        <w:rPr>
          <w:rFonts w:ascii="Times New Roman" w:cs="Times New Roman" w:eastAsia="Times New Roman" w:hAnsi="Times New Roman"/>
          <w:sz w:val="19"/>
          <w:szCs w:val="19"/>
          <w:color w:val="auto"/>
        </w:rPr>
        <w:t>We have also evaluated the pharmacology of DISC-0974 in various animal models of anemia and inflammation, where hepcidin levels are significantly elevated. These studies included models utilizing different stimuli of inflammation, such as</w:t>
      </w:r>
    </w:p>
    <w:p>
      <w:pPr>
        <w:sectPr>
          <w:pgSz w:w="12240" w:h="15840" w:orient="portrait"/>
          <w:cols w:equalWidth="0" w:num="1">
            <w:col w:w="10440"/>
          </w:cols>
          <w:pgMar w:left="900" w:top="700" w:right="900" w:bottom="175"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440"/>
          </w:cols>
          <w:pgMar w:left="900" w:top="700" w:right="900" w:bottom="175" w:gutter="0" w:footer="0" w:header="0"/>
          <w:type w:val="continuous"/>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20"/>
          <w:szCs w:val="20"/>
          <w:color w:val="auto"/>
        </w:rPr>
        <w:t>cytokines, peptidoglycan-polysaccharides, or heat-killed bacteria, as well as a genetic model of hepcidin elevation. Across these different settings, we observed that inhibition of HJV with DISC-0974 provided suppression of hepcidin and normalization of iron levels.</w:t>
      </w:r>
    </w:p>
    <w:p>
      <w:pPr>
        <w:spacing w:after="0" w:line="6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 xml:space="preserve">In a mouse model of inflammation, animals were injected with either saline (S) or the heat-killed bacteria </w:t>
      </w:r>
      <w:r>
        <w:rPr>
          <w:rFonts w:ascii="Times New Roman" w:cs="Times New Roman" w:eastAsia="Times New Roman" w:hAnsi="Times New Roman"/>
          <w:sz w:val="20"/>
          <w:szCs w:val="20"/>
          <w:i w:val="1"/>
          <w:iCs w:val="1"/>
          <w:color w:val="auto"/>
        </w:rPr>
        <w:t>Brucella abortus</w:t>
      </w:r>
      <w:r>
        <w:rPr>
          <w:rFonts w:ascii="Times New Roman" w:cs="Times New Roman" w:eastAsia="Times New Roman" w:hAnsi="Times New Roman"/>
          <w:sz w:val="20"/>
          <w:szCs w:val="20"/>
          <w:color w:val="auto"/>
        </w:rPr>
        <w:t xml:space="preserve"> (HKBA) to provoke an inflammatory response and induce hepcidin expression. Animals were treated with either an active control antibody (hIgG) or an anti-HJV antibody (an earlier version of DISC-0974 called 5F9-AM8). As shown below, a rapid induction of hepcidin expression was observed in response to the inflammatory stimulus in animals receiving HKBA, as measured by liver Hamp mRNA levels. Administration of 5F9-AM8 inhibited the inflammatory induction of hepcidin, and these animals expressed hepcidin at near normal levels.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Anti-HJV Antibody Suppressed Hepcidin in a Mouse Model of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189230</wp:posOffset>
            </wp:positionV>
            <wp:extent cx="3181350" cy="3105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3181350" cy="310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To assess the effect of HJV inhibition in a primate setting, we established a model of inflammation-induced iron restriction by administering interleukin-6, or IL-6, to NHPs. IL-6 is a key driver of anemia across multiple inflammatory diseases, including CKD, MF, inflammatory bowed disease, and rheumatoid arthritis, among others. We observed that administration of IL-6 on day 1 and day 10 resulted in rapid induction of hepcidin and a corresponding suppression of iron, as shown below in gray. However, when the animals were treated with a single dose of DISC-0974 on day 4 in between the IL-6 administrations, this effect was reversed, as shown in blue and red below. We studied both low (0.6 mg/kg) and high (6 mg/kg) doses of DISC-0974 and observed that the effects on hepcidin suppression and increasing serum iron levels were dose-dependent.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DISC-0974 Reduced Hepcidin and Increased Serum Iron Levels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189230</wp:posOffset>
            </wp:positionV>
            <wp:extent cx="5638800" cy="2019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5638800" cy="2019300"/>
                    </a:xfrm>
                    <a:prstGeom prst="rect">
                      <a:avLst/>
                    </a:prstGeom>
                    <a:noFill/>
                  </pic:spPr>
                </pic:pic>
              </a:graphicData>
            </a:graphic>
          </wp:anchor>
        </w:drawing>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440"/>
          </w:cols>
          <w:pgMar w:left="900" w:top="700" w:right="900" w:bottom="175"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 </w:t>
      </w:r>
    </w:p>
    <w:p>
      <w:pPr>
        <w:spacing w:after="0" w:line="28" w:lineRule="exact"/>
        <w:rPr>
          <w:sz w:val="20"/>
          <w:szCs w:val="20"/>
          <w:color w:val="auto"/>
        </w:rPr>
      </w:pPr>
    </w:p>
    <w:p>
      <w:pPr>
        <w:ind w:right="280" w:firstLine="490"/>
        <w:spacing w:after="0" w:line="242" w:lineRule="auto"/>
        <w:rPr>
          <w:sz w:val="20"/>
          <w:szCs w:val="20"/>
          <w:color w:val="auto"/>
        </w:rPr>
      </w:pPr>
      <w:r>
        <w:rPr>
          <w:rFonts w:ascii="Times New Roman" w:cs="Times New Roman" w:eastAsia="Times New Roman" w:hAnsi="Times New Roman"/>
          <w:sz w:val="20"/>
          <w:szCs w:val="20"/>
          <w:color w:val="auto"/>
        </w:rPr>
        <w:t>We also assessed the potential for DISC-0974 to treat anemia in an established rodent model of CKD. In this study, rats were fed either a 0.75% adenine diet, which induced kidney damage and mimicked human CKD or a control diet, and received treatment with either DISC-0974 or vehicle. We observed that treatment with DISC-0974 significantly suppressed hepcidin, increased serum iron, and increased hemoglobin levels by +1.7 g/dL compared to vehicle.</w:t>
      </w:r>
    </w:p>
    <w:p>
      <w:pPr>
        <w:spacing w:after="0" w:line="20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b w:val="1"/>
          <w:bCs w:val="1"/>
          <w:color w:val="auto"/>
        </w:rPr>
        <w:t>DISC-0974 Reduced Hepcidin, Increased Serum Iron and Increased Hemoglobin Levels in a Rodent Model of CKD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133350</wp:posOffset>
            </wp:positionV>
            <wp:extent cx="5600700" cy="2000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extLst>
                    </a:blip>
                    <a:srcRect/>
                    <a:stretch>
                      <a:fillRect/>
                    </a:stretch>
                  </pic:blipFill>
                  <pic:spPr bwMode="auto">
                    <a:xfrm>
                      <a:off x="0" y="0"/>
                      <a:ext cx="5600700" cy="200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 Clinical Trial</w:t>
      </w:r>
    </w:p>
    <w:p>
      <w:pPr>
        <w:spacing w:after="0" w:line="120" w:lineRule="exact"/>
        <w:rPr>
          <w:sz w:val="20"/>
          <w:szCs w:val="20"/>
          <w:color w:val="auto"/>
        </w:rPr>
      </w:pPr>
    </w:p>
    <w:p>
      <w:pPr>
        <w:ind w:firstLine="490"/>
        <w:spacing w:after="0" w:line="265" w:lineRule="auto"/>
        <w:rPr>
          <w:sz w:val="20"/>
          <w:szCs w:val="20"/>
          <w:color w:val="auto"/>
        </w:rPr>
      </w:pPr>
      <w:r>
        <w:rPr>
          <w:rFonts w:ascii="Times New Roman" w:cs="Times New Roman" w:eastAsia="Times New Roman" w:hAnsi="Times New Roman"/>
          <w:sz w:val="19"/>
          <w:szCs w:val="19"/>
          <w:color w:val="auto"/>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 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189230</wp:posOffset>
            </wp:positionV>
            <wp:extent cx="5648325" cy="2143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extLst>
                    </a:blip>
                    <a:srcRect/>
                    <a:stretch>
                      <a:fillRect/>
                    </a:stretch>
                  </pic:blipFill>
                  <pic:spPr bwMode="auto">
                    <a:xfrm>
                      <a:off x="0" y="0"/>
                      <a:ext cx="56483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160" w:firstLine="490"/>
        <w:spacing w:after="0" w:line="305" w:lineRule="auto"/>
        <w:rPr>
          <w:sz w:val="20"/>
          <w:szCs w:val="20"/>
          <w:color w:val="auto"/>
        </w:rPr>
      </w:pPr>
      <w:r>
        <w:rPr>
          <w:rFonts w:ascii="Times New Roman" w:cs="Times New Roman" w:eastAsia="Times New Roman" w:hAnsi="Times New Roman"/>
          <w:sz w:val="19"/>
          <w:szCs w:val="19"/>
          <w:color w:val="auto"/>
        </w:rPr>
        <w:t>We have completed this Phase 1 clinical trial. Data from the Phase 1 clinical trial showed an acceptable tolerability profile and evidence of target engagement and iron mobilization and augmented erythropoiesis. Additional data are discussed below.</w:t>
      </w:r>
    </w:p>
    <w:p>
      <w:pPr>
        <w:spacing w:after="0" w:line="25"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440"/>
          </w:cols>
          <w:pgMar w:left="900" w:top="700" w:right="900" w:bottom="175"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DISC-0974 Phase 1 SAD Study in Healthy Volunteers: Effects on Hepcidin and Transferrin Saturation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195580</wp:posOffset>
            </wp:positionV>
            <wp:extent cx="5562600" cy="2095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extLst>
                    </a:blip>
                    <a:srcRect/>
                    <a:stretch>
                      <a:fillRect/>
                    </a:stretch>
                  </pic:blipFill>
                  <pic:spPr bwMode="auto">
                    <a:xfrm>
                      <a:off x="0" y="0"/>
                      <a:ext cx="556260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right="140" w:firstLine="490"/>
        <w:spacing w:after="0" w:line="305" w:lineRule="auto"/>
        <w:rPr>
          <w:sz w:val="20"/>
          <w:szCs w:val="20"/>
          <w:color w:val="auto"/>
        </w:rPr>
      </w:pPr>
      <w:r>
        <w:rPr>
          <w:rFonts w:ascii="Times New Roman" w:cs="Times New Roman" w:eastAsia="Times New Roman" w:hAnsi="Times New Roman"/>
          <w:sz w:val="19"/>
          <w:szCs w:val="19"/>
          <w:color w:val="auto"/>
        </w:rPr>
        <w:t>Notably, at the 56 mg SC dose level, a single administration of DISC-0974 resulted in a statistically significant improvement in hemoglobin compared to placebo (+1.1 g/dL, p=0.009) at Day 42 and a marked increase in red blood cell count.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DISC-0974 Phase 1 SAD Study in Healthy Volunteers: Single 56 mg SC Dose Increases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195580</wp:posOffset>
            </wp:positionV>
            <wp:extent cx="5257800" cy="1962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5257800"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European Hematology Association meeting in June 2022 and the 2022 American Society of Hematology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Planned Phase 1b / 2 Clinical Development Program in Anemia of Inflammation</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Based on these findings, we plan to initiate multiple Phase 1b/2 clinical trials of DISC-0974 in patients with anemia of different inflammatory diseases. This includes a Phase 1b/2 clinical trial of DISC-0974 in patients with anemia of MF, which was initiated in June 2022, and a separate Phase 1b/2 clinical trial of DISC-0974 in patients with non-dialysis dependent CKD, and anemia which was initiated in February 2023. We expect to report interim data from both of these studies in 2023.</w:t>
      </w:r>
    </w:p>
    <w:p>
      <w:pPr>
        <w:sectPr>
          <w:pgSz w:w="12240" w:h="15840" w:orient="portrait"/>
          <w:cols w:equalWidth="0" w:num="1">
            <w:col w:w="10420"/>
          </w:cols>
          <w:pgMar w:left="900" w:top="69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420"/>
          </w:cols>
          <w:pgMar w:left="900" w:top="696" w:right="920" w:bottom="175"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i w:val="1"/>
          <w:iCs w:val="1"/>
          <w:color w:val="auto"/>
        </w:rPr>
        <w:t>Phase 1b/2 Clinical Trial in Myelofibrosis Patients</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Janus Kinase (JAK) inhibitors. The study will be conducted in two parts:</w:t>
      </w:r>
    </w:p>
    <w:p>
      <w:pPr>
        <w:spacing w:after="0" w:line="91" w:lineRule="exact"/>
        <w:rPr>
          <w:sz w:val="20"/>
          <w:szCs w:val="20"/>
          <w:color w:val="auto"/>
        </w:rPr>
      </w:pPr>
    </w:p>
    <w:p>
      <w:pPr>
        <w:ind w:left="720" w:right="40" w:hanging="367"/>
        <w:spacing w:after="0" w:line="258"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Phase 1b (Dose-Escalation): Ascending, monthly doses of DISC-0974 administered for six months to patients with anemia of MF, (Hb levels &lt; 10 g/dL,), where a dose level will be selected based on optimal increases in hemoglobin and serum iron;</w:t>
      </w:r>
    </w:p>
    <w:p>
      <w:pPr>
        <w:spacing w:after="0" w:line="81" w:lineRule="exact"/>
        <w:rPr>
          <w:rFonts w:ascii="Arial" w:cs="Arial" w:eastAsia="Arial" w:hAnsi="Arial"/>
          <w:sz w:val="20"/>
          <w:szCs w:val="20"/>
          <w:color w:val="auto"/>
        </w:rPr>
      </w:pPr>
    </w:p>
    <w:p>
      <w:pPr>
        <w:ind w:left="720" w:hanging="367"/>
        <w:spacing w:after="0" w:line="252"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Phase 2 (Expansion Stage): Multiple, doses of DISC-0974 administered once-a-month at the dose level selected from the Phase 1b portion of the study to patients with anemia of MF who are transfusion dependent (TD) according to International Working Group-Myeloproliferative Neoplasms Research and Treatment, or IWG-MRT, criteria, defined as receiving &gt;6 units of RBC in a 12-week period.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Phase 1b/2 Open-Label, Clinical Trial of DISC-0974 in Myelofibrosis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189230</wp:posOffset>
            </wp:positionV>
            <wp:extent cx="5334000" cy="2124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extLst>
                    </a:blip>
                    <a:srcRect/>
                    <a:stretch>
                      <a:fillRect/>
                    </a:stretch>
                  </pic:blipFill>
                  <pic:spPr bwMode="auto">
                    <a:xfrm>
                      <a:off x="0" y="0"/>
                      <a:ext cx="5334000"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1b/2 Clinical Trial in Patients with Non-Dialysis Dependent Chronic Kidney Disease (NDD-CKD)</w:t>
      </w:r>
    </w:p>
    <w:p>
      <w:pPr>
        <w:spacing w:after="0" w:line="118" w:lineRule="exact"/>
        <w:rPr>
          <w:sz w:val="20"/>
          <w:szCs w:val="20"/>
          <w:color w:val="auto"/>
        </w:rPr>
      </w:pPr>
    </w:p>
    <w:p>
      <w:pPr>
        <w:ind w:right="260" w:firstLine="490"/>
        <w:spacing w:after="0" w:line="247" w:lineRule="auto"/>
        <w:rPr>
          <w:sz w:val="20"/>
          <w:szCs w:val="20"/>
          <w:color w:val="auto"/>
        </w:rPr>
      </w:pPr>
      <w:r>
        <w:rPr>
          <w:rFonts w:ascii="Times New Roman" w:cs="Times New Roman" w:eastAsia="Times New Roman" w:hAnsi="Times New Roman"/>
          <w:sz w:val="20"/>
          <w:szCs w:val="20"/>
          <w:color w:val="auto"/>
        </w:rPr>
        <w:t>In February 2023, we initiated a Phase 1b/2 clinical trial to evaluate the safety, tolerability and efficacy of DISC-0974 in patients with CKD who are not receiving dialysis and are anemic. The study consists of two parts, including: a Phase 1b, randomized, placebo-controlled, single-ascending dose stage, where a dose level will be selected based on optimal increases in serum iron; followed by a Phase 2, open-label, expansion stage where patients will receive multiple doses of DISC-0974 at the selected dose level. The study endpoints include hepcidin levels, serum iron and markers of iron mobilization and measures of anemia benefit such as hemoglobin.</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Phase 1b/2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6638290" cy="2028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663829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Second Hepcidin Suppression Program: DISC-0998</w:t>
      </w:r>
    </w:p>
    <w:p>
      <w:pPr>
        <w:sectPr>
          <w:pgSz w:w="12240" w:h="15840" w:orient="portrait"/>
          <w:cols w:equalWidth="0" w:num="1">
            <w:col w:w="10400"/>
          </w:cols>
          <w:pgMar w:left="900" w:top="702" w:right="940" w:bottom="175" w:gutter="0" w:footer="0" w:header="0"/>
        </w:sect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400"/>
          </w:cols>
          <w:pgMar w:left="900" w:top="702" w:right="940" w:bottom="175" w:gutter="0" w:footer="0" w:header="0"/>
          <w:type w:val="continuous"/>
        </w:sectPr>
      </w:pPr>
    </w:p>
    <w:bookmarkStart w:id="30" w:name="page31"/>
    <w:bookmarkEnd w:id="30"/>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We are also developing a preclinical product candidate targeting hepcidin suppression,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p>
    <w:p>
      <w:pPr>
        <w:spacing w:after="0" w:line="7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A dose response PK/PD study of DISC-0998 in NHPs demonstrated that it had a lower clearance (~30 - 40%), higher volume of distribution (~30 - 70%), and longer half-life (~2 times), which translated to a longer duration of PD effects compared to DISC-0974. As shown below, a single dose of DISC-0998 resulted in sustained elevation of serum iron levels. If these data are confirmed in humans, it would suggest the potential for an infrequent dosing regimen (such as potentially once every 2 or 3 months). We expect that such a dosing regimen would be perceived as convenient by patients and promote compliance.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DISC-0998 Dose Response PK / PD Study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195580</wp:posOffset>
            </wp:positionV>
            <wp:extent cx="5476875" cy="3000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547687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Hepcidin Induction Program</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are also focused on developing product candidates designed to increase hepcidin levels and decrease serum iron levels to address a range of diseases where restricting iron would be beneficial, such as erythrocytosis of PV and diseases of iron overload, including HH, beta-thalassemia, and MDS. Our lead hepcidin induction program, MWTX-003, is a Phase 1 ready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 An IND for MWTX-003 has been accepted by the FDA, and we plan to initiate a Phase 1 clinical trial in healthy volunteers in the second half of 2023.</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440"/>
          </w:cols>
          <w:pgMar w:left="900" w:top="700" w:right="900" w:bottom="175"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TMPRSS6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189230</wp:posOffset>
            </wp:positionV>
            <wp:extent cx="2695575" cy="2752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extLst>
                    </a:blip>
                    <a:srcRect/>
                    <a:stretch>
                      <a:fillRect/>
                    </a:stretch>
                  </pic:blipFill>
                  <pic:spPr bwMode="auto">
                    <a:xfrm>
                      <a:off x="0" y="0"/>
                      <a:ext cx="269557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Polycythemia Vera</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Current management of PV centers around depleting the number of red blood cells to maintain a patient’s hematocrit (a measure of red blood cell mass) below 45%, the target threshold recommended by the National Comprehensive Cancer Network to reduce 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Hereditary Hemochromatosis</w:t>
      </w:r>
    </w:p>
    <w:p>
      <w:pPr>
        <w:spacing w:after="0" w:line="120" w:lineRule="exact"/>
        <w:rPr>
          <w:sz w:val="20"/>
          <w:szCs w:val="20"/>
          <w:color w:val="auto"/>
        </w:rPr>
      </w:pPr>
    </w:p>
    <w:p>
      <w:pPr>
        <w:ind w:right="60" w:firstLine="483"/>
        <w:spacing w:after="0" w:line="247" w:lineRule="auto"/>
        <w:tabs>
          <w:tab w:leader="none" w:pos="82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inherited iron overload disorder caused by genetic mutations that lead to a deficiency in hepcidin production. This results in lifelong, abnormal iron homeostasis, specifically excessive absorption of iron from a patient’s diet and dysregulated distribution of iron stores in the body. Over time, this leads to the accumulation of iron at toxic levels in multiple organs, including the liver, heart, joints, skin, and others, which, if left untreated, can lead to severe organ damage and potentially organ failure. HH is one of the most common genetic disorders among Whites, affecting millions worldwide, including over 1 million individuals in the United States alone.</w:t>
      </w:r>
    </w:p>
    <w:p>
      <w:pPr>
        <w:spacing w:after="0" w:line="8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There are currently no approved pharmacologic therapies for the treatment of HH and the standard of care is regular and lifelong therapeutic phlebotomy to deplete iron. However, similar to PV, phlebotomy can be a significant burden to patients due to discomfort, frequency of treatments required, and patient inconvenience. Additionally, despite not being approved for HH, iron chelators may be used off-label in certain cases but are often associated with toxicities, particularly with chronic use.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Iron Overload Disorders: Beta-Thalassemia and Myelodysplastic Syndromes</w:t>
      </w:r>
    </w:p>
    <w:p>
      <w:pPr>
        <w:spacing w:after="0" w:line="120" w:lineRule="exact"/>
        <w:rPr>
          <w:sz w:val="20"/>
          <w:szCs w:val="20"/>
          <w:color w:val="auto"/>
        </w:rPr>
      </w:pPr>
    </w:p>
    <w:p>
      <w:pPr>
        <w:ind w:right="240" w:firstLine="490"/>
        <w:spacing w:after="0" w:line="278" w:lineRule="auto"/>
        <w:rPr>
          <w:sz w:val="20"/>
          <w:szCs w:val="20"/>
          <w:color w:val="auto"/>
        </w:rPr>
      </w:pPr>
      <w:r>
        <w:rPr>
          <w:rFonts w:ascii="Times New Roman" w:cs="Times New Roman" w:eastAsia="Times New Roman" w:hAnsi="Times New Roman"/>
          <w:sz w:val="19"/>
          <w:szCs w:val="19"/>
          <w:color w:val="auto"/>
        </w:rPr>
        <w:t>Iron overload is a serious and potentially fatal complication of blood disorders associated with ineffective erythropoiesis, such as beta-thalassemia or MDS. Patients with these conditions become severely anemic due to mutations that affect the production of functional red blood cells. This results in persistent and pathologic suppression of hepcidin, leading to unchecked</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440"/>
          </w:cols>
          <w:pgMar w:left="900" w:top="696" w:right="900" w:bottom="175" w:gutter="0" w:footer="0" w:header="0"/>
          <w:type w:val="continuous"/>
        </w:sectPr>
      </w:pPr>
    </w:p>
    <w:bookmarkStart w:id="32" w:name="page33"/>
    <w:bookmarkEnd w:id="32"/>
    <w:p>
      <w:pPr>
        <w:ind w:right="60"/>
        <w:spacing w:after="0" w:line="277" w:lineRule="auto"/>
        <w:rPr>
          <w:sz w:val="20"/>
          <w:szCs w:val="20"/>
          <w:color w:val="auto"/>
        </w:rPr>
      </w:pPr>
      <w:r>
        <w:rPr>
          <w:rFonts w:ascii="Times New Roman" w:cs="Times New Roman" w:eastAsia="Times New Roman" w:hAnsi="Times New Roman"/>
          <w:sz w:val="20"/>
          <w:szCs w:val="20"/>
          <w:color w:val="auto"/>
        </w:rPr>
        <w:t>increases in iron and, ultimately, accumulation of toxic iron levels in organs such as the heart, liver, and kidneys, as well as in the bone marrow, which exacerbates anemia.</w:t>
      </w:r>
    </w:p>
    <w:p>
      <w:pPr>
        <w:spacing w:after="0" w:line="4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auto"/>
        </w:rPr>
        <w:t>Both beta-thalassemia and MDS arise from mutations that cause ineffective erythropoiesis. In the case of beta-thalassemia, the genetic defects are inherited and result in impaired synthesis of beta-globin chains, a critical subunit of hemoglobin. This deficiency results in the premature death of developing erythrocytes in the marrow or peripheral circulation, resulting in severe anemia. Globally, beta-thalassemia has an incidence of approximately 1 in 100,000 individuals, but can range significantly depending on the region. In Europe, where it is more common, beta-thalassemia has an incidence of 1 in 10,000 individuals, while it is rare in the United States, and exact numbers are not known. In contrast, MDS is a form of cancer where mutations prevent precursor cells in the marrow from maturing into functional erythrocytes, which results in severe anemia and other cytopenias. MDS tends to affect older patients and has an overall estimated annual incidence of 20-50 cases per 100,000 individuals over 60 years old. There are an estimated 60,000 to 170,000 patients with MDS in the United States and a similar number in Europe.</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Currently, chronic red blood cell transfusions are a mainstay of treatment for anemia caused by beta-thalassemia and MDS. However, the benefit is transient and transfusions are burdensome and carry the risk of further iron overload. While iron chelation therapy may be used in conjunction, it requires careful dose titration and is often associated with toxicities. Recently, luspatercept (marketed as Reblozyl), a red blood cell maturation agent, was approved by the FDA and EMA to treat certain forms of beta-thalassemia and MDS, with a response rate of 21.4% and 37.9% for a primary endpoint of transfusion independence in the respective pivotal trials. Based on these response rates, many patients do not respond and would benefit from an alternative treatment. Lentiglobin, marketed as Zynteglo, is a gene therapy that was approved by the FDA and EMA for the treatment of a subset of patients with beta-thalassemia requiring RBC transfusions, but uptake has been limited. Patients with more advanced forms of MDS may receive additional therapies such as lenalidomide, demethylating agents such as 5-azacitidine and decitabine, and chemotherapy.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 MWTX-003, an anti-TMPRSS6 monoclonal antibody</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January 2023, we in-licensed MWTX-003 and other related molecules from Mabwell. MWTX-003 is a monoclonal antibody designed to inhibit TMPRSS6, a serine protease that degrades HJV, a receptor required for hepcidin expression. TMPRSS6 plays a critical and specific function in iron metabolism by limiting the production of hepcidin. By inhibiting TMPRSS6, MWTX-003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a Phase 2 clinical trial conducted by a third-party, a peptide hepcidin mimetic administered weekly by subcutaneous injection lowered iron availability and reduced hematocrit in patients with PV, resulting in a substantial reduction in requirements for phlebotomy and improvements in disease symptoms. We are initially focused on developing our anti-TMPRSS6 programs as a potential treatment for PV with plans to expand development to encompass diseases of iron overload and other conditions where restriction of iron would have therapeutic benefit.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Data</w:t>
      </w:r>
    </w:p>
    <w:p>
      <w:pPr>
        <w:spacing w:after="0" w:line="118"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Preclinical studies of MWTX-003 have demonstrated that TMPRSS6 inhibition with a monoclonal antibody can induce hepcidin expression and consequently restrict iron availability. Specifically, preclinical studies have demonstrated:</w:t>
      </w:r>
    </w:p>
    <w:p>
      <w:pPr>
        <w:spacing w:after="0" w:line="63" w:lineRule="exact"/>
        <w:rPr>
          <w:sz w:val="20"/>
          <w:szCs w:val="20"/>
          <w:color w:val="auto"/>
        </w:rPr>
      </w:pPr>
    </w:p>
    <w:p>
      <w:pPr>
        <w:ind w:left="720" w:hanging="367"/>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Dose-dependent induction of endogenous hepcidin production in rodent and NHP studies;</w:t>
      </w:r>
    </w:p>
    <w:p>
      <w:pPr>
        <w:spacing w:after="0" w:line="133" w:lineRule="exact"/>
        <w:rPr>
          <w:rFonts w:ascii="Arial" w:cs="Arial" w:eastAsia="Arial" w:hAnsi="Arial"/>
          <w:sz w:val="20"/>
          <w:szCs w:val="20"/>
          <w:color w:val="auto"/>
        </w:rPr>
      </w:pPr>
    </w:p>
    <w:p>
      <w:pPr>
        <w:ind w:left="720" w:right="440" w:hanging="367"/>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hepcidin, reductions in serum and liver iron, and increases in red blood cells in a murine model of beta-thalassemia; and</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Reductions in iron and hematocrit in a murine model of PV.</w:t>
      </w:r>
    </w:p>
    <w:p>
      <w:pPr>
        <w:spacing w:after="0" w:line="199" w:lineRule="exact"/>
        <w:rPr>
          <w:sz w:val="20"/>
          <w:szCs w:val="20"/>
          <w:color w:val="auto"/>
        </w:rPr>
      </w:pPr>
    </w:p>
    <w:p>
      <w:pPr>
        <w:jc w:val="both"/>
        <w:ind w:right="400" w:firstLine="490"/>
        <w:spacing w:after="0" w:line="252" w:lineRule="auto"/>
        <w:rPr>
          <w:sz w:val="20"/>
          <w:szCs w:val="20"/>
          <w:color w:val="auto"/>
        </w:rPr>
      </w:pPr>
      <w:r>
        <w:rPr>
          <w:rFonts w:ascii="Times New Roman" w:cs="Times New Roman" w:eastAsia="Times New Roman" w:hAnsi="Times New Roman"/>
          <w:sz w:val="20"/>
          <w:szCs w:val="20"/>
          <w:color w:val="auto"/>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420"/>
          </w:cols>
          <w:pgMar w:left="900" w:top="700" w:right="920" w:bottom="175" w:gutter="0" w:footer="0" w:header="0"/>
          <w:type w:val="continuous"/>
        </w:sectPr>
      </w:pPr>
    </w:p>
    <w:bookmarkStart w:id="33" w:name="page34"/>
    <w:bookmarkEnd w:id="33"/>
    <w:p>
      <w:pPr>
        <w:jc w:val="center"/>
        <w:ind w:left="920" w:right="320"/>
        <w:spacing w:after="0" w:line="286" w:lineRule="auto"/>
        <w:rPr>
          <w:sz w:val="20"/>
          <w:szCs w:val="20"/>
          <w:color w:val="auto"/>
        </w:rPr>
      </w:pPr>
      <w:r>
        <w:rPr>
          <w:rFonts w:ascii="Times New Roman" w:cs="Times New Roman" w:eastAsia="Times New Roman" w:hAnsi="Times New Roman"/>
          <w:sz w:val="20"/>
          <w:szCs w:val="20"/>
          <w:b w:val="1"/>
          <w:bCs w:val="1"/>
          <w:color w:val="auto"/>
        </w:rPr>
        <w:t>Treatment with MWTX-003 resulted in deep and sustained suppression of serum iron levels in normal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34925</wp:posOffset>
            </wp:positionV>
            <wp:extent cx="3811270" cy="2348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extLst>
                    </a:blip>
                    <a:srcRect/>
                    <a:stretch>
                      <a:fillRect/>
                    </a:stretch>
                  </pic:blipFill>
                  <pic:spPr bwMode="auto">
                    <a:xfrm>
                      <a:off x="0" y="0"/>
                      <a:ext cx="3811270" cy="234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Treatment with MWTX-003 Induced Hepcidin and Decreased Serum Iron Levels in a Mouse Model of Beta Thalassemia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80010</wp:posOffset>
            </wp:positionV>
            <wp:extent cx="6102350" cy="1743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extLst>
                    </a:blip>
                    <a:srcRect/>
                    <a:stretch>
                      <a:fillRect/>
                    </a:stretch>
                  </pic:blipFill>
                  <pic:spPr bwMode="auto">
                    <a:xfrm>
                      <a:off x="0" y="0"/>
                      <a:ext cx="6102350" cy="174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Next Steps</w:t>
      </w:r>
    </w:p>
    <w:p>
      <w:pPr>
        <w:spacing w:after="0" w:line="118"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We believe our preclinical studies have demonstrated that MWTX-003 has the potential to increase hepcidin levels sufficiently to reduce iron availability in a variety of animal models. MWTX-003 is Phase 1-ready and received clearance of an IND from the FDA in November 2022. We plan to initiate a Phase 1 clinical trial of MWTX-003 in healthy volunteers in the second half of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4" w:lineRule="exact"/>
        <w:rPr>
          <w:sz w:val="20"/>
          <w:szCs w:val="20"/>
          <w:color w:val="auto"/>
        </w:rPr>
      </w:pPr>
    </w:p>
    <w:p>
      <w:pPr>
        <w:ind w:right="20" w:firstLine="490"/>
        <w:spacing w:after="0" w:line="263" w:lineRule="auto"/>
        <w:rPr>
          <w:sz w:val="20"/>
          <w:szCs w:val="20"/>
          <w:color w:val="auto"/>
        </w:rPr>
      </w:pPr>
      <w:r>
        <w:rPr>
          <w:rFonts w:ascii="Times New Roman" w:cs="Times New Roman" w:eastAsia="Times New Roman" w:hAnsi="Times New Roman"/>
          <w:sz w:val="19"/>
          <w:szCs w:val="19"/>
          <w:color w:val="auto"/>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MWTX-003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p>
    <w:p>
      <w:pPr>
        <w:spacing w:after="0" w:line="63"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auto"/>
        </w:rPr>
        <w:t>Manufacturing biologics is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w:t>
      </w:r>
    </w:p>
    <w:p>
      <w:pPr>
        <w:sectPr>
          <w:pgSz w:w="12240" w:h="15840" w:orient="portrait"/>
          <w:cols w:equalWidth="0" w:num="1">
            <w:col w:w="10420"/>
          </w:cols>
          <w:pgMar w:left="900" w:top="696" w:right="920" w:bottom="175"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420"/>
          </w:cols>
          <w:pgMar w:left="900" w:top="696" w:right="920" w:bottom="175" w:gutter="0" w:footer="0" w:header="0"/>
          <w:type w:val="continuous"/>
        </w:sectPr>
      </w:pPr>
    </w:p>
    <w:bookmarkStart w:id="34" w:name="page35"/>
    <w:bookmarkEnd w:id="34"/>
    <w:p>
      <w:pPr>
        <w:ind w:right="100"/>
        <w:spacing w:after="0" w:line="252" w:lineRule="auto"/>
        <w:rPr>
          <w:sz w:val="20"/>
          <w:szCs w:val="20"/>
          <w:color w:val="auto"/>
        </w:rPr>
      </w:pPr>
      <w:r>
        <w:rPr>
          <w:rFonts w:ascii="Times New Roman" w:cs="Times New Roman" w:eastAsia="Times New Roman" w:hAnsi="Times New Roman"/>
          <w:sz w:val="20"/>
          <w:szCs w:val="20"/>
          <w:color w:val="auto"/>
        </w:rPr>
        <w:t>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p>
    <w:p>
      <w:pPr>
        <w:spacing w:after="0" w:line="7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planned Phase 2 trials for bitopertin and DISC-0974.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8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A commercial-scale production process has been designed for bitopertin, including a four-step chemical synthesis and an optimized oral formulation. The API has been shown to be highly stable for at least 5 years, and we have access to substantial drug substance supplies of bitopertin manufactured and stored by Roche under cGMP conditions. To support our Phase 2 clinical trials, we have requalified, including establishing a shelf-life that would enable its use in clinical trials, Roche-manufactured drug substance and formulating it as film-coated tablets. To support pivotal clinical trials and commercial launch, if approved, we are establishing the manufacturing process at a CDMO.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8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face competition more specifically from companies that discover, develop, and market therapies for the treatment of hematologic diseases, including a group of diseases called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Akebia Therapeutics, Inc., Amgen, Inc., Astellas Pharma, Inc., Bristol-Myers Squibb Company, FibroGen, Inc., GlaxoSmithKline, plc, Incyte Corporation, Ionis Pharmaceuticals, Inc., Keros Therapeutics, Inc., Merck &amp; Co., Inc., Otsuka Pharmaceutical Co., Ltd. and Vifor Pharma AG, among others.</w:t>
      </w:r>
    </w:p>
    <w:p>
      <w:pPr>
        <w:spacing w:after="0" w:line="8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and dersimelagon, an oral therapy in Phase 3 development by Mitsubishi Tanabe Pharma Corporation.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Bitopertin is a selective inhibitor of GlyT1 that we are developing to treat porphyrias and hematologic diseases. GlyT1 inhibition has been pursued in the past as an approach to treat schizophrenia. We are aware that Boehringer Ingelheim is conducting a Phase 3 clinical study of BI 425809, a GlyT1 inhibitor, for the improvement of cognition in patients with schizophrenia.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 such a program would be a potential competitor to bitopertin.</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440"/>
          </w:cols>
          <w:pgMar w:left="900" w:top="700" w:right="900" w:bottom="175" w:gutter="0" w:footer="0" w:header="0"/>
          <w:type w:val="continuous"/>
        </w:sectPr>
      </w:pPr>
    </w:p>
    <w:bookmarkStart w:id="35" w:name="page36"/>
    <w:bookmarkEnd w:id="35"/>
    <w:p>
      <w:pPr>
        <w:ind w:firstLine="490"/>
        <w:spacing w:after="0" w:line="244" w:lineRule="auto"/>
        <w:rPr>
          <w:sz w:val="20"/>
          <w:szCs w:val="20"/>
          <w:color w:val="auto"/>
        </w:rPr>
      </w:pPr>
      <w:r>
        <w:rPr>
          <w:rFonts w:ascii="Times New Roman" w:cs="Times New Roman" w:eastAsia="Times New Roman" w:hAnsi="Times New Roman"/>
          <w:sz w:val="20"/>
          <w:szCs w:val="20"/>
          <w:color w:val="auto"/>
        </w:rPr>
        <w:t>We are also developing DISC-0974, our lead program in our hepcidin suppression portfolio, for the treatment of anemia caused by inflammatory diseases, including MF and CKD.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is in a Phase 3 trial by Bristol-Myers Squibb, and KER-050, which is in a Phase 2 trial by Keros, Inc. In addition, multiple ALK2 inhibitors, which work by a hepcidin-lowering mechanism similar to, but less specific than that of DISC-0974, are in Phase 1/2 development, including KER-047 by Keros, Inc. and INCB00928 by Incyte Corporation. Sierra Oncology, Inc. (recently acquired by GlaxoSmithKline) is developing a JAK2 kinase inhibitor, momelotinib, which has completed a Phase 3 trial and has a New Drug Application, or NDA, under review by the FDA.</w:t>
      </w:r>
    </w:p>
    <w:p>
      <w:pPr>
        <w:spacing w:after="0" w:line="8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For the treatment of non-dialysis dependent CKD and anemia, there are several therapies approved or in clinical development, including, but not limited to, ESAs, oral hypoxia inducible factor-prolyl hydroxylase inhibitors, or HIF-PHIs, which are approved in ex-U.S. territories but not in the U.S., and various forms of intravenous iron. We are not aware of any therapies in clinical development for the treatment of anemia of CKD that work by decreasing hepcidin levels. There are several therapies in development for the treatment of MF and CKD that do not directly target anemia, but their approvals may potentially change the treatment landscape and affect our ability to compete.</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are developing MWTX-003, an anti-TMPRSS6 monoclonal antibody designed to induce hepcidin production and restrict serum iron levels. There are several therapies in development that are also designed to increase hepcidin production or mimic hepcidin activity, such as hepcidin mimetics, TMPRSS6 inhibitors, and ferroportin inhibitors. These are in various stages of development by companies, including Regeneron, Silence Therapeutics plc, Ionis Pharmaceuticals, Inc., Rallybio, Protagonist Therapeutics, Inc., and CSL Vifor, among others. We may also face competition from therapies that are currently marketed or in development that affect pathways unrelated to hepcidin, including growth and differentiation factor-based therapies, cytoreductive therapies, and chemotherapeutic agents, among others.</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Collaborations and License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2019 Exclusive License Agreement with AbbVie Deutschland GmbH &amp; Co. KG</w:t>
      </w:r>
    </w:p>
    <w:p>
      <w:pPr>
        <w:spacing w:after="0" w:line="12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 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p>
    <w:p>
      <w:pPr>
        <w:spacing w:after="0" w:line="8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Under the terms of the AbbVie Agreement, we made an initial license payment to AbbVie of $0.6 million. Additionally, we are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$87.5 million in aggregate. The first potential milestone is a $3.0 million payment payable upon the initiation of the first Phase 2 clinical trial with a licensed product. We are also obligated to pay a royalty on net sales of licensed products at a low-single digit rate. The royalty rates are subject to up to a high first decile percentage reduction for lack of a valid claim on a country-by-country basis. See “Business-Intellectual Property-Iron Homeostasis Portfolio” for additional information concerning the intellectual property related to the AbbVie Agreement.</w:t>
      </w:r>
    </w:p>
    <w:p>
      <w:pPr>
        <w:spacing w:after="0" w:line="86"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p>
    <w:p>
      <w:pPr>
        <w:sectPr>
          <w:pgSz w:w="12240" w:h="15840" w:orient="portrait"/>
          <w:cols w:equalWidth="0" w:num="1">
            <w:col w:w="10420"/>
          </w:cols>
          <w:pgMar w:left="900" w:top="700" w:right="920" w:bottom="175"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420"/>
          </w:cols>
          <w:pgMar w:left="900" w:top="700" w:right="920" w:bottom="175" w:gutter="0" w:footer="0" w:header="0"/>
          <w:type w:val="continuous"/>
        </w:sectPr>
      </w:pPr>
    </w:p>
    <w:bookmarkStart w:id="36" w:name="page37"/>
    <w:bookmarkEnd w:id="36"/>
    <w:p>
      <w:pPr>
        <w:ind w:firstLine="490"/>
        <w:spacing w:after="0" w:line="249" w:lineRule="auto"/>
        <w:rPr>
          <w:sz w:val="20"/>
          <w:szCs w:val="20"/>
          <w:color w:val="auto"/>
        </w:rPr>
      </w:pPr>
      <w:r>
        <w:rPr>
          <w:rFonts w:ascii="Times New Roman" w:cs="Times New Roman" w:eastAsia="Times New Roman" w:hAnsi="Times New Roman"/>
          <w:sz w:val="20"/>
          <w:szCs w:val="20"/>
          <w:color w:val="auto"/>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spacing w:after="0" w:line="77" w:lineRule="exact"/>
        <w:rPr>
          <w:sz w:val="20"/>
          <w:szCs w:val="20"/>
          <w:color w:val="auto"/>
        </w:rPr>
      </w:pPr>
    </w:p>
    <w:p>
      <w:pPr>
        <w:ind w:right="340" w:firstLine="490"/>
        <w:spacing w:after="0" w:line="263" w:lineRule="auto"/>
        <w:rPr>
          <w:sz w:val="20"/>
          <w:szCs w:val="20"/>
          <w:color w:val="auto"/>
        </w:rPr>
      </w:pPr>
      <w:r>
        <w:rPr>
          <w:rFonts w:ascii="Times New Roman" w:cs="Times New Roman" w:eastAsia="Times New Roman" w:hAnsi="Times New Roman"/>
          <w:sz w:val="19"/>
          <w:szCs w:val="19"/>
          <w:color w:val="auto"/>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Exclusive License Agreement with F. Hoffmann-La Roche Ltd and Hoffmann-La Roche Inc.</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May 2021, we entered into a license agreement, or the Roche Agreement, with F. Hoffmann-La Roche Ltd. and Hoffmann-La Roche Inc., or together, Roche, pursuant to which Roche granted us an exclusive and sublicensable (subject to Roche’s consent, not 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p>
    <w:p>
      <w:pPr>
        <w:spacing w:after="0" w:line="82" w:lineRule="exact"/>
        <w:rPr>
          <w:sz w:val="20"/>
          <w:szCs w:val="20"/>
          <w:color w:val="auto"/>
        </w:rPr>
      </w:pPr>
    </w:p>
    <w:p>
      <w:pPr>
        <w:ind w:right="140" w:firstLine="490"/>
        <w:spacing w:after="0" w:line="305" w:lineRule="auto"/>
        <w:rPr>
          <w:sz w:val="20"/>
          <w:szCs w:val="20"/>
          <w:color w:val="auto"/>
        </w:rPr>
      </w:pPr>
      <w:r>
        <w:rPr>
          <w:rFonts w:ascii="Times New Roman" w:cs="Times New Roman" w:eastAsia="Times New Roman" w:hAnsi="Times New Roman"/>
          <w:sz w:val="19"/>
          <w:szCs w:val="19"/>
          <w:color w:val="auto"/>
        </w:rPr>
        <w:t>We are required to use commercially reasonable efforts to develop, seek regulatory approval and, on a country-by-country basis where such regulatory approval has been obtained, commercialize at least one licensed product in each such country.</w:t>
      </w:r>
    </w:p>
    <w:p>
      <w:pPr>
        <w:spacing w:after="0" w:line="25"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Under the Roche Agreement, we paid Roche an initial license payment of $4.5 million and we will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The first potential milestone is a $10.0 million payment upon the initiation of the first Phase 3 clinical trial with a licensed product in a first indication. We will also pay Roche up to an aggregate of $120.0 million based on achievement of certain thresholds for annual net sales of licensed products. We are also obligated to pay a royalty on net sales of licensed 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8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p>
    <w:p>
      <w:pPr>
        <w:spacing w:after="0" w:line="77"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2023 Exclusive License Agreement with Mabwell Therapeutics, Inc.</w:t>
      </w:r>
    </w:p>
    <w:p>
      <w:pPr>
        <w:sectPr>
          <w:pgSz w:w="12240" w:h="15840" w:orient="portrait"/>
          <w:cols w:equalWidth="0" w:num="1">
            <w:col w:w="10400"/>
          </w:cols>
          <w:pgMar w:left="900" w:top="700" w:right="940" w:bottom="175" w:gutter="0" w:footer="0" w:header="0"/>
        </w:sect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400"/>
          </w:cols>
          <w:pgMar w:left="900" w:top="700" w:right="940" w:bottom="175" w:gutter="0" w:footer="0" w:header="0"/>
          <w:type w:val="continuous"/>
        </w:sectPr>
      </w:pPr>
    </w:p>
    <w:bookmarkStart w:id="37" w:name="page38"/>
    <w:bookmarkEnd w:id="37"/>
    <w:p>
      <w:pPr>
        <w:ind w:firstLine="490"/>
        <w:spacing w:after="0" w:line="245" w:lineRule="auto"/>
        <w:rPr>
          <w:sz w:val="20"/>
          <w:szCs w:val="20"/>
          <w:color w:val="auto"/>
        </w:rPr>
      </w:pPr>
      <w:r>
        <w:rPr>
          <w:rFonts w:ascii="Times New Roman" w:cs="Times New Roman" w:eastAsia="Times New Roman" w:hAnsi="Times New Roman"/>
          <w:sz w:val="20"/>
          <w:szCs w:val="20"/>
          <w:color w:val="auto"/>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spacing w:after="0" w:line="8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Mabwell Agreement requires us to pay Mabwell an upfront payment of $10.0 million dollars, and certain development and regulatory milestone payments for the licensed antibody products, for up to three indications, up to a maximum aggregate amount of $127.5 million dollars, as well as certain commercial milestone payments for certain licensed antibody product net sales achievements, up to a maximum aggregate amount of $275 million dollars. We are further obligated to pay a tiered percentage of revenue that we receive from our sublicensees (excluding revenue that is attributable to net sales on which royalty payments are due), ranging from a low third decile percentage 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p>
    <w:p>
      <w:pPr>
        <w:spacing w:after="0" w:line="8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 containing the licensed antibodies. In such circumstances, we and Mabwell will negotiate a royalty to be paid by Mabwell on the net sales of such products in the licensed territory.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18"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57"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spacing w:after="0" w:line="6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We plan to continue to expand our intellectual property estate by filing patent applications directed to pharmaceutical compositions, methods of treatment, methods of manufacture or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80"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w:t>
      </w:r>
    </w:p>
    <w:p>
      <w:pPr>
        <w:sectPr>
          <w:pgSz w:w="12240" w:h="15840" w:orient="portrait"/>
          <w:cols w:equalWidth="0" w:num="1">
            <w:col w:w="10440"/>
          </w:cols>
          <w:pgMar w:left="900" w:top="700" w:right="900" w:bottom="175"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440"/>
          </w:cols>
          <w:pgMar w:left="900" w:top="700" w:right="900" w:bottom="175" w:gutter="0" w:footer="0" w:header="0"/>
          <w:type w:val="continuous"/>
        </w:sectPr>
      </w:pPr>
    </w:p>
    <w:bookmarkStart w:id="38" w:name="page39"/>
    <w:bookmarkEnd w:id="38"/>
    <w:p>
      <w:pPr>
        <w:spacing w:after="0" w:line="247" w:lineRule="auto"/>
        <w:rPr>
          <w:sz w:val="20"/>
          <w:szCs w:val="20"/>
          <w:color w:val="auto"/>
        </w:rPr>
      </w:pPr>
      <w:r>
        <w:rPr>
          <w:rFonts w:ascii="Times New Roman" w:cs="Times New Roman" w:eastAsia="Times New Roman" w:hAnsi="Times New Roman"/>
          <w:sz w:val="20"/>
          <w:szCs w:val="20"/>
          <w:color w:val="auto"/>
        </w:rPr>
        <w:t>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8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Portfolio</w:t>
      </w:r>
    </w:p>
    <w:p>
      <w:pPr>
        <w:spacing w:after="0" w:line="120" w:lineRule="exact"/>
        <w:rPr>
          <w:sz w:val="20"/>
          <w:szCs w:val="20"/>
          <w:color w:val="auto"/>
        </w:rPr>
      </w:pPr>
    </w:p>
    <w:p>
      <w:pPr>
        <w:jc w:val="both"/>
        <w:ind w:right="300" w:firstLine="490"/>
        <w:spacing w:after="0" w:line="249" w:lineRule="auto"/>
        <w:rPr>
          <w:sz w:val="20"/>
          <w:szCs w:val="20"/>
          <w:color w:val="auto"/>
        </w:rPr>
      </w:pPr>
      <w:r>
        <w:rPr>
          <w:rFonts w:ascii="Times New Roman" w:cs="Times New Roman" w:eastAsia="Times New Roman" w:hAnsi="Times New Roman"/>
          <w:sz w:val="20"/>
          <w:szCs w:val="20"/>
          <w:color w:val="auto"/>
        </w:rPr>
        <w:t>Our patent portfolio includes patents and patent applications in the United States and selected jurisdictions outside of the United States. As of March 14, 2023, our patent portfolio in total consisted of 11 issued U.S. patents and 200 issued patents in foreign jurisdictions (e.g., Australia, China, United Kingdom, Germany, Mexico, Japan, and others), six PCT applications, 57 pending non-provisional applications (U.S., EP and other jurisdictions), and five pending U.S. provisional applications, which include claims directed to compositions and methods of 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patent portfolio includes patents and applications with claims related to the following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Heme Biosynthesis Modulation Portfolio - Bitopertin</w:t>
      </w:r>
    </w:p>
    <w:p>
      <w:pPr>
        <w:spacing w:after="0" w:line="118"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9"/>
          <w:szCs w:val="19"/>
          <w:color w:val="auto"/>
        </w:rPr>
        <w:t>With regard to our bitopertin program, we own five pending PCT applications directed to various methods of treatment and use claims related to EPP, XLP, CEP, DBA, and PV. In addition, we own one pending U.S. provisional application directed to various methods of treatment and use claims related to hepatic porphyrias. Patents and pending applications directed to bitopertin and methods of making and using are expected to expire between 2041 and 2043,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Our third family is directed to methods of treating polycythemias, including PV with bitopertin and related compounds, and this family, upon grant, will have a twenty-year statutory expiration date of 2042. Our fourth family is directed to methods of treating anemia associated with a ribosomal disorder (e.g., DBA) with bitopertin and related compounds, and this family, upon grant, will have a twenty-year statutory expiration date of 2042. Our fifth family is directed to methods of treating hepatic porphyria with bitopertin and related compounds, and this family, upon grant, will have a twenty-year statutory expiration date of 2043. Our sixth family is directed to methods of treating EPP, XLP, and CEP with additional GlyT1 inhibitors, and this family, upon grant, will have a twenty-year statutory expiration date of 2042. We have also in-licensed multiple patent families from F. Hoffmann-La Roche Ltd and Hoffmann-La Roche Inc. comprising eight issued U.S. patents and additional granted patents in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Malta, Mexico, Monaco, Montenegro, Morocco, Netherlands, New Zealand, Norway, Philippines, Poland, Portugal, Republic of Korea, Republic of Serbia, Romania, Russian Federation, Singapore, Slovak Republic, Slovenia, South Africa, Spain, Sweden, Switzerland, Taiwan,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2024 and 2035, without accounting for any potential terminal disclaimers, available patent term adjustments or extensions. In particular, the first family is directed to composition of matter of bitopertin and processes of preparation, and this family has a twenty-year statutory expiration date of 2024. This family has issued patents in the U.S. and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Mexico, Monaco, Montenegro, Morocco, Netherlands, New Zealand, Norway, Philippines, Poland, Portugal, Republic of Korea, Republic of Serbia, Romania, Russian Federation, Singapore, Slovak Republic, Slovenia, South Africa, Spain, Sweden, Switzerland, Taiwan, Turkey, Ukraine, and Vietnam.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w:t>
      </w:r>
    </w:p>
    <w:p>
      <w:pPr>
        <w:sectPr>
          <w:pgSz w:w="12240" w:h="15840" w:orient="portrait"/>
          <w:cols w:equalWidth="0" w:num="1">
            <w:col w:w="10440"/>
          </w:cols>
          <w:pgMar w:left="900" w:top="700" w:right="900" w:bottom="175"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440"/>
          </w:cols>
          <w:pgMar w:left="900" w:top="700" w:right="900" w:bottom="175" w:gutter="0" w:footer="0" w:header="0"/>
          <w:type w:val="continuous"/>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9"/>
          <w:szCs w:val="19"/>
          <w:color w:val="auto"/>
        </w:rPr>
        <w:t>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Portugal, Republic of Korea, Republic of Serbia, Slovenia, South Africa, Spain, Switzerland, and Turkey. The sixth family is directed composition of matter of additional GlyT1 inhibitors, and this family has a twenty-year statutory 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p>
    <w:p>
      <w:pPr>
        <w:spacing w:after="0" w:line="83"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Several of the indications that we expect to pursue with bitopertin, including EPP, XLP and DBA, are rare diseases. We have received orphan drug designation from the FDA for bitopertin for the treatment of EPP and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Iron Homeostasis Portfolio – Hepcidin Suppression – DISC-0974 and DISC-0998</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With regard to our iron homeostasis portfolio, including our DISC-0974 and DISC-0998 programs, we own five patent families, including one PCT patent application that has entered the national phase in Australia, Canada, China, Europe, Israel, Japan, Korea, and United States, one PCT patent application that has entered the national phase in Europe, and United States, two pending PCT patent applications, and two pending U.S. provisional applications containing composition of matter, method of treatment and use claims related to our initial indication, anemia of myelofibrosis, and our expansion indications, e.g., chronic kidney disease anemia, anemia of inflammatory bowel disease and other anemias of chronic disease involving iron restriction from elevated hepcidin. Patents issuing from these PCT applications are expected to expire in 2040 and 2041, not including any patent term adjustments and any patent term extensions. Further,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p>
    <w:p>
      <w:pPr>
        <w:spacing w:after="0" w:line="88" w:lineRule="exact"/>
        <w:rPr>
          <w:sz w:val="20"/>
          <w:szCs w:val="20"/>
          <w:color w:val="auto"/>
        </w:rPr>
      </w:pPr>
    </w:p>
    <w:p>
      <w:pPr>
        <w:ind w:right="200" w:firstLine="490"/>
        <w:spacing w:after="0" w:line="261" w:lineRule="auto"/>
        <w:rPr>
          <w:sz w:val="20"/>
          <w:szCs w:val="20"/>
          <w:color w:val="auto"/>
        </w:rPr>
      </w:pPr>
      <w:r>
        <w:rPr>
          <w:rFonts w:ascii="Times New Roman" w:cs="Times New Roman" w:eastAsia="Times New Roman" w:hAnsi="Times New Roman"/>
          <w:sz w:val="19"/>
          <w:szCs w:val="19"/>
          <w:color w:val="auto"/>
        </w:rPr>
        <w:t>We also in-licenses a patent family from AbbVie comprised of two issued U.S. patents that are expected to expire in 2032 and 2035, and issued patents in Australia,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eight pending non-provisional applications in the United States, Australia, Brazil, Canada, China, Europe, Japan and Mexico. Any patents that issue on these pending non-provisional applications are likewise expected to expire in 2032, not including any patent term adjustments and any patent term extensions.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Iron Homeostasis Portfolio – Hepcidin Induction – MWTX-001, MWTX-002, and MWTX-003</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With regard to our TMPRSS6 inhibitor program, we in-license a patent family from Mabwell comprised of ten pending applications in Australia, Canada, China, Europe, India, Japan, Korea, Taiwan, and United States. These in-licensed patent applications include composition of matter claims to antibodies designed to inhibit TMPRSS6, including MWTX-001, MWTX-002, and MWTX-003, as well as method of treatment and use claims related to diseases of iron metabolism. Any patents that issue on these pending non-provisional applications are expected to expire in 2041, not including any patent term adjustments and any patent term extensions.</w:t>
      </w:r>
    </w:p>
    <w:p>
      <w:pPr>
        <w:spacing w:after="0" w:line="80" w:lineRule="exact"/>
        <w:rPr>
          <w:sz w:val="20"/>
          <w:szCs w:val="20"/>
          <w:color w:val="auto"/>
        </w:rPr>
      </w:pPr>
    </w:p>
    <w:p>
      <w:pPr>
        <w:jc w:val="both"/>
        <w:ind w:right="280" w:firstLine="490"/>
        <w:spacing w:after="0" w:line="249" w:lineRule="auto"/>
        <w:rPr>
          <w:sz w:val="20"/>
          <w:szCs w:val="20"/>
          <w:color w:val="auto"/>
        </w:rPr>
      </w:pPr>
      <w:r>
        <w:rPr>
          <w:rFonts w:ascii="Times New Roman" w:cs="Times New Roman" w:eastAsia="Times New Roman" w:hAnsi="Times New Roman"/>
          <w:sz w:val="20"/>
          <w:szCs w:val="20"/>
          <w:color w:val="auto"/>
        </w:rPr>
        <w:t>We also own seven pending non-provisional applications in U.S., Europe, Japan, Australia, Canada, China and India and one pending PCT international application directed to compounds that inhibit TMPRSS6 and methods of using the same. Any patents that issue in the non-provisional applications are expected to expire in 2039, not including any patent term adjustments and any patent term extensions. Any applications claiming priority to the PCT application that issue as a patent are expected to expire in 2041, not including any patent term adjustments and any patent term extensions.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440"/>
          </w:cols>
          <w:pgMar w:left="900" w:top="700" w:right="900" w:bottom="175" w:gutter="0" w:footer="0" w:header="0"/>
          <w:type w:val="continuous"/>
        </w:sectPr>
      </w:pPr>
    </w:p>
    <w:bookmarkStart w:id="40" w:name="page41"/>
    <w:bookmarkEnd w:id="40"/>
    <w:p>
      <w:pPr>
        <w:ind w:firstLine="490"/>
        <w:spacing w:after="0" w:line="242"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89"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8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12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pacing w:after="0" w:line="86"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DISC-0974, DISC-0998 and MWTX-003,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440"/>
          </w:cols>
          <w:pgMar w:left="900" w:top="700" w:right="900" w:bottom="175" w:gutter="0" w:footer="0" w:header="0"/>
          <w:type w:val="continuous"/>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0"/>
          <w:szCs w:val="20"/>
          <w:color w:val="auto"/>
        </w:rPr>
        <w:t>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Our product candidates must be approved for therapeutic indications by the FDA before they may be marketed in the United States. For drug product candidates regulated under the FD&amp;C Act, FDA must approve an NDA. For biologic product candidates regulated under the FD&amp;C Act and PHSA, FDA must approve a Biologics License Application, or BLA. The process is similar for both drugs and biologics and generally involves the following:</w:t>
      </w:r>
    </w:p>
    <w:p>
      <w:pPr>
        <w:spacing w:after="0" w:line="88" w:lineRule="exact"/>
        <w:rPr>
          <w:sz w:val="20"/>
          <w:szCs w:val="20"/>
          <w:color w:val="auto"/>
        </w:rPr>
      </w:pPr>
    </w:p>
    <w:p>
      <w:pPr>
        <w:ind w:left="980" w:right="140" w:hanging="498"/>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extensive preclinical studies in accordance with applicable regulations, including studies conducted in accordance with good laboratory practice, or GLP, requirements;</w:t>
      </w:r>
    </w:p>
    <w:p>
      <w:pPr>
        <w:spacing w:after="0" w:line="64" w:lineRule="exact"/>
        <w:rPr>
          <w:rFonts w:ascii="Arial" w:cs="Arial" w:eastAsia="Arial" w:hAnsi="Arial"/>
          <w:sz w:val="20"/>
          <w:szCs w:val="20"/>
          <w:color w:val="auto"/>
        </w:rPr>
      </w:pPr>
    </w:p>
    <w:p>
      <w:pPr>
        <w:ind w:left="980" w:right="140" w:hanging="498"/>
        <w:spacing w:after="0" w:line="25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81" w:lineRule="exact"/>
        <w:rPr>
          <w:rFonts w:ascii="Arial" w:cs="Arial" w:eastAsia="Arial" w:hAnsi="Arial"/>
          <w:sz w:val="20"/>
          <w:szCs w:val="20"/>
          <w:color w:val="auto"/>
        </w:rPr>
      </w:pPr>
    </w:p>
    <w:p>
      <w:pPr>
        <w:ind w:left="980" w:right="120" w:hanging="498"/>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clinical trials may begin and must be updated annually and when certain changes are made;</w:t>
      </w:r>
    </w:p>
    <w:p>
      <w:pPr>
        <w:spacing w:after="0" w:line="64" w:lineRule="exact"/>
        <w:rPr>
          <w:rFonts w:ascii="Arial" w:cs="Arial" w:eastAsia="Arial" w:hAnsi="Arial"/>
          <w:sz w:val="20"/>
          <w:szCs w:val="20"/>
          <w:color w:val="auto"/>
        </w:rPr>
      </w:pPr>
    </w:p>
    <w:p>
      <w:pPr>
        <w:ind w:left="980" w:right="300" w:hanging="498"/>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institutional review board, or IRB, or independent ethics committee at each clinical trial site before each trial may be initiated;</w:t>
      </w:r>
    </w:p>
    <w:p>
      <w:pPr>
        <w:spacing w:after="0" w:line="64" w:lineRule="exact"/>
        <w:rPr>
          <w:rFonts w:ascii="Arial" w:cs="Arial" w:eastAsia="Arial" w:hAnsi="Arial"/>
          <w:sz w:val="20"/>
          <w:szCs w:val="20"/>
          <w:color w:val="auto"/>
        </w:rPr>
      </w:pPr>
    </w:p>
    <w:p>
      <w:pPr>
        <w:ind w:left="980" w:right="180" w:hanging="498"/>
        <w:spacing w:after="0" w:line="25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1" w:lineRule="exact"/>
        <w:rPr>
          <w:rFonts w:ascii="Arial" w:cs="Arial" w:eastAsia="Arial" w:hAnsi="Arial"/>
          <w:sz w:val="20"/>
          <w:szCs w:val="20"/>
          <w:color w:val="auto"/>
        </w:rPr>
      </w:pPr>
    </w:p>
    <w:p>
      <w:pPr>
        <w:ind w:left="980" w:hanging="498"/>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preparation and submission to the FDA of an NDA or BLA;</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 determination by the FDA within 60 days of its receipt of an NDA or BLA to file the application for review;</w:t>
      </w:r>
    </w:p>
    <w:p>
      <w:pPr>
        <w:spacing w:after="0" w:line="133" w:lineRule="exact"/>
        <w:rPr>
          <w:rFonts w:ascii="Arial" w:cs="Arial" w:eastAsia="Arial" w:hAnsi="Arial"/>
          <w:sz w:val="20"/>
          <w:szCs w:val="20"/>
          <w:color w:val="auto"/>
        </w:rPr>
      </w:pPr>
    </w:p>
    <w:p>
      <w:pPr>
        <w:jc w:val="both"/>
        <w:ind w:left="980" w:right="160" w:hanging="498"/>
        <w:spacing w:after="0" w:line="278" w:lineRule="auto"/>
        <w:tabs>
          <w:tab w:leader="none" w:pos="9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64" w:lineRule="exact"/>
        <w:rPr>
          <w:rFonts w:ascii="Arial" w:cs="Arial" w:eastAsia="Arial" w:hAnsi="Arial"/>
          <w:sz w:val="19"/>
          <w:szCs w:val="19"/>
          <w:color w:val="auto"/>
        </w:rPr>
      </w:pPr>
    </w:p>
    <w:p>
      <w:pPr>
        <w:ind w:left="980" w:hanging="498"/>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FDA audit of the clinical trial sites that generated the data in support of the NDA or BLA;</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payment of user fees for FDA review of the NDA or BLA, unless a waiver is applicable; and</w:t>
      </w:r>
    </w:p>
    <w:p>
      <w:pPr>
        <w:spacing w:after="0" w:line="133" w:lineRule="exact"/>
        <w:rPr>
          <w:rFonts w:ascii="Arial" w:cs="Arial" w:eastAsia="Arial" w:hAnsi="Arial"/>
          <w:sz w:val="20"/>
          <w:szCs w:val="20"/>
          <w:color w:val="auto"/>
        </w:rPr>
      </w:pPr>
    </w:p>
    <w:p>
      <w:pPr>
        <w:ind w:left="980" w:right="200" w:hanging="498"/>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or BLA, including, where applicable, consideration of the views of any FDA advisory committee, prior to any commercial marketing or sale of the drug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Clinical Trials for Drugs and Biologics</w:t>
      </w:r>
    </w:p>
    <w:p>
      <w:pPr>
        <w:spacing w:after="0" w:line="120" w:lineRule="exact"/>
        <w:rPr>
          <w:sz w:val="20"/>
          <w:szCs w:val="20"/>
          <w:color w:val="auto"/>
        </w:rPr>
      </w:pPr>
    </w:p>
    <w:p>
      <w:pPr>
        <w:ind w:right="80" w:firstLine="490"/>
        <w:spacing w:after="0" w:line="265" w:lineRule="auto"/>
        <w:rPr>
          <w:sz w:val="20"/>
          <w:szCs w:val="20"/>
          <w:color w:val="auto"/>
        </w:rPr>
      </w:pPr>
      <w:r>
        <w:rPr>
          <w:rFonts w:ascii="Times New Roman" w:cs="Times New Roman" w:eastAsia="Times New Roman" w:hAnsi="Times New Roman"/>
          <w:sz w:val="19"/>
          <w:szCs w:val="19"/>
          <w:color w:val="auto"/>
        </w:rPr>
        <w:t xml:space="preserve">Before testing any drug or biologic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6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86"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w:t>
      </w:r>
    </w:p>
    <w:p>
      <w:pPr>
        <w:sectPr>
          <w:pgSz w:w="12240" w:h="15840" w:orient="portrait"/>
          <w:cols w:equalWidth="0" w:num="1">
            <w:col w:w="10440"/>
          </w:cols>
          <w:pgMar w:left="900" w:top="700" w:right="900" w:bottom="175"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440"/>
          </w:cols>
          <w:pgMar w:left="900" w:top="700" w:right="900" w:bottom="175" w:gutter="0" w:footer="0" w:header="0"/>
          <w:type w:val="continuous"/>
        </w:sectPr>
      </w:pPr>
    </w:p>
    <w:bookmarkStart w:id="42" w:name="page43"/>
    <w:bookmarkEnd w:id="42"/>
    <w:p>
      <w:pPr>
        <w:ind w:right="120"/>
        <w:spacing w:after="0" w:line="244" w:lineRule="auto"/>
        <w:rPr>
          <w:sz w:val="20"/>
          <w:szCs w:val="20"/>
          <w:color w:val="auto"/>
        </w:rPr>
      </w:pPr>
      <w:r>
        <w:rPr>
          <w:rFonts w:ascii="Times New Roman" w:cs="Times New Roman" w:eastAsia="Times New Roman" w:hAnsi="Times New Roman"/>
          <w:sz w:val="20"/>
          <w:szCs w:val="20"/>
          <w:color w:val="auto"/>
        </w:rPr>
        <w:t>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8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77"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Clinical trials to evaluate therapeutic indications to support NDAs and BLAs for marketing approval are typically conducted in three sequential phases, which may overlap.</w:t>
      </w:r>
    </w:p>
    <w:p>
      <w:pPr>
        <w:spacing w:after="0" w:line="63" w:lineRule="exact"/>
        <w:rPr>
          <w:sz w:val="20"/>
          <w:szCs w:val="20"/>
          <w:color w:val="auto"/>
        </w:rPr>
      </w:pPr>
    </w:p>
    <w:p>
      <w:pPr>
        <w:ind w:left="980" w:right="140" w:hanging="498"/>
        <w:spacing w:after="0" w:line="252"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Phase 1 </w:t>
      </w:r>
      <w:r>
        <w:rPr>
          <w:rFonts w:ascii="Times New Roman" w:cs="Times New Roman" w:eastAsia="Times New Roman" w:hAnsi="Times New Roman"/>
          <w:sz w:val="20"/>
          <w:szCs w:val="20"/>
          <w:color w:val="auto"/>
        </w:rPr>
        <w:t>- Phase 1 clinical trials involve initial introduction of the investigational product in a limited population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87" w:lineRule="exact"/>
        <w:rPr>
          <w:rFonts w:ascii="Arial" w:cs="Arial" w:eastAsia="Arial" w:hAnsi="Arial"/>
          <w:sz w:val="20"/>
          <w:szCs w:val="20"/>
          <w:color w:val="auto"/>
        </w:rPr>
      </w:pPr>
    </w:p>
    <w:p>
      <w:pPr>
        <w:jc w:val="both"/>
        <w:ind w:left="980" w:right="360" w:hanging="498"/>
        <w:spacing w:after="0" w:line="258"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Phase 2 </w:t>
      </w:r>
      <w:r>
        <w:rPr>
          <w:rFonts w:ascii="Times New Roman" w:cs="Times New Roman" w:eastAsia="Times New Roman" w:hAnsi="Times New Roman"/>
          <w:sz w:val="20"/>
          <w:szCs w:val="20"/>
          <w:color w:val="auto"/>
        </w:rPr>
        <w:t>- Phase 2 clinical trials typically involve administration of the investigational product to a limited patient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population with a specified disease or condition to evaluate the drug’s potential efficacy, to determine the optimal dosages and dosing schedule and to identify possible adverse side effects and safety risks.</w:t>
      </w:r>
    </w:p>
    <w:p>
      <w:pPr>
        <w:spacing w:after="0" w:line="81" w:lineRule="exact"/>
        <w:rPr>
          <w:rFonts w:ascii="Arial" w:cs="Arial" w:eastAsia="Arial" w:hAnsi="Arial"/>
          <w:sz w:val="20"/>
          <w:szCs w:val="20"/>
          <w:color w:val="auto"/>
        </w:rPr>
      </w:pPr>
    </w:p>
    <w:p>
      <w:pPr>
        <w:ind w:left="980" w:right="100" w:hanging="498"/>
        <w:spacing w:after="0" w:line="247"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Phase 3 </w:t>
      </w:r>
      <w:r>
        <w:rPr>
          <w:rFonts w:ascii="Times New Roman" w:cs="Times New Roman" w:eastAsia="Times New Roman" w:hAnsi="Times New Roman"/>
          <w:sz w:val="20"/>
          <w:szCs w:val="20"/>
          <w:color w:val="auto"/>
        </w:rPr>
        <w:t>- Phase 3 clinical trials typically involve administration of the investigational product to an expanded patient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or BLA.</w:t>
      </w:r>
    </w:p>
    <w:p>
      <w:pPr>
        <w:spacing w:after="0" w:line="7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8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w:t>
      </w:r>
    </w:p>
    <w:p>
      <w:pPr>
        <w:sectPr>
          <w:pgSz w:w="12240" w:h="15840" w:orient="portrait"/>
          <w:cols w:equalWidth="0" w:num="1">
            <w:col w:w="10440"/>
          </w:cols>
          <w:pgMar w:left="900" w:top="700" w:right="900" w:bottom="175"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440"/>
          </w:cols>
          <w:pgMar w:left="900" w:top="700" w:right="900" w:bottom="175" w:gutter="0" w:footer="0" w:header="0"/>
          <w:type w:val="continuous"/>
        </w:sectPr>
      </w:pPr>
    </w:p>
    <w:bookmarkStart w:id="43" w:name="page44"/>
    <w:bookmarkEnd w:id="43"/>
    <w:p>
      <w:pPr>
        <w:ind w:right="220"/>
        <w:spacing w:after="0" w:line="258" w:lineRule="auto"/>
        <w:rPr>
          <w:sz w:val="20"/>
          <w:szCs w:val="20"/>
          <w:color w:val="auto"/>
        </w:rPr>
      </w:pPr>
      <w:r>
        <w:rPr>
          <w:rFonts w:ascii="Times New Roman" w:cs="Times New Roman" w:eastAsia="Times New Roman" w:hAnsi="Times New Roman"/>
          <w:sz w:val="20"/>
          <w:szCs w:val="20"/>
          <w:color w:val="auto"/>
        </w:rPr>
        <w:t>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Marketing Approval for Drugs and Biologics</w:t>
      </w:r>
    </w:p>
    <w:p>
      <w:pPr>
        <w:spacing w:after="0" w:line="12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pacing w:after="0" w:line="9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7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7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w:t>
      </w:r>
    </w:p>
    <w:p>
      <w:pPr>
        <w:sectPr>
          <w:pgSz w:w="12240" w:h="15840" w:orient="portrait"/>
          <w:cols w:equalWidth="0" w:num="1">
            <w:col w:w="10440"/>
          </w:cols>
          <w:pgMar w:left="900" w:top="700" w:right="900" w:bottom="175"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440"/>
          </w:cols>
          <w:pgMar w:left="900" w:top="700" w:right="900" w:bottom="175" w:gutter="0" w:footer="0" w:header="0"/>
          <w:type w:val="continuous"/>
        </w:sectPr>
      </w:pPr>
    </w:p>
    <w:bookmarkStart w:id="44" w:name="page45"/>
    <w:bookmarkEnd w:id="44"/>
    <w:p>
      <w:pPr>
        <w:ind w:right="520"/>
        <w:spacing w:after="0" w:line="277" w:lineRule="auto"/>
        <w:rPr>
          <w:sz w:val="20"/>
          <w:szCs w:val="20"/>
          <w:color w:val="auto"/>
        </w:rPr>
      </w:pPr>
      <w:r>
        <w:rPr>
          <w:rFonts w:ascii="Times New Roman" w:cs="Times New Roman" w:eastAsia="Times New Roman" w:hAnsi="Times New Roman"/>
          <w:sz w:val="20"/>
          <w:szCs w:val="20"/>
          <w:color w:val="auto"/>
        </w:rPr>
        <w:t>approval letter. An approval letter authorizes commercial marketing of the product with specific prescribing information for specific indications.</w:t>
      </w:r>
    </w:p>
    <w:p>
      <w:pPr>
        <w:spacing w:after="0" w:line="4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83"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The FDA may further reevaluate its regulations and policies under the Orphan Drug Act. It is unclear as to how, if at all, the FDA may change the orphan drug regulations and policies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Rare Pediatric Disease Designation and Priority Review Vouchers</w:t>
      </w:r>
    </w:p>
    <w:p>
      <w:pPr>
        <w:spacing w:after="0" w:line="12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auto"/>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 for Drugs and Biologics</w:t>
      </w:r>
    </w:p>
    <w:p>
      <w:pPr>
        <w:spacing w:after="0" w:line="120" w:lineRule="exact"/>
        <w:rPr>
          <w:sz w:val="20"/>
          <w:szCs w:val="20"/>
          <w:color w:val="auto"/>
        </w:rPr>
      </w:pPr>
    </w:p>
    <w:p>
      <w:pPr>
        <w:ind w:right="300" w:firstLine="490"/>
        <w:spacing w:after="0" w:line="278" w:lineRule="auto"/>
        <w:rPr>
          <w:sz w:val="20"/>
          <w:szCs w:val="20"/>
          <w:color w:val="auto"/>
        </w:rPr>
      </w:pPr>
      <w:r>
        <w:rPr>
          <w:rFonts w:ascii="Times New Roman" w:cs="Times New Roman" w:eastAsia="Times New Roman" w:hAnsi="Times New Roman"/>
          <w:sz w:val="19"/>
          <w:szCs w:val="19"/>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w:t>
      </w:r>
    </w:p>
    <w:p>
      <w:pPr>
        <w:sectPr>
          <w:pgSz w:w="12240" w:h="15840" w:orient="portrait"/>
          <w:cols w:equalWidth="0" w:num="1">
            <w:col w:w="10440"/>
          </w:cols>
          <w:pgMar w:left="900" w:top="700" w:right="900" w:bottom="175"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440"/>
          </w:cols>
          <w:pgMar w:left="900" w:top="700" w:right="900" w:bottom="175" w:gutter="0" w:footer="0" w:header="0"/>
          <w:type w:val="continuous"/>
        </w:sectPr>
      </w:pPr>
    </w:p>
    <w:bookmarkStart w:id="45" w:name="page46"/>
    <w:bookmarkEnd w:id="45"/>
    <w:p>
      <w:pPr>
        <w:ind w:right="80"/>
        <w:spacing w:after="0" w:line="277" w:lineRule="auto"/>
        <w:rPr>
          <w:sz w:val="20"/>
          <w:szCs w:val="20"/>
          <w:color w:val="auto"/>
        </w:rPr>
      </w:pPr>
      <w:r>
        <w:rPr>
          <w:rFonts w:ascii="Times New Roman" w:cs="Times New Roman" w:eastAsia="Times New Roman" w:hAnsi="Times New Roman"/>
          <w:sz w:val="20"/>
          <w:szCs w:val="20"/>
          <w:color w:val="auto"/>
        </w:rPr>
        <w:t>these programs is to either expedite the development or review of important new drugs and biologics to get them to patients more quickly than standard FDA review timelines typically permit.</w:t>
      </w:r>
    </w:p>
    <w:p>
      <w:pPr>
        <w:spacing w:after="0" w:line="49" w:lineRule="exact"/>
        <w:rPr>
          <w:sz w:val="20"/>
          <w:szCs w:val="20"/>
          <w:color w:val="auto"/>
        </w:rPr>
      </w:pPr>
    </w:p>
    <w:p>
      <w:pPr>
        <w:ind w:right="40" w:firstLine="490"/>
        <w:spacing w:after="0" w:line="261" w:lineRule="auto"/>
        <w:rPr>
          <w:sz w:val="20"/>
          <w:szCs w:val="20"/>
          <w:color w:val="auto"/>
        </w:rPr>
      </w:pPr>
      <w:r>
        <w:rPr>
          <w:rFonts w:ascii="Times New Roman" w:cs="Times New Roman" w:eastAsia="Times New Roman" w:hAnsi="Times New Roman"/>
          <w:sz w:val="19"/>
          <w:szCs w:val="19"/>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spacing w:after="0" w:line="6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80" w:lineRule="exact"/>
        <w:rPr>
          <w:sz w:val="20"/>
          <w:szCs w:val="20"/>
          <w:color w:val="auto"/>
        </w:rPr>
      </w:pPr>
    </w:p>
    <w:p>
      <w:pPr>
        <w:ind w:right="160" w:firstLine="490"/>
        <w:spacing w:after="0" w:line="242" w:lineRule="auto"/>
        <w:rPr>
          <w:sz w:val="20"/>
          <w:szCs w:val="20"/>
          <w:color w:val="auto"/>
        </w:rPr>
      </w:pPr>
      <w:r>
        <w:rPr>
          <w:rFonts w:ascii="Times New Roman" w:cs="Times New Roman" w:eastAsia="Times New Roman" w:hAnsi="Times New Roman"/>
          <w:sz w:val="20"/>
          <w:szCs w:val="20"/>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trials to verify and describe the product’s clinical benefit. Under the Food and Drug Omnibus Reform Act of 2022, or FDORA, the FDA is now permitted to require, as appropriate,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91"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Information and Pediatric Exclusivity</w:t>
      </w:r>
    </w:p>
    <w:p>
      <w:pPr>
        <w:spacing w:after="0" w:line="12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auto"/>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w:t>
      </w:r>
    </w:p>
    <w:p>
      <w:pPr>
        <w:sectPr>
          <w:pgSz w:w="12240" w:h="15840" w:orient="portrait"/>
          <w:cols w:equalWidth="0" w:num="1">
            <w:col w:w="10440"/>
          </w:cols>
          <w:pgMar w:left="900" w:top="700" w:right="900" w:bottom="175"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440"/>
          </w:cols>
          <w:pgMar w:left="900" w:top="700" w:right="900" w:bottom="175" w:gutter="0" w:footer="0" w:header="0"/>
          <w:type w:val="continuous"/>
        </w:sectPr>
      </w:pPr>
    </w:p>
    <w:bookmarkStart w:id="46" w:name="page47"/>
    <w:bookmarkEnd w:id="46"/>
    <w:p>
      <w:pPr>
        <w:ind w:right="640"/>
        <w:spacing w:after="0" w:line="277" w:lineRule="auto"/>
        <w:rPr>
          <w:sz w:val="20"/>
          <w:szCs w:val="20"/>
          <w:color w:val="auto"/>
        </w:rPr>
      </w:pPr>
      <w:r>
        <w:rPr>
          <w:rFonts w:ascii="Times New Roman" w:cs="Times New Roman" w:eastAsia="Times New Roman" w:hAnsi="Times New Roman"/>
          <w:sz w:val="20"/>
          <w:szCs w:val="20"/>
          <w:color w:val="auto"/>
        </w:rPr>
        <w:t>clinical development programs. Unless otherwise required by regulation, PREA does not apply to a drug or biologic for an indication for which orphan designation has been granted.</w:t>
      </w:r>
    </w:p>
    <w:p>
      <w:pPr>
        <w:spacing w:after="0" w:line="4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Post-Approval Requirements for Drugs and Biologics</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7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87"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4" w:lineRule="exact"/>
        <w:rPr>
          <w:sz w:val="20"/>
          <w:szCs w:val="20"/>
          <w:color w:val="auto"/>
        </w:rPr>
      </w:pPr>
    </w:p>
    <w:p>
      <w:pPr>
        <w:ind w:left="980" w:right="60" w:hanging="498"/>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980" w:right="440" w:hanging="498"/>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or other communications containing warnings or other safety information about the product;</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33" w:lineRule="exact"/>
        <w:rPr>
          <w:rFonts w:ascii="Arial" w:cs="Arial" w:eastAsia="Arial" w:hAnsi="Arial"/>
          <w:sz w:val="20"/>
          <w:szCs w:val="20"/>
          <w:color w:val="auto"/>
        </w:rPr>
      </w:pPr>
    </w:p>
    <w:p>
      <w:pPr>
        <w:ind w:left="980" w:right="240" w:hanging="498"/>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applications or supplements to approved applications, or suspension or revocation of product approvals;</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440"/>
          </w:cols>
          <w:pgMar w:left="900" w:top="700" w:right="900" w:bottom="175" w:gutter="0" w:footer="0" w:header="0"/>
          <w:type w:val="continuous"/>
        </w:sectPr>
      </w:pPr>
    </w:p>
    <w:bookmarkStart w:id="47" w:name="page48"/>
    <w:bookmarkEnd w:id="47"/>
    <w:p>
      <w:pPr>
        <w:ind w:left="980" w:hanging="498"/>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 and</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mandated modification of promotional materials and labeling and issuance of corrective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Patent Term Restoration and Marketing Exclusivity</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p>
    <w:p>
      <w:pPr>
        <w:spacing w:after="0" w:line="9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Biosimilars and Exclusivity</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2"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p>
    <w:p>
      <w:pPr>
        <w:spacing w:after="0" w:line="68" w:lineRule="exact"/>
        <w:rPr>
          <w:sz w:val="20"/>
          <w:szCs w:val="20"/>
          <w:color w:val="auto"/>
        </w:rPr>
      </w:pPr>
    </w:p>
    <w:p>
      <w:pPr>
        <w:ind w:firstLine="490"/>
        <w:spacing w:after="0" w:line="265" w:lineRule="auto"/>
        <w:rPr>
          <w:sz w:val="20"/>
          <w:szCs w:val="20"/>
          <w:color w:val="auto"/>
        </w:rPr>
      </w:pPr>
      <w:r>
        <w:rPr>
          <w:rFonts w:ascii="Times New Roman" w:cs="Times New Roman" w:eastAsia="Times New Roman" w:hAnsi="Times New Roman"/>
          <w:sz w:val="19"/>
          <w:szCs w:val="19"/>
          <w:color w:val="auto"/>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ectPr>
          <w:pgSz w:w="12240" w:h="15840" w:orient="portrait"/>
          <w:cols w:equalWidth="0" w:num="1">
            <w:col w:w="10400"/>
          </w:cols>
          <w:pgMar w:left="900" w:top="714" w:right="9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400"/>
          </w:cols>
          <w:pgMar w:left="900" w:top="714" w:right="940" w:bottom="175"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Regulatory Matters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82" w:lineRule="exact"/>
        <w:rPr>
          <w:sz w:val="20"/>
          <w:szCs w:val="20"/>
          <w:color w:val="auto"/>
        </w:rPr>
      </w:pPr>
    </w:p>
    <w:p>
      <w:pPr>
        <w:jc w:val="center"/>
        <w:ind w:right="40"/>
        <w:spacing w:after="0" w:line="305" w:lineRule="auto"/>
        <w:rPr>
          <w:sz w:val="20"/>
          <w:szCs w:val="20"/>
          <w:color w:val="auto"/>
        </w:rPr>
      </w:pPr>
      <w:r>
        <w:rPr>
          <w:rFonts w:ascii="Times New Roman" w:cs="Times New Roman" w:eastAsia="Times New Roman" w:hAnsi="Times New Roman"/>
          <w:sz w:val="19"/>
          <w:szCs w:val="19"/>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25"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2"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12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Affordable Care Act and Legislative Reform Measures</w:t>
      </w:r>
    </w:p>
    <w:p>
      <w:pPr>
        <w:spacing w:after="0" w:line="120"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89" w:lineRule="exact"/>
        <w:rPr>
          <w:sz w:val="20"/>
          <w:szCs w:val="20"/>
          <w:color w:val="auto"/>
        </w:rPr>
      </w:pPr>
    </w:p>
    <w:p>
      <w:pPr>
        <w:ind w:right="100" w:firstLine="490"/>
        <w:spacing w:after="0" w:line="270" w:lineRule="auto"/>
        <w:rPr>
          <w:sz w:val="20"/>
          <w:szCs w:val="20"/>
          <w:color w:val="auto"/>
        </w:rPr>
      </w:pPr>
      <w:r>
        <w:rPr>
          <w:rFonts w:ascii="Times New Roman" w:cs="Times New Roman" w:eastAsia="Times New Roman" w:hAnsi="Times New Roman"/>
          <w:sz w:val="19"/>
          <w:szCs w:val="19"/>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w:t>
      </w:r>
    </w:p>
    <w:p>
      <w:pPr>
        <w:sectPr>
          <w:pgSz w:w="12240" w:h="15840" w:orient="portrait"/>
          <w:cols w:equalWidth="0" w:num="1">
            <w:col w:w="10420"/>
          </w:cols>
          <w:pgMar w:left="900" w:top="700" w:right="920" w:bottom="175"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420"/>
          </w:cols>
          <w:pgMar w:left="900" w:top="700" w:right="920" w:bottom="175" w:gutter="0" w:footer="0" w:header="0"/>
          <w:type w:val="continuous"/>
        </w:sectPr>
      </w:pPr>
    </w:p>
    <w:bookmarkStart w:id="49" w:name="page50"/>
    <w:bookmarkEnd w:id="49"/>
    <w:p>
      <w:pPr>
        <w:spacing w:after="0" w:line="247" w:lineRule="auto"/>
        <w:rPr>
          <w:sz w:val="20"/>
          <w:szCs w:val="20"/>
          <w:color w:val="auto"/>
        </w:rPr>
      </w:pPr>
      <w:r>
        <w:rPr>
          <w:rFonts w:ascii="Times New Roman" w:cs="Times New Roman" w:eastAsia="Times New Roman" w:hAnsi="Times New Roman"/>
          <w:sz w:val="20"/>
          <w:szCs w:val="20"/>
          <w:color w:val="auto"/>
        </w:rPr>
        <w:t>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8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Other legislative changes have been proposed and adopted in the United States since the Affordable Care Act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and subsequence legislation, among other things, created measures for spending reductions by Congress that include aggregate reductions of Medicare payments to providers of 2% per fiscal year, which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3"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In August 2022, the Inflation Reduction Act of 2022, or the IRA, was signed into law. The IRA includes several provisions that will impact our business to varying degrees, including provisions that create a $2,000 out-of-pocket cap for Medicare Part D beneficiaries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 of IRA on our business and the healthcare industry in general is not yet known.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U.S. Environmental, Health and Safety Laws and Regulations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2"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auto"/>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68" w:lineRule="exact"/>
        <w:rPr>
          <w:sz w:val="20"/>
          <w:szCs w:val="20"/>
          <w:color w:val="auto"/>
        </w:rPr>
      </w:pPr>
    </w:p>
    <w:p>
      <w:pPr>
        <w:ind w:right="120" w:firstLine="490"/>
        <w:spacing w:after="0" w:line="278" w:lineRule="auto"/>
        <w:rPr>
          <w:sz w:val="20"/>
          <w:szCs w:val="20"/>
          <w:color w:val="auto"/>
        </w:rPr>
      </w:pPr>
      <w:r>
        <w:rPr>
          <w:rFonts w:ascii="Times New Roman" w:cs="Times New Roman" w:eastAsia="Times New Roman" w:hAnsi="Times New Roman"/>
          <w:sz w:val="19"/>
          <w:szCs w:val="19"/>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As of February 28, 2023, we had 46 full-time employees, including 19 who hold Ph.D. or M.D. degrees, and no part-time employees. Of the full-time employees, 33 employees are engaged in research and development and 13 employees are engaged in management or general and administrative activities. None of our employees are subject to a collective bargaining agreement or represented by a trade or labor union. We consider our relationship with our employees to be good.</w:t>
      </w:r>
    </w:p>
    <w:p>
      <w:pPr>
        <w:sectPr>
          <w:pgSz w:w="12240" w:h="15840" w:orient="portrait"/>
          <w:cols w:equalWidth="0" w:num="1">
            <w:col w:w="10420"/>
          </w:cols>
          <w:pgMar w:left="900" w:top="700" w:right="920" w:bottom="175"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420"/>
          </w:cols>
          <w:pgMar w:left="900" w:top="700" w:right="920" w:bottom="175" w:gutter="0" w:footer="0" w:header="0"/>
          <w:type w:val="continuous"/>
        </w:sectPr>
      </w:pPr>
    </w:p>
    <w:bookmarkStart w:id="50" w:name="page51"/>
    <w:bookmarkEnd w:id="50"/>
    <w:p>
      <w:pPr>
        <w:ind w:firstLine="490"/>
        <w:spacing w:after="0" w:line="252" w:lineRule="auto"/>
        <w:rPr>
          <w:sz w:val="20"/>
          <w:szCs w:val="20"/>
          <w:color w:val="auto"/>
        </w:rPr>
      </w:pPr>
      <w:r>
        <w:rPr>
          <w:rFonts w:ascii="Times New Roman" w:cs="Times New Roman" w:eastAsia="Times New Roman" w:hAnsi="Times New Roman"/>
          <w:sz w:val="20"/>
          <w:szCs w:val="20"/>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Our principal office is located at 321 Arsenal Street, Suite 101, Watertown, MA 02472, where we lease approximately 7,566 square feet of office space. The lease term began in November 2021 and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2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From time to time, we may be involved in various other claims and legal proceedings relating to claims arising out of our operations. We are not currently a party to any material legal proceedings.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sectPr>
          <w:pgSz w:w="12240" w:h="15840" w:orient="portrait"/>
          <w:cols w:equalWidth="0" w:num="1">
            <w:col w:w="10380"/>
          </w:cols>
          <w:pgMar w:left="900" w:top="700" w:right="9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380"/>
          </w:cols>
          <w:pgMar w:left="900" w:top="700" w:right="960" w:bottom="175" w:gutter="0" w:footer="0" w:header="0"/>
          <w:type w:val="continuous"/>
        </w:sectPr>
      </w:pPr>
    </w:p>
    <w:bookmarkStart w:id="51" w:name="page52"/>
    <w:bookmarkEnd w:id="51"/>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1A.</w:t>
        <w:tab/>
        <w:t>RISK FACTORS</w:t>
      </w:r>
    </w:p>
    <w:p>
      <w:pPr>
        <w:spacing w:after="0" w:line="12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Limited Operating History, Financial Position, and Capital Requirements</w:t>
      </w:r>
    </w:p>
    <w:p>
      <w:pPr>
        <w:spacing w:after="0" w:line="12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49"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8"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since our inception and anticipate that we will continue to incur losses for the foreseeable future.</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net losses were $36.0 million and $46.8 million for the years ended December 31, 2021 and 2022, respectively. We had an accumulated deficit of $112.2 million as of December 31, 2022.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83" w:lineRule="exact"/>
        <w:rPr>
          <w:sz w:val="20"/>
          <w:szCs w:val="20"/>
          <w:color w:val="auto"/>
        </w:rPr>
      </w:pPr>
    </w:p>
    <w:p>
      <w:pPr>
        <w:ind w:left="720" w:right="60" w:hanging="367"/>
        <w:spacing w:after="0" w:line="258"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81" w:lineRule="exact"/>
        <w:rPr>
          <w:rFonts w:ascii="Arial" w:cs="Arial" w:eastAsia="Arial" w:hAnsi="Arial"/>
          <w:sz w:val="20"/>
          <w:szCs w:val="20"/>
          <w:color w:val="auto"/>
        </w:rPr>
      </w:pPr>
    </w:p>
    <w:p>
      <w:pPr>
        <w:ind w:left="720" w:right="10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open clinical trial sites and recruit and retain subjects for clinical trials, and any delays caused by difficulties in such efforts;</w:t>
      </w:r>
    </w:p>
    <w:p>
      <w:pPr>
        <w:spacing w:after="0" w:line="64" w:lineRule="exact"/>
        <w:rPr>
          <w:rFonts w:ascii="Arial" w:cs="Arial" w:eastAsia="Arial" w:hAnsi="Arial"/>
          <w:sz w:val="20"/>
          <w:szCs w:val="20"/>
          <w:color w:val="auto"/>
        </w:rPr>
      </w:pPr>
    </w:p>
    <w:p>
      <w:pPr>
        <w:ind w:left="720" w:right="18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regulatory approval for our product candidates, and the timing and scope of any such approvals we may receive;</w:t>
      </w:r>
    </w:p>
    <w:p>
      <w:pPr>
        <w:spacing w:after="0" w:line="64" w:lineRule="exact"/>
        <w:rPr>
          <w:rFonts w:ascii="Arial" w:cs="Arial" w:eastAsia="Arial" w:hAnsi="Arial"/>
          <w:sz w:val="20"/>
          <w:szCs w:val="20"/>
          <w:color w:val="auto"/>
        </w:rPr>
      </w:pPr>
    </w:p>
    <w:p>
      <w:pPr>
        <w:ind w:left="720" w:right="6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product candidates, which may change from time to time;</w:t>
      </w:r>
    </w:p>
    <w:p>
      <w:pPr>
        <w:spacing w:after="0" w:line="64" w:lineRule="exact"/>
        <w:rPr>
          <w:rFonts w:ascii="Arial" w:cs="Arial" w:eastAsia="Arial" w:hAnsi="Arial"/>
          <w:sz w:val="20"/>
          <w:szCs w:val="20"/>
          <w:color w:val="auto"/>
        </w:rPr>
      </w:pPr>
    </w:p>
    <w:p>
      <w:pPr>
        <w:ind w:left="720" w:right="6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 candidates and products, should they receive regulatory approval, which may vary depending on the quantity of production and the terms of our agreements with manufacturers;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hire and retain qualified personnel;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develop additional product candidates;</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440"/>
          </w:cols>
          <w:pgMar w:left="900" w:top="696" w:right="900" w:bottom="175" w:gutter="0" w:footer="0" w:header="0"/>
          <w:type w:val="continuous"/>
        </w:sectPr>
      </w:pPr>
    </w:p>
    <w:bookmarkStart w:id="52" w:name="page53"/>
    <w:bookmarkEnd w:id="52"/>
    <w:p>
      <w:pPr>
        <w:ind w:left="720" w:hanging="36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products should they receive regulatory approval, which may vary significantly;</w:t>
      </w:r>
    </w:p>
    <w:p>
      <w:pPr>
        <w:spacing w:after="0" w:line="133" w:lineRule="exact"/>
        <w:rPr>
          <w:rFonts w:ascii="Arial" w:cs="Arial" w:eastAsia="Arial" w:hAnsi="Arial"/>
          <w:sz w:val="20"/>
          <w:szCs w:val="20"/>
          <w:color w:val="auto"/>
        </w:rPr>
      </w:pPr>
    </w:p>
    <w:p>
      <w:pPr>
        <w:ind w:left="720" w:right="60" w:hanging="367"/>
        <w:spacing w:after="0" w:line="27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product candidates, if approved, and existing and potential future therapeutics that compete with our product candidates;</w:t>
      </w:r>
    </w:p>
    <w:p>
      <w:pPr>
        <w:spacing w:after="0" w:line="64" w:lineRule="exact"/>
        <w:rPr>
          <w:rFonts w:ascii="Arial" w:cs="Arial" w:eastAsia="Arial" w:hAnsi="Arial"/>
          <w:sz w:val="20"/>
          <w:szCs w:val="20"/>
          <w:color w:val="auto"/>
        </w:rPr>
      </w:pPr>
    </w:p>
    <w:p>
      <w:pPr>
        <w:ind w:left="720" w:right="580" w:hanging="367"/>
        <w:spacing w:after="0" w:line="27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U.S. and global economic environments, including as a result of the ongoing COVID-19 pandemic; and</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1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 products approved for commercial sale and have not generated any revenue from product sales.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begins to sell, one or more of our product candidates. Our ability to generate revenue depends on a number of factors, including, but not limited to, our ability to:</w:t>
      </w:r>
    </w:p>
    <w:p>
      <w:pPr>
        <w:spacing w:after="0" w:line="91" w:lineRule="exact"/>
        <w:rPr>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complete our ongoing and planned preclinical studies for our current and future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timely file and receive acceptance of our INDs in order to commence our planned clinical trials or future clinical trials;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enroll subjects in, and complete, our ongoing and planned clinical trials;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and successfully complete all safety and efficacy studies necessary to obtain U.S. and foreign regulatory approval for our product candidates;</w:t>
      </w:r>
    </w:p>
    <w:p>
      <w:pPr>
        <w:spacing w:after="0" w:line="64"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address the prevalence, duration and severity of potential side effects or other safety issues experienced with our product candidates, if any;</w:t>
      </w:r>
    </w:p>
    <w:p>
      <w:pPr>
        <w:spacing w:after="0" w:line="64" w:lineRule="exact"/>
        <w:rPr>
          <w:rFonts w:ascii="Arial" w:cs="Arial" w:eastAsia="Arial" w:hAnsi="Arial"/>
          <w:sz w:val="20"/>
          <w:szCs w:val="20"/>
          <w:color w:val="auto"/>
        </w:rPr>
      </w:pPr>
    </w:p>
    <w:p>
      <w:pPr>
        <w:ind w:left="720" w:right="120" w:hanging="367"/>
        <w:spacing w:after="0" w:line="258"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81" w:lineRule="exact"/>
        <w:rPr>
          <w:rFonts w:ascii="Arial" w:cs="Arial" w:eastAsia="Arial" w:hAnsi="Arial"/>
          <w:sz w:val="20"/>
          <w:szCs w:val="20"/>
          <w:color w:val="auto"/>
        </w:rPr>
      </w:pPr>
    </w:p>
    <w:p>
      <w:pPr>
        <w:ind w:left="720" w:right="66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and maintain clinical and commercial manufacturing capabilities or make arrangements with third-party manufacturers for clinical supply and commercial manufacturing;</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patent and trade secret protection or regulatory exclusivity for our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launch commercial sales of our products, if and when approved, whether alone or in collaboration with others;</w:t>
      </w:r>
    </w:p>
    <w:p>
      <w:pPr>
        <w:spacing w:after="0" w:line="133" w:lineRule="exact"/>
        <w:rPr>
          <w:rFonts w:ascii="Arial" w:cs="Arial" w:eastAsia="Arial" w:hAnsi="Arial"/>
          <w:sz w:val="20"/>
          <w:szCs w:val="20"/>
          <w:color w:val="auto"/>
        </w:rPr>
      </w:pPr>
    </w:p>
    <w:p>
      <w:pPr>
        <w:ind w:left="720" w:right="30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acceptance of our products, if and when approved, by patients, the medical community and third-party payors;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position our product candidates to effectively compete with other therapies;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healthcare coverage and adequate reimbursement;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enforce and defend intellectual property rights and claims;</w:t>
      </w:r>
    </w:p>
    <w:p>
      <w:pPr>
        <w:spacing w:after="0" w:line="133" w:lineRule="exact"/>
        <w:rPr>
          <w:rFonts w:ascii="Arial" w:cs="Arial" w:eastAsia="Arial" w:hAnsi="Arial"/>
          <w:sz w:val="20"/>
          <w:szCs w:val="20"/>
          <w:color w:val="auto"/>
        </w:rPr>
      </w:pPr>
    </w:p>
    <w:p>
      <w:pPr>
        <w:ind w:left="720" w:right="20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implement measures to help minimize the risk of COVID-19 to our employees as well as patients and subjects enrolled in our clinical trials; and</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maintain a continued acceptable safety profile of our products following approval.</w:t>
      </w:r>
    </w:p>
    <w:p>
      <w:pPr>
        <w:spacing w:after="0" w:line="119"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ectPr>
          <w:pgSz w:w="12240" w:h="15840" w:orient="portrait"/>
          <w:cols w:equalWidth="0" w:num="1">
            <w:col w:w="10440"/>
          </w:cols>
          <w:pgMar w:left="900" w:top="71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440"/>
          </w:cols>
          <w:pgMar w:left="900" w:top="714" w:right="900" w:bottom="175" w:gutter="0" w:footer="0" w:header="0"/>
          <w:type w:val="continuous"/>
        </w:sectPr>
      </w:pPr>
    </w:p>
    <w:bookmarkStart w:id="53" w:name="page54"/>
    <w:bookmarkEnd w:id="53"/>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8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We believe that we have cash and cash equivalents that will enable us to fund operating expenses and capital expenditure requirements into 2025.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88" w:lineRule="exact"/>
        <w:rPr>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preclinical and clinical programs we decide to pursue;</w:t>
      </w:r>
    </w:p>
    <w:p>
      <w:pPr>
        <w:spacing w:after="0" w:line="133" w:lineRule="exact"/>
        <w:rPr>
          <w:rFonts w:ascii="Arial" w:cs="Arial" w:eastAsia="Arial" w:hAnsi="Arial"/>
          <w:sz w:val="20"/>
          <w:szCs w:val="20"/>
          <w:color w:val="auto"/>
        </w:rPr>
      </w:pPr>
    </w:p>
    <w:p>
      <w:pPr>
        <w:ind w:left="720" w:right="62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raise additional funds necessary to complete clinical development of and commercialize our product candidates;</w:t>
      </w:r>
    </w:p>
    <w:p>
      <w:pPr>
        <w:spacing w:after="0" w:line="64" w:lineRule="exact"/>
        <w:rPr>
          <w:rFonts w:ascii="Arial" w:cs="Arial" w:eastAsia="Arial" w:hAnsi="Arial"/>
          <w:sz w:val="20"/>
          <w:szCs w:val="20"/>
          <w:color w:val="auto"/>
        </w:rPr>
      </w:pPr>
    </w:p>
    <w:p>
      <w:pPr>
        <w:ind w:left="720" w:right="70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new and maintain existing licensing or collaboration arrangements and the progress of the development efforts of third parties with whom we may enter into such arrangements;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current research and development programs and to establish new programs;</w:t>
      </w:r>
    </w:p>
    <w:p>
      <w:pPr>
        <w:spacing w:after="0" w:line="133" w:lineRule="exact"/>
        <w:rPr>
          <w:rFonts w:ascii="Arial" w:cs="Arial" w:eastAsia="Arial" w:hAnsi="Arial"/>
          <w:sz w:val="20"/>
          <w:szCs w:val="20"/>
          <w:color w:val="auto"/>
        </w:rPr>
      </w:pPr>
    </w:p>
    <w:p>
      <w:pPr>
        <w:ind w:left="720" w:right="4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successful initiation, enrollment and completion of clinical trials with safety, tolerability and efficacy profiles that are satisfactory to the FDA or any comparable foreign regulatory authority;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receipt and related terms of regulatory approvals from applicable regulatory authorities for any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raw materials for use in production of our product candidates;</w:t>
      </w:r>
    </w:p>
    <w:p>
      <w:pPr>
        <w:spacing w:after="0" w:line="133" w:lineRule="exact"/>
        <w:rPr>
          <w:rFonts w:ascii="Arial" w:cs="Arial" w:eastAsia="Arial" w:hAnsi="Arial"/>
          <w:sz w:val="20"/>
          <w:szCs w:val="20"/>
          <w:color w:val="auto"/>
        </w:rPr>
      </w:pPr>
    </w:p>
    <w:p>
      <w:pPr>
        <w:ind w:left="720" w:right="48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agreements with third-party manufacturers for supply of product candidate components for our clinical trials;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patents, trade secret protection and regulatory exclusivity, both in the United States and internationally;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other rights in our intellectual property portfolio;</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commercializing product candidates, if and when approved, whether alone or in collaboration with others;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third-party insurance coverage and adequate reimbursement for any approved products; and</w:t>
      </w:r>
    </w:p>
    <w:p>
      <w:pPr>
        <w:spacing w:after="0" w:line="133" w:lineRule="exact"/>
        <w:rPr>
          <w:rFonts w:ascii="Arial" w:cs="Arial" w:eastAsia="Arial" w:hAnsi="Arial"/>
          <w:sz w:val="20"/>
          <w:szCs w:val="20"/>
          <w:color w:val="auto"/>
        </w:rPr>
      </w:pPr>
    </w:p>
    <w:p>
      <w:pPr>
        <w:ind w:left="720" w:right="20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additional expenses attributable to adjusting our development plans (including any supply related matters) to the ongoing COVID-19 pandemic.</w:t>
      </w:r>
    </w:p>
    <w:p>
      <w:pPr>
        <w:spacing w:after="0" w:line="5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ongoing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440"/>
          </w:cols>
          <w:pgMar w:left="900" w:top="700" w:right="900" w:bottom="175" w:gutter="0" w:footer="0" w:header="0"/>
          <w:type w:val="continuous"/>
        </w:sectPr>
      </w:pPr>
    </w:p>
    <w:bookmarkStart w:id="54" w:name="page55"/>
    <w:bookmarkEnd w:id="54"/>
    <w:p>
      <w:pPr>
        <w:ind w:right="440" w:firstLine="490"/>
        <w:spacing w:after="0" w:line="252" w:lineRule="auto"/>
        <w:rPr>
          <w:sz w:val="20"/>
          <w:szCs w:val="20"/>
          <w:color w:val="auto"/>
        </w:rPr>
      </w:pPr>
      <w:r>
        <w:rPr>
          <w:rFonts w:ascii="Times New Roman" w:cs="Times New Roman" w:eastAsia="Times New Roman" w:hAnsi="Times New Roman"/>
          <w:sz w:val="20"/>
          <w:szCs w:val="20"/>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9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product candidates.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9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20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Stockholders who hold contingent value rights, or CVRs, potentially may not receive any payment on the CVRs and the CVRs may otherwise expire valueless.</w:t>
      </w:r>
    </w:p>
    <w:p>
      <w:pPr>
        <w:spacing w:after="0" w:line="4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On December 29, 2022, prior to the effective time of our merger with Gemini, we entered into a Contingent Value Rights Agreement, or the CVR Agreement, with a rights agent pursuant to which Gemini’s pre-merger common stockholders received one CVR for each outstanding share of Gemini common stock held by such stockholders on December 29, 2022. Each CVR represents the contractual right to receive payments, in the form of shares of our stock, upon the actual receipt by us or our affiliates of certain proceeds derived from consideration paid to us as a result of the disposition of Gemini’s pre-merger legacy assets, net of certain expenses and other deductions. Any payments under the CVR Agreement will be in the form of shares of our stock, determined on the basis of a volume weighted average for the five (5) trading days prior to the date of issuance.</w:t>
      </w:r>
    </w:p>
    <w:p>
      <w:pPr>
        <w:spacing w:after="0" w:line="8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We may not be able to achieve successful results from the disposition of such assets as described above. If this is not achieved for any reason within the time periods specified in the CVR Agreement, no payments will be made under the CVRs, and the CVRs will expire valueless. There can be no assurance that any payment of any of our shares will be made or that any holders of CVRs will receive any amounts with respect thereto.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and Development of Our Product Candidates</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ongoing COVID-19 pandemic, or a similar pandemic, epidemic, or outbreak of an infectious or highly contagious disease, may materially and adversely affect our business and financial results and could cause a disruption to the development of our product candidates.</w:t>
      </w:r>
    </w:p>
    <w:p>
      <w:pPr>
        <w:spacing w:after="0" w:line="6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Public health crises such as pandemics, including the ongoing COVID-19 pandemic, or similar outbreaks could adversely impact our business. The extent to which COVID-19, or the future outbreak of other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8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In addition, the patient populations that our product candidates target may be particularly susceptible to COVID-19 or other highly infectious or contagious diseases, which may make it more difficult for us to identify patients able to enroll in our current and future clinical trials and may impact the ability of enrolled patients to complete any such trials.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440"/>
          </w:cols>
          <w:pgMar w:left="900" w:top="700" w:right="900" w:bottom="175" w:gutter="0" w:footer="0" w:header="0"/>
          <w:type w:val="continuous"/>
        </w:sectPr>
      </w:pPr>
    </w:p>
    <w:bookmarkStart w:id="55" w:name="page56"/>
    <w:bookmarkEnd w:id="55"/>
    <w:p>
      <w:pPr>
        <w:jc w:val="both"/>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68"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9"/>
          <w:szCs w:val="19"/>
          <w:color w:val="auto"/>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two product candidates in clinical development.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plan to initiate a Phase 1 clinical trial of MWTX-003 in healthy volunteers in the first half of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312"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7"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5" w:lineRule="exact"/>
        <w:rPr>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be delayed in obtaining regulatory approval for our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not obtain regulatory approval at all;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obtain regulatory approval for indications or patient populations that are not as broad as intended or desired;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be subject to post-marketing testing requirements; or</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having the product removed from the market after obtaining regulatory approval.</w:t>
      </w:r>
    </w:p>
    <w:p>
      <w:pPr>
        <w:spacing w:after="0" w:line="23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68" w:lineRule="exact"/>
        <w:rPr>
          <w:sz w:val="20"/>
          <w:szCs w:val="20"/>
          <w:color w:val="auto"/>
        </w:rPr>
      </w:pPr>
    </w:p>
    <w:p>
      <w:pPr>
        <w:ind w:right="160" w:firstLine="490"/>
        <w:spacing w:after="0" w:line="278" w:lineRule="auto"/>
        <w:rPr>
          <w:sz w:val="20"/>
          <w:szCs w:val="20"/>
          <w:color w:val="auto"/>
        </w:rPr>
      </w:pPr>
      <w:r>
        <w:rPr>
          <w:rFonts w:ascii="Times New Roman" w:cs="Times New Roman" w:eastAsia="Times New Roman" w:hAnsi="Times New Roman"/>
          <w:sz w:val="19"/>
          <w:szCs w:val="19"/>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w:t>
      </w:r>
    </w:p>
    <w:p>
      <w:pPr>
        <w:sectPr>
          <w:pgSz w:w="12240" w:h="15840" w:orient="portrait"/>
          <w:cols w:equalWidth="0" w:num="1">
            <w:col w:w="10440"/>
          </w:cols>
          <w:pgMar w:left="900" w:top="700" w:right="900" w:bottom="175"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440"/>
          </w:cols>
          <w:pgMar w:left="900" w:top="700" w:right="900" w:bottom="175" w:gutter="0" w:footer="0" w:header="0"/>
          <w:type w:val="continuous"/>
        </w:sectPr>
      </w:pPr>
    </w:p>
    <w:bookmarkStart w:id="56" w:name="page57"/>
    <w:bookmarkEnd w:id="56"/>
    <w:p>
      <w:pPr>
        <w:ind w:right="20"/>
        <w:spacing w:after="0" w:line="249" w:lineRule="auto"/>
        <w:rPr>
          <w:sz w:val="20"/>
          <w:szCs w:val="20"/>
          <w:color w:val="auto"/>
        </w:rPr>
      </w:pPr>
      <w:r>
        <w:rPr>
          <w:rFonts w:ascii="Times New Roman" w:cs="Times New Roman" w:eastAsia="Times New Roman" w:hAnsi="Times New Roman"/>
          <w:sz w:val="20"/>
          <w:szCs w:val="20"/>
          <w:color w:val="auto"/>
        </w:rPr>
        <w:t>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product development involves a lengthy and expensive process, with an uncertain outcome.</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May 2021, we entered into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MWTX-003, for which pre-clinical results may not be indicative or predictive of future clinical trial results.</w:t>
      </w:r>
    </w:p>
    <w:p>
      <w:pPr>
        <w:spacing w:after="0" w:line="206" w:lineRule="exact"/>
        <w:rPr>
          <w:sz w:val="20"/>
          <w:szCs w:val="20"/>
          <w:color w:val="auto"/>
        </w:rPr>
      </w:pPr>
    </w:p>
    <w:p>
      <w:pPr>
        <w:jc w:val="both"/>
        <w:ind w:right="6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6" w:lineRule="exact"/>
        <w:rPr>
          <w:sz w:val="20"/>
          <w:szCs w:val="20"/>
          <w:color w:val="auto"/>
        </w:rPr>
      </w:pPr>
    </w:p>
    <w:p>
      <w:pPr>
        <w:ind w:right="60" w:firstLine="490"/>
        <w:spacing w:after="0" w:line="270" w:lineRule="auto"/>
        <w:rPr>
          <w:sz w:val="20"/>
          <w:szCs w:val="20"/>
          <w:color w:val="auto"/>
        </w:rPr>
      </w:pPr>
      <w:r>
        <w:rPr>
          <w:rFonts w:ascii="Times New Roman" w:cs="Times New Roman" w:eastAsia="Times New Roman" w:hAnsi="Times New Roman"/>
          <w:sz w:val="19"/>
          <w:szCs w:val="19"/>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w:t>
      </w:r>
    </w:p>
    <w:p>
      <w:pPr>
        <w:sectPr>
          <w:pgSz w:w="12240" w:h="15840" w:orient="portrait"/>
          <w:cols w:equalWidth="0" w:num="1">
            <w:col w:w="10400"/>
          </w:cols>
          <w:pgMar w:left="900" w:top="700" w:right="940" w:bottom="175"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400"/>
          </w:cols>
          <w:pgMar w:left="900" w:top="700" w:right="940" w:bottom="175" w:gutter="0" w:footer="0" w:header="0"/>
          <w:type w:val="continuous"/>
        </w:sectPr>
      </w:pPr>
    </w:p>
    <w:bookmarkStart w:id="57" w:name="page58"/>
    <w:bookmarkEnd w:id="57"/>
    <w:p>
      <w:pPr>
        <w:ind w:right="220"/>
        <w:spacing w:after="0" w:line="249" w:lineRule="auto"/>
        <w:rPr>
          <w:sz w:val="20"/>
          <w:szCs w:val="20"/>
          <w:color w:val="auto"/>
        </w:rPr>
      </w:pPr>
      <w:r>
        <w:rPr>
          <w:rFonts w:ascii="Times New Roman" w:cs="Times New Roman" w:eastAsia="Times New Roman" w:hAnsi="Times New Roman"/>
          <w:sz w:val="20"/>
          <w:szCs w:val="20"/>
          <w:color w:val="auto"/>
        </w:rPr>
        <w:t>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We also may make assumptions, estimations, calculations and conclusions as part of our analyses of data, and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interim, top-line or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price of our common stock to fluctuate or decline.</w:t>
      </w:r>
    </w:p>
    <w:p>
      <w:pPr>
        <w:spacing w:after="0" w:line="8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8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auto"/>
        </w:rPr>
        <w:t>If the interim, top-line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88"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94" w:lineRule="exact"/>
        <w:rPr>
          <w:sz w:val="20"/>
          <w:szCs w:val="20"/>
          <w:color w:val="auto"/>
        </w:rPr>
      </w:pPr>
    </w:p>
    <w:p>
      <w:pPr>
        <w:ind w:left="720" w:right="420" w:hanging="367"/>
        <w:spacing w:after="0" w:line="276"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We may receive feedback from regulatory authorities that requires us to modify the design or implementation of our preclinical studies or clinical trials or to delay or terminate a clinical trial;</w:t>
      </w:r>
    </w:p>
    <w:p>
      <w:pPr>
        <w:spacing w:after="0" w:line="64" w:lineRule="exact"/>
        <w:rPr>
          <w:rFonts w:ascii="Arial" w:cs="Arial" w:eastAsia="Arial" w:hAnsi="Arial"/>
          <w:sz w:val="20"/>
          <w:szCs w:val="20"/>
          <w:color w:val="auto"/>
        </w:rPr>
      </w:pPr>
    </w:p>
    <w:p>
      <w:pPr>
        <w:ind w:left="720" w:right="220" w:hanging="367"/>
        <w:spacing w:after="0" w:line="276"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IRBs or ethics committees may delay or may not authorize us or our investigators to commence a clinical trial or conduct a clinical trial at a prospective trial site;</w:t>
      </w:r>
    </w:p>
    <w:p>
      <w:pPr>
        <w:spacing w:after="0" w:line="64" w:lineRule="exact"/>
        <w:rPr>
          <w:rFonts w:ascii="Arial" w:cs="Arial" w:eastAsia="Arial" w:hAnsi="Arial"/>
          <w:sz w:val="20"/>
          <w:szCs w:val="20"/>
          <w:color w:val="auto"/>
        </w:rPr>
      </w:pPr>
    </w:p>
    <w:p>
      <w:pPr>
        <w:ind w:left="720" w:right="40" w:hanging="367"/>
        <w:spacing w:after="0" w:line="258"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81" w:lineRule="exact"/>
        <w:rPr>
          <w:rFonts w:ascii="Arial" w:cs="Arial" w:eastAsia="Arial" w:hAnsi="Arial"/>
          <w:sz w:val="20"/>
          <w:szCs w:val="20"/>
          <w:color w:val="auto"/>
        </w:rPr>
      </w:pPr>
    </w:p>
    <w:p>
      <w:pPr>
        <w:ind w:left="720" w:right="320" w:hanging="367"/>
        <w:spacing w:after="0" w:line="258"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1" w:lineRule="exact"/>
        <w:rPr>
          <w:rFonts w:ascii="Arial" w:cs="Arial" w:eastAsia="Arial" w:hAnsi="Arial"/>
          <w:sz w:val="20"/>
          <w:szCs w:val="20"/>
          <w:color w:val="auto"/>
        </w:rPr>
      </w:pPr>
    </w:p>
    <w:p>
      <w:pPr>
        <w:ind w:left="720" w:right="460" w:hanging="367"/>
        <w:spacing w:after="0" w:line="276"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studies or clinical trials of our product candidates may not produce differentiated or clinically significant results across indications;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440"/>
          </w:cols>
          <w:pgMar w:left="900" w:top="700" w:right="900" w:bottom="175" w:gutter="0" w:footer="0" w:header="0"/>
          <w:type w:val="continuous"/>
        </w:sectPr>
      </w:pPr>
    </w:p>
    <w:bookmarkStart w:id="58" w:name="page59"/>
    <w:bookmarkEnd w:id="58"/>
    <w:p>
      <w:pPr>
        <w:jc w:val="both"/>
        <w:ind w:left="720" w:right="60" w:hanging="367"/>
        <w:spacing w:after="0" w:line="25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81" w:lineRule="exact"/>
        <w:rPr>
          <w:rFonts w:ascii="Arial" w:cs="Arial" w:eastAsia="Arial" w:hAnsi="Arial"/>
          <w:sz w:val="20"/>
          <w:szCs w:val="20"/>
          <w:color w:val="auto"/>
        </w:rPr>
      </w:pPr>
    </w:p>
    <w:p>
      <w:pPr>
        <w:ind w:left="720" w:hanging="367"/>
        <w:spacing w:after="0" w:line="252"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87" w:lineRule="exact"/>
        <w:rPr>
          <w:rFonts w:ascii="Arial" w:cs="Arial" w:eastAsia="Arial" w:hAnsi="Arial"/>
          <w:sz w:val="20"/>
          <w:szCs w:val="20"/>
          <w:color w:val="auto"/>
        </w:rPr>
      </w:pPr>
    </w:p>
    <w:p>
      <w:pPr>
        <w:ind w:left="720" w:right="100" w:hanging="367"/>
        <w:spacing w:after="0" w:line="25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our product candidates may be greater than anticipated;</w:t>
      </w:r>
    </w:p>
    <w:p>
      <w:pPr>
        <w:spacing w:after="0" w:line="133" w:lineRule="exact"/>
        <w:rPr>
          <w:rFonts w:ascii="Arial" w:cs="Arial" w:eastAsia="Arial" w:hAnsi="Arial"/>
          <w:sz w:val="20"/>
          <w:szCs w:val="20"/>
          <w:color w:val="auto"/>
        </w:rPr>
      </w:pPr>
    </w:p>
    <w:p>
      <w:pPr>
        <w:ind w:left="720" w:right="360" w:hanging="367"/>
        <w:spacing w:after="0" w:line="276"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of our product candidates may be delayed due to complications associated with the ongoing COVID-19 pandemic;</w:t>
      </w:r>
    </w:p>
    <w:p>
      <w:pPr>
        <w:spacing w:after="0" w:line="64" w:lineRule="exact"/>
        <w:rPr>
          <w:rFonts w:ascii="Arial" w:cs="Arial" w:eastAsia="Arial" w:hAnsi="Arial"/>
          <w:sz w:val="20"/>
          <w:szCs w:val="20"/>
          <w:color w:val="auto"/>
        </w:rPr>
      </w:pPr>
    </w:p>
    <w:p>
      <w:pPr>
        <w:ind w:left="720" w:right="520" w:hanging="367"/>
        <w:spacing w:after="0" w:line="25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81" w:lineRule="exact"/>
        <w:rPr>
          <w:rFonts w:ascii="Arial" w:cs="Arial" w:eastAsia="Arial" w:hAnsi="Arial"/>
          <w:sz w:val="20"/>
          <w:szCs w:val="20"/>
          <w:color w:val="auto"/>
        </w:rPr>
      </w:pPr>
    </w:p>
    <w:p>
      <w:pPr>
        <w:jc w:val="both"/>
        <w:ind w:left="720" w:right="260" w:hanging="367"/>
        <w:spacing w:after="0" w:line="25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81" w:lineRule="exact"/>
        <w:rPr>
          <w:rFonts w:ascii="Arial" w:cs="Arial" w:eastAsia="Arial" w:hAnsi="Arial"/>
          <w:sz w:val="20"/>
          <w:szCs w:val="20"/>
          <w:color w:val="auto"/>
        </w:rPr>
      </w:pPr>
    </w:p>
    <w:p>
      <w:pPr>
        <w:ind w:left="720" w:right="260" w:hanging="367"/>
        <w:spacing w:after="0" w:line="276"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any future collaborators may conduct clinical trials in ways they view as advantageous to them but that are suboptimal for us; and</w:t>
      </w:r>
    </w:p>
    <w:p>
      <w:pPr>
        <w:spacing w:after="0" w:line="64" w:lineRule="exact"/>
        <w:rPr>
          <w:rFonts w:ascii="Arial" w:cs="Arial" w:eastAsia="Arial" w:hAnsi="Arial"/>
          <w:sz w:val="20"/>
          <w:szCs w:val="20"/>
          <w:color w:val="auto"/>
        </w:rPr>
      </w:pPr>
    </w:p>
    <w:p>
      <w:pPr>
        <w:ind w:left="720" w:right="660" w:hanging="367"/>
        <w:spacing w:after="0" w:line="276"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may revise the requirements for approving our product candidates, or such requirements may not be as anticipated.</w:t>
      </w:r>
    </w:p>
    <w:p>
      <w:pPr>
        <w:spacing w:after="0" w:line="50"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93"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ectPr>
          <w:pgSz w:w="12240" w:h="15840" w:orient="portrait"/>
          <w:cols w:equalWidth="0" w:num="1">
            <w:col w:w="10440"/>
          </w:cols>
          <w:pgMar w:left="900" w:top="714" w:right="900" w:bottom="175"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440"/>
          </w:cols>
          <w:pgMar w:left="900" w:top="714" w:right="900" w:bottom="175" w:gutter="0" w:footer="0" w:header="0"/>
          <w:type w:val="continuous"/>
        </w:sectPr>
      </w:pPr>
    </w:p>
    <w:bookmarkStart w:id="59" w:name="page60"/>
    <w:bookmarkEnd w:id="59"/>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7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 Furthermore, our ability to enroll patients may be significantly delayed by the ongoing COVID-19 pandemic, and we cannot accurately predict the extent and scope of such delays at this point.</w:t>
      </w:r>
    </w:p>
    <w:p>
      <w:pPr>
        <w:spacing w:after="0" w:line="74" w:lineRule="exact"/>
        <w:rPr>
          <w:sz w:val="20"/>
          <w:szCs w:val="20"/>
          <w:color w:val="auto"/>
        </w:rPr>
      </w:pPr>
    </w:p>
    <w:p>
      <w:pPr>
        <w:ind w:right="260" w:firstLine="490"/>
        <w:spacing w:after="0" w:line="247" w:lineRule="auto"/>
        <w:rPr>
          <w:sz w:val="20"/>
          <w:szCs w:val="20"/>
          <w:color w:val="auto"/>
        </w:rPr>
      </w:pPr>
      <w:r>
        <w:rPr>
          <w:rFonts w:ascii="Times New Roman" w:cs="Times New Roman" w:eastAsia="Times New Roman" w:hAnsi="Times New Roman"/>
          <w:sz w:val="20"/>
          <w:szCs w:val="20"/>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Patient enrollment may be affected by other factors, including:</w:t>
      </w:r>
    </w:p>
    <w:p>
      <w:pPr>
        <w:spacing w:after="0" w:line="134" w:lineRule="exact"/>
        <w:rPr>
          <w:sz w:val="20"/>
          <w:szCs w:val="20"/>
          <w:color w:val="auto"/>
        </w:rPr>
      </w:pPr>
    </w:p>
    <w:p>
      <w:pPr>
        <w:ind w:left="720" w:hanging="367"/>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severity of the disease under investigation;</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efforts to obtain and maintain patient consents and facilitate timely enrollment in clinical trials;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clinical trials will drop out of the clinical trials before clinical trial completion;</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recruit clinical trial investigators with the appropriate competencies and experience;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reporting of the preliminary results of any of our clinical trials; and</w:t>
      </w:r>
    </w:p>
    <w:p>
      <w:pPr>
        <w:spacing w:after="0" w:line="133" w:lineRule="exact"/>
        <w:rPr>
          <w:rFonts w:ascii="Arial" w:cs="Arial" w:eastAsia="Arial" w:hAnsi="Arial"/>
          <w:sz w:val="20"/>
          <w:szCs w:val="20"/>
          <w:color w:val="auto"/>
        </w:rPr>
      </w:pPr>
    </w:p>
    <w:p>
      <w:pPr>
        <w:ind w:left="720" w:right="660" w:hanging="367"/>
        <w:spacing w:after="0" w:line="276"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factors we may not be able to control, including the impacts of the COVID-19 pandemic, that may limit patients, principal investigators or staff or clinical site availability.</w:t>
      </w:r>
    </w:p>
    <w:p>
      <w:pPr>
        <w:spacing w:after="0" w:line="17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Any results from early preclinical studies and clinical trials of bitopertin, DISC-0974, DISC-0998, MWTX-003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MWTX-003 has only been evaluated in pre-clinical models,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ectPr>
          <w:pgSz w:w="12240" w:h="15840" w:orient="portrait"/>
          <w:cols w:equalWidth="0" w:num="1">
            <w:col w:w="10400"/>
          </w:cols>
          <w:pgMar w:left="900" w:top="700" w:right="940" w:bottom="175"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400"/>
          </w:cols>
          <w:pgMar w:left="900" w:top="700" w:right="940" w:bottom="175" w:gutter="0" w:footer="0" w:header="0"/>
          <w:type w:val="continuous"/>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68"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19"/>
          <w:szCs w:val="19"/>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30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w:t>
      </w:r>
    </w:p>
    <w:p>
      <w:pPr>
        <w:sectPr>
          <w:pgSz w:w="12240" w:h="15840" w:orient="portrait"/>
          <w:cols w:equalWidth="0" w:num="1">
            <w:col w:w="10440"/>
          </w:cols>
          <w:pgMar w:left="900" w:top="700" w:right="900" w:bottom="175"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440"/>
          </w:cols>
          <w:pgMar w:left="900" w:top="700" w:right="900" w:bottom="175" w:gutter="0" w:footer="0" w:header="0"/>
          <w:type w:val="continuous"/>
        </w:sectPr>
      </w:pPr>
    </w:p>
    <w:bookmarkStart w:id="61" w:name="page62"/>
    <w:bookmarkEnd w:id="61"/>
    <w:p>
      <w:pPr>
        <w:ind w:right="420"/>
        <w:spacing w:after="0" w:line="252" w:lineRule="auto"/>
        <w:rPr>
          <w:sz w:val="20"/>
          <w:szCs w:val="20"/>
          <w:color w:val="auto"/>
        </w:rPr>
      </w:pPr>
      <w:r>
        <w:rPr>
          <w:rFonts w:ascii="Times New Roman" w:cs="Times New Roman" w:eastAsia="Times New Roman" w:hAnsi="Times New Roman"/>
          <w:sz w:val="20"/>
          <w:szCs w:val="20"/>
          <w:color w:val="auto"/>
        </w:rPr>
        <w:t>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07"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88" w:lineRule="exact"/>
        <w:rPr>
          <w:sz w:val="20"/>
          <w:szCs w:val="20"/>
          <w:color w:val="auto"/>
        </w:rPr>
      </w:pPr>
    </w:p>
    <w:p>
      <w:pPr>
        <w:ind w:left="720" w:hanging="367"/>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research methodology used may not be successful in identifying potential indications and/or product candidates;</w:t>
      </w:r>
    </w:p>
    <w:p>
      <w:pPr>
        <w:spacing w:after="0" w:line="133" w:lineRule="exact"/>
        <w:rPr>
          <w:rFonts w:ascii="Arial" w:cs="Arial" w:eastAsia="Arial" w:hAnsi="Arial"/>
          <w:sz w:val="20"/>
          <w:szCs w:val="20"/>
          <w:color w:val="auto"/>
        </w:rPr>
      </w:pPr>
    </w:p>
    <w:p>
      <w:pPr>
        <w:ind w:left="720" w:right="240" w:hanging="367"/>
        <w:spacing w:after="0" w:line="276"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candidates may, after further study, be shown to have harmful adverse effects or other characteristics that indicate they are unlikely to be effective products; or</w:t>
      </w:r>
    </w:p>
    <w:p>
      <w:pPr>
        <w:spacing w:after="0" w:line="64" w:lineRule="exact"/>
        <w:rPr>
          <w:rFonts w:ascii="Arial" w:cs="Arial" w:eastAsia="Arial" w:hAnsi="Arial"/>
          <w:sz w:val="20"/>
          <w:szCs w:val="20"/>
          <w:color w:val="auto"/>
        </w:rPr>
      </w:pPr>
    </w:p>
    <w:p>
      <w:pPr>
        <w:ind w:left="720" w:hanging="367"/>
        <w:spacing w:after="0" w:line="258"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7"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5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94"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8"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w:t>
      </w:r>
    </w:p>
    <w:p>
      <w:pPr>
        <w:sectPr>
          <w:pgSz w:w="12240" w:h="15840" w:orient="portrait"/>
          <w:cols w:equalWidth="0" w:num="1">
            <w:col w:w="10440"/>
          </w:cols>
          <w:pgMar w:left="900" w:top="700" w:right="900" w:bottom="175"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440"/>
          </w:cols>
          <w:pgMar w:left="900" w:top="700" w:right="900" w:bottom="175" w:gutter="0" w:footer="0" w:header="0"/>
          <w:type w:val="continuous"/>
        </w:sectPr>
      </w:pPr>
    </w:p>
    <w:bookmarkStart w:id="62" w:name="page63"/>
    <w:bookmarkEnd w:id="62"/>
    <w:p>
      <w:pPr>
        <w:ind w:right="40"/>
        <w:spacing w:after="0" w:line="243" w:lineRule="auto"/>
        <w:rPr>
          <w:sz w:val="20"/>
          <w:szCs w:val="20"/>
          <w:color w:val="auto"/>
        </w:rPr>
      </w:pPr>
      <w:r>
        <w:rPr>
          <w:rFonts w:ascii="Times New Roman" w:cs="Times New Roman" w:eastAsia="Times New Roman" w:hAnsi="Times New Roman"/>
          <w:sz w:val="20"/>
          <w:szCs w:val="20"/>
          <w:color w:val="auto"/>
        </w:rPr>
        <w:t>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relies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8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96" w:lineRule="exact"/>
        <w:rPr>
          <w:sz w:val="20"/>
          <w:szCs w:val="20"/>
          <w:color w:val="auto"/>
        </w:rPr>
      </w:pPr>
    </w:p>
    <w:p>
      <w:pPr>
        <w:ind w:left="720" w:right="320" w:hanging="367"/>
        <w:spacing w:after="0" w:line="276"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enroll a sufficient number of patients in our clinical trials;</w:t>
      </w:r>
    </w:p>
    <w:p>
      <w:pPr>
        <w:spacing w:after="0" w:line="133" w:lineRule="exact"/>
        <w:rPr>
          <w:rFonts w:ascii="Arial" w:cs="Arial" w:eastAsia="Arial" w:hAnsi="Arial"/>
          <w:sz w:val="20"/>
          <w:szCs w:val="20"/>
          <w:color w:val="auto"/>
        </w:rPr>
      </w:pPr>
    </w:p>
    <w:p>
      <w:pPr>
        <w:ind w:left="720" w:right="460" w:hanging="367"/>
        <w:spacing w:after="0" w:line="276"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product candidate is safe and effective for its proposed indication;</w:t>
      </w:r>
    </w:p>
    <w:p>
      <w:pPr>
        <w:spacing w:after="0" w:line="64" w:lineRule="exact"/>
        <w:rPr>
          <w:rFonts w:ascii="Arial" w:cs="Arial" w:eastAsia="Arial" w:hAnsi="Arial"/>
          <w:sz w:val="20"/>
          <w:szCs w:val="20"/>
          <w:color w:val="auto"/>
        </w:rPr>
      </w:pPr>
    </w:p>
    <w:p>
      <w:pPr>
        <w:ind w:left="720" w:right="120" w:hanging="367"/>
        <w:spacing w:after="0" w:line="276"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133" w:lineRule="exact"/>
        <w:rPr>
          <w:rFonts w:ascii="Arial" w:cs="Arial" w:eastAsia="Arial" w:hAnsi="Arial"/>
          <w:sz w:val="20"/>
          <w:szCs w:val="20"/>
          <w:color w:val="auto"/>
        </w:rPr>
      </w:pPr>
    </w:p>
    <w:p>
      <w:pPr>
        <w:ind w:left="720" w:right="500" w:hanging="367"/>
        <w:spacing w:after="0" w:line="276"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auto"/>
        </w:rPr>
      </w:pPr>
    </w:p>
    <w:p>
      <w:pPr>
        <w:ind w:left="720" w:right="380" w:hanging="367"/>
        <w:spacing w:after="0" w:line="276"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BLA or other submission or to obtain regulatory approval in the United States or elsewhere;</w:t>
      </w:r>
    </w:p>
    <w:p>
      <w:pPr>
        <w:spacing w:after="0" w:line="64" w:lineRule="exact"/>
        <w:rPr>
          <w:rFonts w:ascii="Arial" w:cs="Arial" w:eastAsia="Arial" w:hAnsi="Arial"/>
          <w:sz w:val="20"/>
          <w:szCs w:val="20"/>
          <w:color w:val="auto"/>
        </w:rPr>
      </w:pPr>
    </w:p>
    <w:p>
      <w:pPr>
        <w:ind w:left="720" w:right="280" w:hanging="367"/>
        <w:spacing w:after="0" w:line="304" w:lineRule="auto"/>
        <w:tabs>
          <w:tab w:leader="none" w:pos="72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39" w:lineRule="exact"/>
        <w:rPr>
          <w:rFonts w:ascii="Arial" w:cs="Arial" w:eastAsia="Arial" w:hAnsi="Arial"/>
          <w:sz w:val="19"/>
          <w:szCs w:val="19"/>
          <w:color w:val="auto"/>
        </w:rPr>
      </w:pPr>
    </w:p>
    <w:p>
      <w:pPr>
        <w:ind w:left="720" w:right="240" w:hanging="367"/>
        <w:spacing w:after="0" w:line="276"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such that our clinical data are insufficient for approval.</w:t>
      </w:r>
    </w:p>
    <w:p>
      <w:pPr>
        <w:spacing w:after="0" w:line="5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8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12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49" w:lineRule="exact"/>
        <w:rPr>
          <w:sz w:val="20"/>
          <w:szCs w:val="20"/>
          <w:color w:val="auto"/>
        </w:rPr>
      </w:pPr>
    </w:p>
    <w:p>
      <w:pPr>
        <w:ind w:right="100" w:firstLine="490"/>
        <w:spacing w:after="0" w:line="278" w:lineRule="auto"/>
        <w:rPr>
          <w:sz w:val="20"/>
          <w:szCs w:val="20"/>
          <w:color w:val="auto"/>
        </w:rPr>
      </w:pPr>
      <w:r>
        <w:rPr>
          <w:rFonts w:ascii="Times New Roman" w:cs="Times New Roman" w:eastAsia="Times New Roman" w:hAnsi="Times New Roman"/>
          <w:sz w:val="19"/>
          <w:szCs w:val="19"/>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w:t>
      </w:r>
    </w:p>
    <w:p>
      <w:pPr>
        <w:sectPr>
          <w:pgSz w:w="12240" w:h="15840" w:orient="portrait"/>
          <w:cols w:equalWidth="0" w:num="1">
            <w:col w:w="10400"/>
          </w:cols>
          <w:pgMar w:left="900" w:top="700" w:right="940" w:bottom="175" w:gutter="0" w:footer="0" w:header="0"/>
        </w:sect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400"/>
          </w:cols>
          <w:pgMar w:left="900" w:top="700" w:right="940" w:bottom="175" w:gutter="0" w:footer="0" w:header="0"/>
          <w:type w:val="continuous"/>
        </w:sectPr>
      </w:pPr>
    </w:p>
    <w:bookmarkStart w:id="63" w:name="page64"/>
    <w:bookmarkEnd w:id="63"/>
    <w:p>
      <w:pPr>
        <w:spacing w:after="0" w:line="260" w:lineRule="auto"/>
        <w:rPr>
          <w:sz w:val="20"/>
          <w:szCs w:val="20"/>
          <w:color w:val="auto"/>
        </w:rPr>
      </w:pPr>
      <w:r>
        <w:rPr>
          <w:rFonts w:ascii="Times New Roman" w:cs="Times New Roman" w:eastAsia="Times New Roman" w:hAnsi="Times New Roman"/>
          <w:sz w:val="19"/>
          <w:szCs w:val="19"/>
          <w:color w:val="auto"/>
        </w:rPr>
        <w:t>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8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200" w:lineRule="exact"/>
        <w:rPr>
          <w:sz w:val="20"/>
          <w:szCs w:val="20"/>
          <w:color w:val="auto"/>
        </w:rPr>
      </w:pPr>
    </w:p>
    <w:p>
      <w:pPr>
        <w:jc w:val="both"/>
        <w:ind w:right="7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6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and initiated a separate Phase 1b/2 clinical trial in the February 2023 in patients with non-dialysis dependent CKD and anemia. We are initially focused on developing MWTX-003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8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420"/>
          </w:cols>
          <w:pgMar w:left="900" w:top="700" w:right="920" w:bottom="175" w:gutter="0" w:footer="0" w:header="0"/>
          <w:type w:val="continuous"/>
        </w:sectPr>
      </w:pPr>
    </w:p>
    <w:bookmarkStart w:id="64" w:name="page65"/>
    <w:bookmarkEnd w:id="64"/>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91" w:lineRule="exact"/>
        <w:rPr>
          <w:sz w:val="20"/>
          <w:szCs w:val="20"/>
          <w:color w:val="auto"/>
        </w:rPr>
      </w:pPr>
    </w:p>
    <w:p>
      <w:pPr>
        <w:ind w:left="720" w:hanging="367"/>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of our current product candidates and any future product candidates;</w:t>
      </w:r>
    </w:p>
    <w:p>
      <w:pPr>
        <w:spacing w:after="0" w:line="133" w:lineRule="exact"/>
        <w:rPr>
          <w:rFonts w:ascii="Arial" w:cs="Arial" w:eastAsia="Arial" w:hAnsi="Arial"/>
          <w:sz w:val="20"/>
          <w:szCs w:val="20"/>
          <w:color w:val="auto"/>
        </w:rPr>
      </w:pPr>
    </w:p>
    <w:p>
      <w:pPr>
        <w:ind w:left="720" w:right="44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adverse events associated with our current product candidates and any future product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our product candidates are approved and the approved claims that we may make for the products;</w:t>
      </w:r>
    </w:p>
    <w:p>
      <w:pPr>
        <w:spacing w:after="0" w:line="64" w:lineRule="exact"/>
        <w:rPr>
          <w:rFonts w:ascii="Arial" w:cs="Arial" w:eastAsia="Arial" w:hAnsi="Arial"/>
          <w:sz w:val="20"/>
          <w:szCs w:val="20"/>
          <w:color w:val="auto"/>
        </w:rPr>
      </w:pPr>
    </w:p>
    <w:p>
      <w:pPr>
        <w:ind w:left="720" w:right="360" w:hanging="367"/>
        <w:spacing w:after="0" w:line="258"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81" w:lineRule="exact"/>
        <w:rPr>
          <w:rFonts w:ascii="Arial" w:cs="Arial" w:eastAsia="Arial" w:hAnsi="Arial"/>
          <w:sz w:val="20"/>
          <w:szCs w:val="20"/>
          <w:color w:val="auto"/>
        </w:rPr>
      </w:pPr>
    </w:p>
    <w:p>
      <w:pPr>
        <w:jc w:val="both"/>
        <w:ind w:left="720" w:right="380" w:hanging="367"/>
        <w:spacing w:after="0" w:line="258"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relative convenience and ease of administration of our current product candidates and any future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compared with the economic and clinical benefit of alternative treatments or therapies;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adequate coverage or reimbursement by third-party payors, including government healthcare programs such as Medicare and Medicaid and other healthcare payors;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concessions required by third-party payors to obtain coverage;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patients to pay out-of-pocket in the absence of adequate coverage and reimbursement;</w:t>
      </w:r>
    </w:p>
    <w:p>
      <w:pPr>
        <w:spacing w:after="0" w:line="133" w:lineRule="exact"/>
        <w:rPr>
          <w:rFonts w:ascii="Arial" w:cs="Arial" w:eastAsia="Arial" w:hAnsi="Arial"/>
          <w:sz w:val="20"/>
          <w:szCs w:val="20"/>
          <w:color w:val="auto"/>
        </w:rPr>
      </w:pPr>
    </w:p>
    <w:p>
      <w:pPr>
        <w:ind w:left="720" w:right="60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and strength of our marketing and distribution of our current product candidates and any future product candidates;</w:t>
      </w:r>
    </w:p>
    <w:p>
      <w:pPr>
        <w:spacing w:after="0" w:line="64" w:lineRule="exact"/>
        <w:rPr>
          <w:rFonts w:ascii="Arial" w:cs="Arial" w:eastAsia="Arial" w:hAnsi="Arial"/>
          <w:sz w:val="20"/>
          <w:szCs w:val="20"/>
          <w:color w:val="auto"/>
        </w:rPr>
      </w:pPr>
    </w:p>
    <w:p>
      <w:pPr>
        <w:ind w:left="720" w:right="2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safety, efficacy, and other potential advantages over, and availability of, alternative treatments already used or that may later be approved;</w:t>
      </w:r>
    </w:p>
    <w:p>
      <w:pPr>
        <w:sectPr>
          <w:pgSz w:w="12240" w:h="15840" w:orient="portrait"/>
          <w:cols w:equalWidth="0" w:num="1">
            <w:col w:w="10400"/>
          </w:cols>
          <w:pgMar w:left="900" w:top="700" w:right="9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400"/>
          </w:cols>
          <w:pgMar w:left="900" w:top="700" w:right="940" w:bottom="175" w:gutter="0" w:footer="0" w:header="0"/>
          <w:type w:val="continuous"/>
        </w:sectPr>
      </w:pPr>
    </w:p>
    <w:bookmarkStart w:id="65" w:name="page66"/>
    <w:bookmarkEnd w:id="65"/>
    <w:p>
      <w:pPr>
        <w:ind w:left="720" w:right="360" w:hanging="367"/>
        <w:spacing w:after="0" w:line="258"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81" w:lineRule="exact"/>
        <w:rPr>
          <w:rFonts w:ascii="Arial" w:cs="Arial" w:eastAsia="Arial" w:hAnsi="Arial"/>
          <w:sz w:val="20"/>
          <w:szCs w:val="20"/>
          <w:color w:val="auto"/>
        </w:rPr>
      </w:pPr>
    </w:p>
    <w:p>
      <w:pPr>
        <w:ind w:left="720" w:right="7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 of our current product candidates and any future product candidates, as well as competitive products;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offer our current product candidates and any future product candidates for sale at competitive prices;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and strength of our third-party manufacturer and supplier support;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of other new products;</w:t>
      </w:r>
    </w:p>
    <w:p>
      <w:pPr>
        <w:spacing w:after="0" w:line="133" w:lineRule="exact"/>
        <w:rPr>
          <w:rFonts w:ascii="Arial" w:cs="Arial" w:eastAsia="Arial" w:hAnsi="Arial"/>
          <w:sz w:val="20"/>
          <w:szCs w:val="20"/>
          <w:color w:val="auto"/>
        </w:rPr>
      </w:pPr>
    </w:p>
    <w:p>
      <w:pPr>
        <w:ind w:left="720" w:right="28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about our current product candidates and any future product candidates, or favorable publicity about competitive products; and</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liability claims.</w:t>
      </w:r>
    </w:p>
    <w:p>
      <w:pPr>
        <w:spacing w:after="0" w:line="11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Further, due to the COVID-19 pandemic, millions of individuals have lost or will be losing employer-based insurance coverage, which may adversely affect our ability to commercialize our products. It is unclear what effect, if any, the American Rescue Plan will have on the number of covered individuals.</w:t>
      </w:r>
    </w:p>
    <w:p>
      <w:pPr>
        <w:spacing w:after="0" w:line="82" w:lineRule="exact"/>
        <w:rPr>
          <w:sz w:val="20"/>
          <w:szCs w:val="20"/>
          <w:color w:val="auto"/>
        </w:rPr>
      </w:pPr>
    </w:p>
    <w:p>
      <w:pPr>
        <w:ind w:right="520" w:firstLine="490"/>
        <w:spacing w:after="0" w:line="258" w:lineRule="auto"/>
        <w:rPr>
          <w:sz w:val="20"/>
          <w:szCs w:val="20"/>
          <w:color w:val="auto"/>
        </w:rPr>
      </w:pPr>
      <w:r>
        <w:rPr>
          <w:rFonts w:ascii="Times New Roman" w:cs="Times New Roman" w:eastAsia="Times New Roman" w:hAnsi="Times New Roman"/>
          <w:sz w:val="20"/>
          <w:szCs w:val="20"/>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8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720" w:right="20" w:hanging="367"/>
        <w:spacing w:after="0" w:line="27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withdrawal of the product from the market, or voluntary or mandatory product recalls;</w:t>
      </w:r>
    </w:p>
    <w:p>
      <w:pPr>
        <w:spacing w:after="0" w:line="64" w:lineRule="exact"/>
        <w:rPr>
          <w:rFonts w:ascii="Arial" w:cs="Arial" w:eastAsia="Arial" w:hAnsi="Arial"/>
          <w:sz w:val="20"/>
          <w:szCs w:val="20"/>
          <w:color w:val="auto"/>
        </w:rPr>
      </w:pPr>
    </w:p>
    <w:p>
      <w:pPr>
        <w:ind w:left="720" w:right="560" w:hanging="367"/>
        <w:spacing w:after="0" w:line="27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sectPr>
          <w:pgSz w:w="12240" w:h="15840" w:orient="portrait"/>
          <w:cols w:equalWidth="0" w:num="1">
            <w:col w:w="10440"/>
          </w:cols>
          <w:pgMar w:left="900" w:top="714" w:right="900" w:bottom="175"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440"/>
          </w:cols>
          <w:pgMar w:left="900" w:top="714" w:right="900" w:bottom="175" w:gutter="0" w:footer="0" w:header="0"/>
          <w:type w:val="continuous"/>
        </w:sectPr>
      </w:pPr>
    </w:p>
    <w:bookmarkStart w:id="66" w:name="page67"/>
    <w:bookmarkEnd w:id="66"/>
    <w:p>
      <w:pPr>
        <w:ind w:left="720" w:right="100" w:hanging="367"/>
        <w:spacing w:after="0" w:line="276"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holds;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other regulatory enforcement action;</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1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DISC- 0974 in patients with anemia of MF or non-dialysis dependent CKD and anemia, our planned Phase 1 trial of MWTX-003, as well as any other product candidates that we develop. We may also rely on academic and private non-academic institutions to conduct and sponsor clinical trials relating to our product candidates, such as the planned clinical trial of bitopertin in DBA, which will be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8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80"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w:t>
      </w:r>
    </w:p>
    <w:p>
      <w:pPr>
        <w:sectPr>
          <w:pgSz w:w="12240" w:h="15840" w:orient="portrait"/>
          <w:cols w:equalWidth="0" w:num="1">
            <w:col w:w="10400"/>
          </w:cols>
          <w:pgMar w:left="900" w:top="714" w:right="940" w:bottom="175" w:gutter="0" w:footer="0" w:header="0"/>
        </w:sect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400"/>
          </w:cols>
          <w:pgMar w:left="900" w:top="714" w:right="940" w:bottom="175" w:gutter="0" w:footer="0" w:header="0"/>
          <w:type w:val="continuous"/>
        </w:sectPr>
      </w:pPr>
    </w:p>
    <w:bookmarkStart w:id="67" w:name="page68"/>
    <w:bookmarkEnd w:id="67"/>
    <w:p>
      <w:pPr>
        <w:ind w:right="80"/>
        <w:spacing w:after="0" w:line="258" w:lineRule="auto"/>
        <w:rPr>
          <w:sz w:val="20"/>
          <w:szCs w:val="20"/>
          <w:color w:val="auto"/>
        </w:rPr>
      </w:pPr>
      <w:r>
        <w:rPr>
          <w:rFonts w:ascii="Times New Roman" w:cs="Times New Roman" w:eastAsia="Times New Roman" w:hAnsi="Times New Roman"/>
          <w:sz w:val="19"/>
          <w:szCs w:val="19"/>
          <w:color w:val="auto"/>
        </w:rPr>
        <w:t>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1"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Although we designed our Phase 1b/2 clinical trials of DISC-0974 and ongoing Phase 2 clinical trials of bitopertin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94" w:lineRule="exact"/>
        <w:rPr>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have staffing difficulties;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fail to comply with contractual obligations;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regulatory compliance issues;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undergo changes in priorities or become financially distressed; or</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form relationships with other entities, some of which may be our competitors.</w:t>
      </w:r>
    </w:p>
    <w:p>
      <w:pPr>
        <w:spacing w:after="0" w:line="11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0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might not realize the anticipated benefits of our current collaborations with Mabwell or NIH, or any other collaborations we enter into in the future.</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Research, development, commercialization and/or strategic collaborations, including those that we have with Mabwell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NIH, are subject to numerous risks, which include the following:</w:t>
      </w:r>
    </w:p>
    <w:p>
      <w:pPr>
        <w:spacing w:after="0" w:line="106" w:lineRule="exact"/>
        <w:rPr>
          <w:sz w:val="20"/>
          <w:szCs w:val="20"/>
          <w:color w:val="auto"/>
        </w:rPr>
      </w:pPr>
    </w:p>
    <w:p>
      <w:pPr>
        <w:ind w:left="720" w:right="120" w:hanging="367"/>
        <w:spacing w:after="0" w:line="276"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4" w:lineRule="exact"/>
        <w:rPr>
          <w:rFonts w:ascii="Arial" w:cs="Arial" w:eastAsia="Arial" w:hAnsi="Arial"/>
          <w:sz w:val="20"/>
          <w:szCs w:val="20"/>
          <w:color w:val="auto"/>
        </w:rPr>
      </w:pPr>
    </w:p>
    <w:p>
      <w:pPr>
        <w:ind w:left="720" w:right="400" w:hanging="367"/>
        <w:spacing w:after="0" w:line="258"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81" w:lineRule="exact"/>
        <w:rPr>
          <w:rFonts w:ascii="Arial" w:cs="Arial" w:eastAsia="Arial" w:hAnsi="Arial"/>
          <w:sz w:val="20"/>
          <w:szCs w:val="20"/>
          <w:color w:val="auto"/>
        </w:rPr>
      </w:pPr>
    </w:p>
    <w:p>
      <w:pPr>
        <w:ind w:left="720" w:right="240" w:hanging="367"/>
        <w:spacing w:after="0" w:line="252"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440"/>
          </w:cols>
          <w:pgMar w:left="900" w:top="700" w:right="900" w:bottom="175" w:gutter="0" w:footer="0" w:header="0"/>
          <w:type w:val="continuous"/>
        </w:sectPr>
      </w:pPr>
    </w:p>
    <w:bookmarkStart w:id="68" w:name="page69"/>
    <w:bookmarkEnd w:id="68"/>
    <w:p>
      <w:pPr>
        <w:ind w:left="720" w:right="56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64" w:lineRule="exact"/>
        <w:rPr>
          <w:rFonts w:ascii="Arial" w:cs="Arial" w:eastAsia="Arial" w:hAnsi="Arial"/>
          <w:sz w:val="20"/>
          <w:szCs w:val="20"/>
          <w:color w:val="auto"/>
        </w:rPr>
      </w:pPr>
    </w:p>
    <w:p>
      <w:pPr>
        <w:ind w:left="720" w:right="40" w:hanging="367"/>
        <w:spacing w:after="0" w:line="258"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81" w:lineRule="exact"/>
        <w:rPr>
          <w:rFonts w:ascii="Arial" w:cs="Arial" w:eastAsia="Arial" w:hAnsi="Arial"/>
          <w:sz w:val="20"/>
          <w:szCs w:val="20"/>
          <w:color w:val="auto"/>
        </w:rPr>
      </w:pPr>
    </w:p>
    <w:p>
      <w:pPr>
        <w:ind w:left="720" w:right="6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64" w:lineRule="exact"/>
        <w:rPr>
          <w:rFonts w:ascii="Arial" w:cs="Arial" w:eastAsia="Arial" w:hAnsi="Arial"/>
          <w:sz w:val="20"/>
          <w:szCs w:val="20"/>
          <w:color w:val="auto"/>
        </w:rPr>
      </w:pPr>
    </w:p>
    <w:p>
      <w:pPr>
        <w:jc w:val="both"/>
        <w:ind w:left="720" w:right="400" w:hanging="367"/>
        <w:spacing w:after="0" w:line="304" w:lineRule="auto"/>
        <w:tabs>
          <w:tab w:leader="none" w:pos="7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39" w:lineRule="exact"/>
        <w:rPr>
          <w:rFonts w:ascii="Arial" w:cs="Arial" w:eastAsia="Arial" w:hAnsi="Arial"/>
          <w:sz w:val="19"/>
          <w:szCs w:val="19"/>
          <w:color w:val="auto"/>
        </w:rPr>
      </w:pPr>
    </w:p>
    <w:p>
      <w:pPr>
        <w:ind w:left="720" w:right="36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be in compliance with laws applicable to their activities under the collaboration, which could impact the collaboration and us;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might arise between a collaborator and us that could cause a delay or termination of the collaboration or result in costly litigation that diverts management attention and resources; and</w:t>
      </w:r>
    </w:p>
    <w:p>
      <w:pPr>
        <w:spacing w:after="0" w:line="64" w:lineRule="exact"/>
        <w:rPr>
          <w:rFonts w:ascii="Arial" w:cs="Arial" w:eastAsia="Arial" w:hAnsi="Arial"/>
          <w:sz w:val="20"/>
          <w:szCs w:val="20"/>
          <w:color w:val="auto"/>
        </w:rPr>
      </w:pPr>
    </w:p>
    <w:p>
      <w:pPr>
        <w:ind w:left="720" w:right="72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might be terminated, which could result in a need for additional capital to pursue further research, development and/or commercialization of our product candidates.</w:t>
      </w:r>
    </w:p>
    <w:p>
      <w:pPr>
        <w:spacing w:after="0" w:line="5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8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68"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7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7" w:lineRule="exact"/>
        <w:rPr>
          <w:sz w:val="20"/>
          <w:szCs w:val="20"/>
          <w:color w:val="auto"/>
        </w:rPr>
      </w:pPr>
    </w:p>
    <w:p>
      <w:pPr>
        <w:ind w:firstLine="490"/>
        <w:spacing w:after="0" w:line="270" w:lineRule="auto"/>
        <w:rPr>
          <w:sz w:val="20"/>
          <w:szCs w:val="20"/>
          <w:color w:val="auto"/>
        </w:rPr>
      </w:pPr>
      <w:r>
        <w:rPr>
          <w:rFonts w:ascii="Times New Roman" w:cs="Times New Roman" w:eastAsia="Times New Roman" w:hAnsi="Times New Roman"/>
          <w:sz w:val="19"/>
          <w:szCs w:val="19"/>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w:t>
      </w:r>
    </w:p>
    <w:p>
      <w:pPr>
        <w:sectPr>
          <w:pgSz w:w="12240" w:h="15840" w:orient="portrait"/>
          <w:cols w:equalWidth="0" w:num="1">
            <w:col w:w="10440"/>
          </w:cols>
          <w:pgMar w:left="900" w:top="714" w:right="900" w:bottom="175"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440"/>
          </w:cols>
          <w:pgMar w:left="900" w:top="714" w:right="900" w:bottom="175" w:gutter="0" w:footer="0" w:header="0"/>
          <w:type w:val="continuous"/>
        </w:sectPr>
      </w:pPr>
    </w:p>
    <w:bookmarkStart w:id="69" w:name="page70"/>
    <w:bookmarkEnd w:id="69"/>
    <w:p>
      <w:pPr>
        <w:jc w:val="both"/>
        <w:ind w:right="100"/>
        <w:spacing w:after="0" w:line="278" w:lineRule="auto"/>
        <w:rPr>
          <w:sz w:val="20"/>
          <w:szCs w:val="20"/>
          <w:color w:val="auto"/>
        </w:rPr>
      </w:pPr>
      <w:r>
        <w:rPr>
          <w:rFonts w:ascii="Times New Roman" w:cs="Times New Roman" w:eastAsia="Times New Roman" w:hAnsi="Times New Roman"/>
          <w:sz w:val="19"/>
          <w:szCs w:val="19"/>
          <w:color w:val="auto"/>
        </w:rPr>
        <w:t>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5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planned Phase 1 trial of MWTX-003,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planned Phase 1 trial of MWTX-003.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71"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93"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420"/>
          </w:cols>
          <w:pgMar w:left="900" w:top="700" w:right="920" w:bottom="175" w:gutter="0" w:footer="0" w:header="0"/>
          <w:type w:val="continuous"/>
        </w:sectPr>
      </w:pPr>
    </w:p>
    <w:bookmarkStart w:id="70" w:name="page71"/>
    <w:bookmarkEnd w:id="70"/>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We may be unable to establish any additional agreements with CDMOs or do so on acceptable terms. Reliance on CDMOs entails additional risks, including:</w:t>
      </w:r>
    </w:p>
    <w:p>
      <w:pPr>
        <w:spacing w:after="0" w:line="63" w:lineRule="exact"/>
        <w:rPr>
          <w:sz w:val="20"/>
          <w:szCs w:val="20"/>
          <w:color w:val="auto"/>
        </w:rPr>
      </w:pPr>
    </w:p>
    <w:p>
      <w:pPr>
        <w:ind w:left="720" w:hanging="367"/>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the third party for regulatory compliance and quality assurance;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119"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6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manufacturers could delay clinical development or regulatory approval. If our current CDMOs cannot perform as agreed, we may be required to replace such CDMOs. We may incur added costs and delays in identifying and qualifying any such replacement.</w:t>
      </w:r>
    </w:p>
    <w:p>
      <w:pPr>
        <w:spacing w:after="0" w:line="6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8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4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8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20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8"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auto"/>
        </w:rPr>
        <w:t>DISC-0974, DISC-0998, and MWTX-003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ectPr>
          <w:pgSz w:w="12240" w:h="15840" w:orient="portrait"/>
          <w:cols w:equalWidth="0" w:num="1">
            <w:col w:w="10420"/>
          </w:cols>
          <w:pgMar w:left="900" w:top="700" w:right="920" w:bottom="175"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420"/>
          </w:cols>
          <w:pgMar w:left="900" w:top="700" w:right="920" w:bottom="175" w:gutter="0" w:footer="0" w:header="0"/>
          <w:type w:val="continuous"/>
        </w:sectPr>
      </w:pPr>
    </w:p>
    <w:bookmarkStart w:id="71" w:name="page72"/>
    <w:bookmarkEnd w:id="71"/>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66" w:lineRule="exact"/>
        <w:rPr>
          <w:sz w:val="20"/>
          <w:szCs w:val="20"/>
          <w:color w:val="auto"/>
        </w:rPr>
      </w:pPr>
    </w:p>
    <w:p>
      <w:pPr>
        <w:ind w:right="40" w:firstLine="490"/>
        <w:spacing w:after="0" w:line="234"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MWTX-003,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2"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Therapeutics, Inc., or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ind w:right="140" w:firstLine="490"/>
        <w:spacing w:after="0" w:line="235" w:lineRule="auto"/>
        <w:rPr>
          <w:sz w:val="20"/>
          <w:szCs w:val="20"/>
          <w:color w:val="auto"/>
        </w:rPr>
      </w:pPr>
      <w:r>
        <w:rPr>
          <w:rFonts w:ascii="Times New Roman" w:cs="Times New Roman" w:eastAsia="Times New Roman" w:hAnsi="Times New Roman"/>
          <w:sz w:val="20"/>
          <w:szCs w:val="20"/>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MWTX-003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77" w:lineRule="exact"/>
        <w:rPr>
          <w:sz w:val="20"/>
          <w:szCs w:val="20"/>
          <w:color w:val="auto"/>
        </w:rPr>
      </w:pPr>
    </w:p>
    <w:p>
      <w:pPr>
        <w:ind w:right="40" w:firstLine="490"/>
        <w:spacing w:after="0" w:line="233" w:lineRule="auto"/>
        <w:rPr>
          <w:sz w:val="20"/>
          <w:szCs w:val="20"/>
          <w:color w:val="auto"/>
        </w:rPr>
      </w:pPr>
      <w:r>
        <w:rPr>
          <w:rFonts w:ascii="Times New Roman" w:cs="Times New Roman" w:eastAsia="Times New Roman" w:hAnsi="Times New Roman"/>
          <w:sz w:val="20"/>
          <w:szCs w:val="20"/>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ectPr>
          <w:pgSz w:w="12240" w:h="15840" w:orient="portrait"/>
          <w:cols w:equalWidth="0" w:num="1">
            <w:col w:w="10440"/>
          </w:cols>
          <w:pgMar w:left="900" w:top="700" w:right="900" w:bottom="175"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440"/>
          </w:cols>
          <w:pgMar w:left="900" w:top="700" w:right="900" w:bottom="175" w:gutter="0" w:footer="0" w:header="0"/>
          <w:type w:val="continuous"/>
        </w:sectPr>
      </w:pPr>
    </w:p>
    <w:bookmarkStart w:id="72" w:name="page73"/>
    <w:bookmarkEnd w:id="72"/>
    <w:p>
      <w:pPr>
        <w:ind w:firstLine="490"/>
        <w:spacing w:after="0" w:line="244" w:lineRule="auto"/>
        <w:rPr>
          <w:sz w:val="20"/>
          <w:szCs w:val="20"/>
          <w:color w:val="auto"/>
        </w:rPr>
      </w:pPr>
      <w:r>
        <w:rPr>
          <w:rFonts w:ascii="Times New Roman" w:cs="Times New Roman" w:eastAsia="Times New Roman" w:hAnsi="Times New Roman"/>
          <w:sz w:val="20"/>
          <w:szCs w:val="20"/>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2"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7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19"/>
          <w:szCs w:val="19"/>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316" w:lineRule="exact"/>
        <w:rPr>
          <w:sz w:val="20"/>
          <w:szCs w:val="20"/>
          <w:color w:val="auto"/>
        </w:rPr>
      </w:pPr>
    </w:p>
    <w:p>
      <w:pPr>
        <w:ind w:right="60" w:firstLine="490"/>
        <w:spacing w:after="0" w:line="236" w:lineRule="auto"/>
        <w:rPr>
          <w:sz w:val="20"/>
          <w:szCs w:val="20"/>
          <w:color w:val="auto"/>
        </w:rPr>
      </w:pPr>
      <w:r>
        <w:rPr>
          <w:rFonts w:ascii="Times New Roman" w:cs="Times New Roman" w:eastAsia="Times New Roman" w:hAnsi="Times New Roman"/>
          <w:sz w:val="20"/>
          <w:szCs w:val="20"/>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80"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0"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440"/>
          </w:cols>
          <w:pgMar w:left="900" w:top="700" w:right="900" w:bottom="175" w:gutter="0" w:footer="0" w:header="0"/>
          <w:type w:val="continuous"/>
        </w:sectPr>
      </w:pPr>
    </w:p>
    <w:bookmarkStart w:id="73" w:name="page74"/>
    <w:bookmarkEnd w:id="73"/>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80" w:lineRule="exact"/>
        <w:rPr>
          <w:sz w:val="20"/>
          <w:szCs w:val="20"/>
          <w:color w:val="auto"/>
        </w:rPr>
      </w:pPr>
    </w:p>
    <w:p>
      <w:pPr>
        <w:ind w:firstLine="490"/>
        <w:spacing w:after="0" w:line="265" w:lineRule="auto"/>
        <w:rPr>
          <w:sz w:val="20"/>
          <w:szCs w:val="20"/>
          <w:color w:val="auto"/>
        </w:rPr>
      </w:pPr>
      <w:r>
        <w:rPr>
          <w:rFonts w:ascii="Times New Roman" w:cs="Times New Roman" w:eastAsia="Times New Roman" w:hAnsi="Times New Roman"/>
          <w:sz w:val="19"/>
          <w:szCs w:val="19"/>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8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7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0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51"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19"/>
          <w:szCs w:val="19"/>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adequately protect and enforce our trade secrets, our business and competitive position would be harmed.</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86"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w:t>
      </w:r>
    </w:p>
    <w:p>
      <w:pPr>
        <w:sectPr>
          <w:pgSz w:w="12240" w:h="15840" w:orient="portrait"/>
          <w:cols w:equalWidth="0" w:num="1">
            <w:col w:w="10440"/>
          </w:cols>
          <w:pgMar w:left="900" w:top="700" w:right="900" w:bottom="175"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440"/>
          </w:cols>
          <w:pgMar w:left="900" w:top="700" w:right="900" w:bottom="175" w:gutter="0" w:footer="0" w:header="0"/>
          <w:type w:val="continuous"/>
        </w:sectPr>
      </w:pPr>
    </w:p>
    <w:bookmarkStart w:id="74" w:name="page75"/>
    <w:bookmarkEnd w:id="74"/>
    <w:p>
      <w:pPr>
        <w:spacing w:after="0" w:line="258" w:lineRule="auto"/>
        <w:rPr>
          <w:sz w:val="20"/>
          <w:szCs w:val="20"/>
          <w:color w:val="auto"/>
        </w:rPr>
      </w:pPr>
      <w:r>
        <w:rPr>
          <w:rFonts w:ascii="Times New Roman" w:cs="Times New Roman" w:eastAsia="Times New Roman" w:hAnsi="Times New Roman"/>
          <w:sz w:val="20"/>
          <w:szCs w:val="20"/>
          <w:color w:val="auto"/>
        </w:rPr>
        <w:t>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6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1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7"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19"/>
          <w:szCs w:val="19"/>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440"/>
          </w:cols>
          <w:pgMar w:left="900" w:top="700" w:right="900" w:bottom="175" w:gutter="0" w:footer="0" w:header="0"/>
          <w:type w:val="continuous"/>
        </w:sectPr>
      </w:pPr>
    </w:p>
    <w:bookmarkStart w:id="75" w:name="page76"/>
    <w:bookmarkEnd w:id="75"/>
    <w:p>
      <w:pPr>
        <w:ind w:right="940"/>
        <w:spacing w:after="0" w:line="277" w:lineRule="auto"/>
        <w:rPr>
          <w:sz w:val="20"/>
          <w:szCs w:val="20"/>
          <w:color w:val="auto"/>
        </w:rPr>
      </w:pPr>
      <w:r>
        <w:rPr>
          <w:rFonts w:ascii="Times New Roman" w:cs="Times New Roman" w:eastAsia="Times New Roman" w:hAnsi="Times New Roman"/>
          <w:sz w:val="20"/>
          <w:szCs w:val="20"/>
          <w:color w:val="auto"/>
        </w:rPr>
        <w:t>distract our management and other employees. We may not be able to prevent, misappropriation of our trade secrets or confidential information, particularly in countries where the laws may not protect those rights as fully as in the U.S.</w:t>
      </w:r>
    </w:p>
    <w:p>
      <w:pPr>
        <w:spacing w:after="0" w:line="4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0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7"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440"/>
          </w:cols>
          <w:pgMar w:left="900" w:top="700" w:right="900" w:bottom="175" w:gutter="0" w:footer="0" w:header="0"/>
          <w:type w:val="continuous"/>
        </w:sectPr>
      </w:pPr>
    </w:p>
    <w:bookmarkStart w:id="76" w:name="page77"/>
    <w:bookmarkEnd w:id="76"/>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If a third party claims that we infringe, misappropriate or otherwise violate its intellectual property rights, we may face a number of issues, including, but not limited to:</w:t>
      </w:r>
    </w:p>
    <w:p>
      <w:pPr>
        <w:spacing w:after="0" w:line="63" w:lineRule="exact"/>
        <w:rPr>
          <w:sz w:val="20"/>
          <w:szCs w:val="20"/>
          <w:color w:val="auto"/>
        </w:rPr>
      </w:pPr>
    </w:p>
    <w:p>
      <w:pPr>
        <w:ind w:left="720" w:right="180" w:hanging="367"/>
        <w:spacing w:after="0" w:line="258"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81" w:lineRule="exact"/>
        <w:rPr>
          <w:rFonts w:ascii="Arial" w:cs="Arial" w:eastAsia="Arial" w:hAnsi="Arial"/>
          <w:sz w:val="20"/>
          <w:szCs w:val="20"/>
          <w:color w:val="auto"/>
        </w:rPr>
      </w:pPr>
    </w:p>
    <w:p>
      <w:pPr>
        <w:ind w:left="720" w:right="80" w:hanging="367"/>
        <w:spacing w:after="0" w:line="252"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7" w:lineRule="exact"/>
        <w:rPr>
          <w:rFonts w:ascii="Arial" w:cs="Arial" w:eastAsia="Arial" w:hAnsi="Arial"/>
          <w:sz w:val="20"/>
          <w:szCs w:val="20"/>
          <w:color w:val="auto"/>
        </w:rPr>
      </w:pPr>
    </w:p>
    <w:p>
      <w:pPr>
        <w:ind w:left="720" w:right="80" w:hanging="367"/>
        <w:spacing w:after="0" w:line="252"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current product candidates, including bitopertin, DISC-0974 and MWTX-003, or future product candidates, or from using our proprietary technologies, unless the third-party licenses its product rights to us, which we are not required to do, on commercially reasonable terms or at all;</w:t>
      </w:r>
    </w:p>
    <w:p>
      <w:pPr>
        <w:spacing w:after="0" w:line="87" w:lineRule="exact"/>
        <w:rPr>
          <w:rFonts w:ascii="Arial" w:cs="Arial" w:eastAsia="Arial" w:hAnsi="Arial"/>
          <w:sz w:val="20"/>
          <w:szCs w:val="20"/>
          <w:color w:val="auto"/>
        </w:rPr>
      </w:pPr>
    </w:p>
    <w:p>
      <w:pPr>
        <w:jc w:val="both"/>
        <w:ind w:left="720" w:right="420" w:hanging="367"/>
        <w:spacing w:after="0" w:line="258"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81" w:lineRule="exact"/>
        <w:rPr>
          <w:rFonts w:ascii="Arial" w:cs="Arial" w:eastAsia="Arial" w:hAnsi="Arial"/>
          <w:sz w:val="20"/>
          <w:szCs w:val="20"/>
          <w:color w:val="auto"/>
        </w:rPr>
      </w:pPr>
    </w:p>
    <w:p>
      <w:pPr>
        <w:jc w:val="both"/>
        <w:ind w:left="720" w:right="60" w:hanging="367"/>
        <w:spacing w:after="0" w:line="258"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81" w:lineRule="exact"/>
        <w:rPr>
          <w:rFonts w:ascii="Arial" w:cs="Arial" w:eastAsia="Arial" w:hAnsi="Arial"/>
          <w:sz w:val="20"/>
          <w:szCs w:val="20"/>
          <w:color w:val="auto"/>
        </w:rPr>
      </w:pPr>
    </w:p>
    <w:p>
      <w:pPr>
        <w:jc w:val="both"/>
        <w:ind w:left="720" w:right="200" w:hanging="367"/>
        <w:spacing w:after="0" w:line="258"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67"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6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440"/>
          </w:cols>
          <w:pgMar w:left="900" w:top="700" w:right="900" w:bottom="175" w:gutter="0" w:footer="0" w:header="0"/>
          <w:type w:val="continuous"/>
        </w:sectPr>
      </w:pPr>
    </w:p>
    <w:bookmarkStart w:id="77" w:name="page78"/>
    <w:bookmarkEnd w:id="77"/>
    <w:p>
      <w:pPr>
        <w:ind w:right="20"/>
        <w:spacing w:after="0" w:line="241" w:lineRule="auto"/>
        <w:rPr>
          <w:sz w:val="20"/>
          <w:szCs w:val="20"/>
          <w:color w:val="auto"/>
        </w:rPr>
      </w:pPr>
      <w:r>
        <w:rPr>
          <w:rFonts w:ascii="Times New Roman" w:cs="Times New Roman" w:eastAsia="Times New Roman" w:hAnsi="Times New Roman"/>
          <w:sz w:val="20"/>
          <w:szCs w:val="20"/>
          <w:color w:val="auto"/>
        </w:rPr>
        <w:t>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10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72"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440"/>
          </w:cols>
          <w:pgMar w:left="900" w:top="700" w:right="900" w:bottom="175" w:gutter="0" w:footer="0" w:header="0"/>
          <w:type w:val="continuous"/>
        </w:sectPr>
      </w:pPr>
    </w:p>
    <w:bookmarkStart w:id="78" w:name="page79"/>
    <w:bookmarkEnd w:id="78"/>
    <w:p>
      <w:pPr>
        <w:ind w:right="560"/>
        <w:spacing w:after="0" w:line="277" w:lineRule="auto"/>
        <w:rPr>
          <w:sz w:val="20"/>
          <w:szCs w:val="20"/>
          <w:color w:val="auto"/>
        </w:rPr>
      </w:pPr>
      <w:r>
        <w:rPr>
          <w:rFonts w:ascii="Times New Roman" w:cs="Times New Roman" w:eastAsia="Times New Roman" w:hAnsi="Times New Roman"/>
          <w:sz w:val="20"/>
          <w:szCs w:val="20"/>
          <w:color w:val="auto"/>
        </w:rPr>
        <w:t>the world may be inadequate to obtain a significant commercial advantage from the intellectual property that we develop or license.</w:t>
      </w:r>
    </w:p>
    <w:p>
      <w:pPr>
        <w:spacing w:after="0" w:line="4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obtain or grant licenses or sublicenses to intellectual property rights in all markets on equally or sufficiently favorable terms with third parties.</w:t>
      </w:r>
    </w:p>
    <w:p>
      <w:pPr>
        <w:spacing w:after="0" w:line="4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80" w:lineRule="exact"/>
        <w:rPr>
          <w:sz w:val="20"/>
          <w:szCs w:val="20"/>
          <w:color w:val="auto"/>
        </w:rPr>
      </w:pPr>
    </w:p>
    <w:p>
      <w:pPr>
        <w:ind w:right="720" w:firstLine="490"/>
        <w:spacing w:after="0" w:line="277" w:lineRule="auto"/>
        <w:rPr>
          <w:sz w:val="20"/>
          <w:szCs w:val="20"/>
          <w:color w:val="auto"/>
        </w:rPr>
      </w:pPr>
      <w:r>
        <w:rPr>
          <w:rFonts w:ascii="Times New Roman" w:cs="Times New Roman" w:eastAsia="Times New Roman" w:hAnsi="Times New Roman"/>
          <w:sz w:val="20"/>
          <w:szCs w:val="20"/>
          <w:color w:val="auto"/>
        </w:rPr>
        <w:t>Disputes may also arise between us and our licensors regarding intellectual property subject to a license agreement, including:</w:t>
      </w:r>
    </w:p>
    <w:p>
      <w:pPr>
        <w:spacing w:after="0" w:line="63" w:lineRule="exact"/>
        <w:rPr>
          <w:sz w:val="20"/>
          <w:szCs w:val="20"/>
          <w:color w:val="auto"/>
        </w:rPr>
      </w:pPr>
    </w:p>
    <w:p>
      <w:pPr>
        <w:ind w:left="720" w:hanging="367"/>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3" w:lineRule="exact"/>
        <w:rPr>
          <w:rFonts w:ascii="Arial" w:cs="Arial" w:eastAsia="Arial" w:hAnsi="Arial"/>
          <w:sz w:val="20"/>
          <w:szCs w:val="20"/>
          <w:color w:val="auto"/>
        </w:rPr>
      </w:pPr>
    </w:p>
    <w:p>
      <w:pPr>
        <w:ind w:left="720" w:right="200" w:hanging="367"/>
        <w:spacing w:after="0" w:line="276"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our technology and processes infringe, misappropriate or otherwise violate intellectual property rights of the licensor that is not subject to the licensing agreement;</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sublicense patent and other rights to third parties under collaborative development relationships;</w:t>
      </w:r>
    </w:p>
    <w:p>
      <w:pPr>
        <w:spacing w:after="0" w:line="133" w:lineRule="exact"/>
        <w:rPr>
          <w:rFonts w:ascii="Arial" w:cs="Arial" w:eastAsia="Arial" w:hAnsi="Arial"/>
          <w:sz w:val="20"/>
          <w:szCs w:val="20"/>
          <w:color w:val="auto"/>
        </w:rPr>
      </w:pPr>
    </w:p>
    <w:p>
      <w:pPr>
        <w:ind w:left="720" w:right="360" w:hanging="367"/>
        <w:spacing w:after="0" w:line="304" w:lineRule="auto"/>
        <w:tabs>
          <w:tab w:leader="none" w:pos="72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39" w:lineRule="exact"/>
        <w:rPr>
          <w:rFonts w:ascii="Arial" w:cs="Arial" w:eastAsia="Arial" w:hAnsi="Arial"/>
          <w:sz w:val="19"/>
          <w:szCs w:val="19"/>
          <w:color w:val="auto"/>
        </w:rPr>
      </w:pPr>
    </w:p>
    <w:p>
      <w:pPr>
        <w:ind w:left="720" w:hanging="367"/>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priority of invention of any patented technology; and</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440"/>
          </w:cols>
          <w:pgMar w:left="900" w:top="700" w:right="900" w:bottom="175" w:gutter="0" w:footer="0" w:header="0"/>
          <w:type w:val="continuous"/>
        </w:sectPr>
      </w:pPr>
    </w:p>
    <w:bookmarkStart w:id="79" w:name="page80"/>
    <w:bookmarkEnd w:id="79"/>
    <w:p>
      <w:pPr>
        <w:ind w:left="720" w:right="60" w:hanging="367"/>
        <w:spacing w:after="0" w:line="276"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current or future licensors and us and our partners.</w:t>
      </w:r>
    </w:p>
    <w:p>
      <w:pPr>
        <w:spacing w:after="0" w:line="5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7"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ectPr>
          <w:pgSz w:w="12240" w:h="15840" w:orient="portrait"/>
          <w:cols w:equalWidth="0" w:num="1">
            <w:col w:w="10440"/>
          </w:cols>
          <w:pgMar w:left="900" w:top="71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440"/>
          </w:cols>
          <w:pgMar w:left="900" w:top="714" w:right="900" w:bottom="175" w:gutter="0" w:footer="0" w:header="0"/>
          <w:type w:val="continuous"/>
        </w:sectPr>
      </w:pPr>
    </w:p>
    <w:bookmarkStart w:id="80" w:name="page81"/>
    <w:bookmarkEnd w:id="80"/>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could diminish the value of patents in general, thereby impairing our ability to protect our current or future product candidates.</w:t>
      </w:r>
    </w:p>
    <w:p>
      <w:pPr>
        <w:spacing w:after="0" w:line="49"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ectPr>
          <w:pgSz w:w="12240" w:h="15840" w:orient="portrait"/>
          <w:cols w:equalWidth="0" w:num="1">
            <w:col w:w="10380"/>
          </w:cols>
          <w:pgMar w:left="900" w:top="700" w:right="9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380"/>
          </w:cols>
          <w:pgMar w:left="900" w:top="700" w:right="960" w:bottom="175" w:gutter="0" w:footer="0" w:header="0"/>
          <w:type w:val="continuous"/>
        </w:sectPr>
      </w:pPr>
    </w:p>
    <w:bookmarkStart w:id="81" w:name="page82"/>
    <w:bookmarkEnd w:id="81"/>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49"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91" w:lineRule="exact"/>
        <w:rPr>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patent applications that we own or may in-license may not lead to issued patents;</w:t>
      </w:r>
    </w:p>
    <w:p>
      <w:pPr>
        <w:spacing w:after="0" w:line="133" w:lineRule="exact"/>
        <w:rPr>
          <w:rFonts w:ascii="Arial" w:cs="Arial" w:eastAsia="Arial" w:hAnsi="Arial"/>
          <w:sz w:val="20"/>
          <w:szCs w:val="20"/>
          <w:color w:val="auto"/>
        </w:rPr>
      </w:pPr>
    </w:p>
    <w:p>
      <w:pPr>
        <w:ind w:left="720" w:right="12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patents, should they issue, that we may own or in-license, may not provide us with any competitive advantages, may be narrowed in scope, or may be challenged and held invalid or unenforceable;</w:t>
      </w:r>
    </w:p>
    <w:p>
      <w:pPr>
        <w:spacing w:after="0" w:line="64" w:lineRule="exact"/>
        <w:rPr>
          <w:rFonts w:ascii="Arial" w:cs="Arial" w:eastAsia="Arial" w:hAnsi="Arial"/>
          <w:sz w:val="20"/>
          <w:szCs w:val="20"/>
          <w:color w:val="auto"/>
        </w:rPr>
      </w:pPr>
    </w:p>
    <w:p>
      <w:pPr>
        <w:ind w:left="720" w:right="200" w:hanging="367"/>
        <w:spacing w:after="0" w:line="258"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parties may compete with us in jurisdictions where we do not pursue and obtain patent protection;</w:t>
      </w:r>
    </w:p>
    <w:p>
      <w:pPr>
        <w:spacing w:after="0" w:line="133" w:lineRule="exact"/>
        <w:rPr>
          <w:rFonts w:ascii="Arial" w:cs="Arial" w:eastAsia="Arial" w:hAnsi="Arial"/>
          <w:sz w:val="20"/>
          <w:szCs w:val="20"/>
          <w:color w:val="auto"/>
        </w:rPr>
      </w:pPr>
    </w:p>
    <w:p>
      <w:pPr>
        <w:ind w:left="720" w:right="10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or collaborators, might not have been the first to make the inventions covered by a patent application that we own or may in-license;</w:t>
      </w:r>
    </w:p>
    <w:p>
      <w:pPr>
        <w:spacing w:after="0" w:line="64" w:lineRule="exact"/>
        <w:rPr>
          <w:rFonts w:ascii="Arial" w:cs="Arial" w:eastAsia="Arial" w:hAnsi="Arial"/>
          <w:sz w:val="20"/>
          <w:szCs w:val="20"/>
          <w:color w:val="auto"/>
        </w:rPr>
      </w:pPr>
    </w:p>
    <w:p>
      <w:pPr>
        <w:ind w:left="720" w:right="8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or collaborators, might not have been the first to file patent applications covering a particular invention;</w:t>
      </w:r>
    </w:p>
    <w:p>
      <w:pPr>
        <w:spacing w:after="0" w:line="64" w:lineRule="exact"/>
        <w:rPr>
          <w:rFonts w:ascii="Arial" w:cs="Arial" w:eastAsia="Arial" w:hAnsi="Arial"/>
          <w:sz w:val="20"/>
          <w:szCs w:val="20"/>
          <w:color w:val="auto"/>
        </w:rPr>
      </w:pPr>
    </w:p>
    <w:p>
      <w:pPr>
        <w:ind w:left="720" w:right="14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without infringing, misappropriating or otherwise violating our intellectual property rights;</w:t>
      </w:r>
    </w:p>
    <w:p>
      <w:pPr>
        <w:spacing w:after="0" w:line="64" w:lineRule="exact"/>
        <w:rPr>
          <w:rFonts w:ascii="Arial" w:cs="Arial" w:eastAsia="Arial" w:hAnsi="Arial"/>
          <w:sz w:val="20"/>
          <w:szCs w:val="20"/>
          <w:color w:val="auto"/>
        </w:rPr>
      </w:pPr>
    </w:p>
    <w:p>
      <w:pPr>
        <w:ind w:left="720" w:right="40" w:hanging="367"/>
        <w:spacing w:after="0" w:line="252"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87" w:lineRule="exact"/>
        <w:rPr>
          <w:rFonts w:ascii="Arial" w:cs="Arial" w:eastAsia="Arial" w:hAnsi="Arial"/>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and/or maintain necessary licenses on reasonable terms or at all;</w:t>
      </w:r>
    </w:p>
    <w:p>
      <w:pPr>
        <w:spacing w:after="0" w:line="133" w:lineRule="exact"/>
        <w:rPr>
          <w:rFonts w:ascii="Arial" w:cs="Arial" w:eastAsia="Arial" w:hAnsi="Arial"/>
          <w:sz w:val="20"/>
          <w:szCs w:val="20"/>
          <w:color w:val="auto"/>
        </w:rPr>
      </w:pPr>
    </w:p>
    <w:p>
      <w:pPr>
        <w:ind w:left="720" w:right="14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parties may assert an ownership interest in our intellectual property and, if successful, such disputes may preclude us from exercising exclusive rights, or any rights at all, over that intellectual property;</w:t>
      </w:r>
    </w:p>
    <w:p>
      <w:pPr>
        <w:spacing w:after="0" w:line="64" w:lineRule="exact"/>
        <w:rPr>
          <w:rFonts w:ascii="Arial" w:cs="Arial" w:eastAsia="Arial" w:hAnsi="Arial"/>
          <w:sz w:val="20"/>
          <w:szCs w:val="20"/>
          <w:color w:val="auto"/>
        </w:rPr>
      </w:pPr>
    </w:p>
    <w:p>
      <w:pPr>
        <w:ind w:left="720" w:right="72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third-party may subsequently file a patent covering such trade secrets or know-how;</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maintain the confidentiality of our trade secrets or other proprietary information;</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or in-license additional proprietary technologies that are patentable;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119"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auto"/>
        </w:rPr>
        <w:t>Should any of these events occur, they could significantly harm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2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ectPr>
          <w:pgSz w:w="12240" w:h="15840" w:orient="portrait"/>
          <w:cols w:equalWidth="0" w:num="1">
            <w:col w:w="10400"/>
          </w:cols>
          <w:pgMar w:left="900" w:top="700" w:right="940" w:bottom="175"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400"/>
          </w:cols>
          <w:pgMar w:left="900" w:top="700" w:right="940" w:bottom="175" w:gutter="0" w:footer="0" w:header="0"/>
          <w:type w:val="continuous"/>
        </w:sectPr>
      </w:pPr>
    </w:p>
    <w:bookmarkStart w:id="82" w:name="page83"/>
    <w:bookmarkEnd w:id="82"/>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20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4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0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have received orphan drug designation from the FDA for bitopertin for the treatment of EPP.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8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440"/>
          </w:cols>
          <w:pgMar w:left="900" w:top="700" w:right="900" w:bottom="175" w:gutter="0" w:footer="0" w:header="0"/>
          <w:type w:val="continuous"/>
        </w:sectPr>
      </w:pPr>
    </w:p>
    <w:bookmarkStart w:id="83" w:name="page84"/>
    <w:bookmarkEnd w:id="83"/>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9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rare pediatric disease designation for bitopertin. However, a marketing application for bitopertin, if approved, may not meet the eligibility criteria for a rare pediatric disease priority review voucher.</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9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8" w:lineRule="exact"/>
        <w:rPr>
          <w:sz w:val="20"/>
          <w:szCs w:val="20"/>
          <w:color w:val="auto"/>
        </w:rPr>
      </w:pPr>
    </w:p>
    <w:p>
      <w:pPr>
        <w:ind w:right="180" w:firstLine="490"/>
        <w:spacing w:after="0" w:line="278" w:lineRule="auto"/>
        <w:rPr>
          <w:sz w:val="20"/>
          <w:szCs w:val="20"/>
          <w:color w:val="auto"/>
        </w:rPr>
      </w:pPr>
      <w:r>
        <w:rPr>
          <w:rFonts w:ascii="Times New Roman" w:cs="Times New Roman" w:eastAsia="Times New Roman" w:hAnsi="Times New Roman"/>
          <w:sz w:val="19"/>
          <w:szCs w:val="19"/>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w:t>
      </w:r>
    </w:p>
    <w:p>
      <w:pPr>
        <w:sectPr>
          <w:pgSz w:w="12240" w:h="15840" w:orient="portrait"/>
          <w:cols w:equalWidth="0" w:num="1">
            <w:col w:w="10440"/>
          </w:cols>
          <w:pgMar w:left="900" w:top="700" w:right="900" w:bottom="175"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440"/>
          </w:cols>
          <w:pgMar w:left="900" w:top="700" w:right="900" w:bottom="175" w:gutter="0" w:footer="0" w:header="0"/>
          <w:type w:val="continuous"/>
        </w:sectPr>
      </w:pPr>
    </w:p>
    <w:bookmarkStart w:id="84" w:name="page85"/>
    <w:bookmarkEnd w:id="84"/>
    <w:p>
      <w:pPr>
        <w:ind w:right="80"/>
        <w:spacing w:after="0" w:line="249" w:lineRule="auto"/>
        <w:rPr>
          <w:sz w:val="20"/>
          <w:szCs w:val="20"/>
          <w:color w:val="auto"/>
        </w:rPr>
      </w:pPr>
      <w:r>
        <w:rPr>
          <w:rFonts w:ascii="Times New Roman" w:cs="Times New Roman" w:eastAsia="Times New Roman" w:hAnsi="Times New Roman"/>
          <w:sz w:val="20"/>
          <w:szCs w:val="20"/>
          <w:color w:val="auto"/>
        </w:rPr>
        <w:t>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9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21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68"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8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8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440"/>
          </w:cols>
          <w:pgMar w:left="900" w:top="700" w:right="900" w:bottom="175" w:gutter="0" w:footer="0" w:header="0"/>
          <w:type w:val="continuous"/>
        </w:sectPr>
      </w:pPr>
    </w:p>
    <w:bookmarkStart w:id="85" w:name="page86"/>
    <w:bookmarkEnd w:id="85"/>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4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3"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20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49"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i w:val="1"/>
          <w:iCs w:val="1"/>
          <w:color w:val="auto"/>
        </w:rPr>
        <w:t>The FDA and other regulatory agencies actively enforce the laws and regulations prohibiting the promotion of off-label uses.</w:t>
      </w:r>
    </w:p>
    <w:p>
      <w:pPr>
        <w:spacing w:after="0" w:line="13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420"/>
          </w:cols>
          <w:pgMar w:left="900" w:top="700" w:right="920" w:bottom="175" w:gutter="0" w:footer="0" w:header="0"/>
          <w:type w:val="continuous"/>
        </w:sectPr>
      </w:pPr>
    </w:p>
    <w:bookmarkStart w:id="86" w:name="page87"/>
    <w:bookmarkEnd w:id="86"/>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0"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19"/>
          <w:szCs w:val="19"/>
          <w:color w:val="auto"/>
        </w:rPr>
        <w:t>Separately, in response to the COVID-19 pandemic, since March 2020 when foreign and domestic inspections of facilities were largely placed on hold, the FDA has been working to resume pre-pandemic levels of inspection activities, including routine surveillance, bioresearch monitoring and pre-approval inspections. Should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legislative reform measures may have a material adverse effect on our business and results of operations.</w:t>
      </w:r>
    </w:p>
    <w:p>
      <w:pPr>
        <w:spacing w:after="0" w:line="12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101"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Since the ACA's enactment, there have been numerous judicial, administrative, executive, and legislative challenges to certain aspects of the ACA and we expect that there will be additional challenges and amendments to the ACA in the future. On June 17, 2021, the U.S. Supreme Court dismissed the most recent judicial challenge to the ACA brought by several states without</w:t>
      </w:r>
    </w:p>
    <w:p>
      <w:pPr>
        <w:sectPr>
          <w:pgSz w:w="12240" w:h="15840" w:orient="portrait"/>
          <w:cols w:equalWidth="0" w:num="1">
            <w:col w:w="10420"/>
          </w:cols>
          <w:pgMar w:left="900" w:top="700" w:right="920" w:bottom="175"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420"/>
          </w:cols>
          <w:pgMar w:left="900" w:top="700" w:right="920" w:bottom="175" w:gutter="0" w:footer="0" w:header="0"/>
          <w:type w:val="continuous"/>
        </w:sectPr>
      </w:pPr>
    </w:p>
    <w:bookmarkStart w:id="87" w:name="page88"/>
    <w:bookmarkEnd w:id="87"/>
    <w:p>
      <w:pPr>
        <w:ind w:left="7" w:right="40"/>
        <w:spacing w:after="0" w:line="261" w:lineRule="auto"/>
        <w:rPr>
          <w:sz w:val="20"/>
          <w:szCs w:val="20"/>
          <w:color w:val="auto"/>
        </w:rPr>
      </w:pPr>
      <w:r>
        <w:rPr>
          <w:rFonts w:ascii="Times New Roman" w:cs="Times New Roman" w:eastAsia="Times New Roman" w:hAnsi="Times New Roman"/>
          <w:sz w:val="19"/>
          <w:szCs w:val="19"/>
          <w:color w:val="auto"/>
        </w:rPr>
        <w:t>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67" w:lineRule="exact"/>
        <w:rPr>
          <w:sz w:val="20"/>
          <w:szCs w:val="20"/>
          <w:color w:val="auto"/>
        </w:rPr>
      </w:pPr>
    </w:p>
    <w:p>
      <w:pPr>
        <w:ind w:left="7" w:right="300" w:firstLine="490"/>
        <w:spacing w:after="0" w:line="277" w:lineRule="auto"/>
        <w:rPr>
          <w:sz w:val="20"/>
          <w:szCs w:val="20"/>
          <w:color w:val="auto"/>
        </w:rPr>
      </w:pPr>
      <w:r>
        <w:rPr>
          <w:rFonts w:ascii="Times New Roman" w:cs="Times New Roman" w:eastAsia="Times New Roman" w:hAnsi="Times New Roman"/>
          <w:sz w:val="20"/>
          <w:szCs w:val="20"/>
          <w:color w:val="auto"/>
        </w:rPr>
        <w:t>In addition, other legislative and regulatory changes have been proposed and adopted in the United States since the ACA was enacted:</w:t>
      </w:r>
    </w:p>
    <w:p>
      <w:pPr>
        <w:spacing w:after="0" w:line="63" w:lineRule="exact"/>
        <w:rPr>
          <w:sz w:val="20"/>
          <w:szCs w:val="20"/>
          <w:color w:val="auto"/>
        </w:rPr>
      </w:pPr>
    </w:p>
    <w:p>
      <w:pPr>
        <w:jc w:val="both"/>
        <w:ind w:left="987" w:right="20" w:hanging="498"/>
        <w:spacing w:after="0" w:line="249" w:lineRule="auto"/>
        <w:tabs>
          <w:tab w:leader="none" w:pos="987"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On August 2, 2011, the U.S. Budget Control Act of 2011, among other things, included aggregate reductions of Medicare payments to providers of 2% per fiscal year, which will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90" w:lineRule="exact"/>
        <w:rPr>
          <w:rFonts w:ascii="Arial" w:cs="Arial" w:eastAsia="Arial" w:hAnsi="Arial"/>
          <w:sz w:val="20"/>
          <w:szCs w:val="20"/>
          <w:color w:val="auto"/>
        </w:rPr>
      </w:pPr>
    </w:p>
    <w:p>
      <w:pPr>
        <w:jc w:val="both"/>
        <w:ind w:left="987" w:right="20" w:hanging="498"/>
        <w:spacing w:after="0" w:line="258" w:lineRule="auto"/>
        <w:tabs>
          <w:tab w:leader="none" w:pos="987"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On January 2, 2013, the U.S.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81" w:lineRule="exact"/>
        <w:rPr>
          <w:rFonts w:ascii="Arial" w:cs="Arial" w:eastAsia="Arial" w:hAnsi="Arial"/>
          <w:sz w:val="20"/>
          <w:szCs w:val="20"/>
          <w:color w:val="auto"/>
        </w:rPr>
      </w:pPr>
    </w:p>
    <w:p>
      <w:pPr>
        <w:jc w:val="both"/>
        <w:ind w:left="987" w:hanging="498"/>
        <w:spacing w:after="0" w:line="258" w:lineRule="auto"/>
        <w:tabs>
          <w:tab w:leader="none" w:pos="987"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1" w:lineRule="exact"/>
        <w:rPr>
          <w:rFonts w:ascii="Arial" w:cs="Arial" w:eastAsia="Arial" w:hAnsi="Arial"/>
          <w:sz w:val="20"/>
          <w:szCs w:val="20"/>
          <w:color w:val="auto"/>
        </w:rPr>
      </w:pPr>
    </w:p>
    <w:p>
      <w:pPr>
        <w:jc w:val="both"/>
        <w:ind w:left="987" w:right="20" w:hanging="498"/>
        <w:spacing w:after="0" w:line="247" w:lineRule="auto"/>
        <w:tabs>
          <w:tab w:leader="none" w:pos="987"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93" w:lineRule="exact"/>
        <w:rPr>
          <w:rFonts w:ascii="Arial" w:cs="Arial" w:eastAsia="Arial" w:hAnsi="Arial"/>
          <w:sz w:val="20"/>
          <w:szCs w:val="20"/>
          <w:color w:val="auto"/>
        </w:rPr>
      </w:pPr>
    </w:p>
    <w:p>
      <w:pPr>
        <w:ind w:left="987" w:right="20" w:hanging="498"/>
        <w:spacing w:after="0" w:line="276" w:lineRule="auto"/>
        <w:tabs>
          <w:tab w:leader="none" w:pos="987"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On May 23, 2019, CMS published a final rule to allow Medicare Advantage Plans the option of using step therapy for Part B drugs beginning January 1, 2020.</w:t>
      </w:r>
    </w:p>
    <w:p>
      <w:pPr>
        <w:spacing w:after="0" w:line="64" w:lineRule="exact"/>
        <w:rPr>
          <w:rFonts w:ascii="Arial" w:cs="Arial" w:eastAsia="Arial" w:hAnsi="Arial"/>
          <w:sz w:val="20"/>
          <w:szCs w:val="20"/>
          <w:color w:val="auto"/>
        </w:rPr>
      </w:pPr>
    </w:p>
    <w:p>
      <w:pPr>
        <w:jc w:val="both"/>
        <w:ind w:left="987" w:right="20" w:hanging="498"/>
        <w:spacing w:after="0" w:line="258" w:lineRule="auto"/>
        <w:tabs>
          <w:tab w:leader="none" w:pos="987"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67" w:lineRule="exact"/>
        <w:rPr>
          <w:sz w:val="20"/>
          <w:szCs w:val="20"/>
          <w:color w:val="auto"/>
        </w:rPr>
      </w:pPr>
    </w:p>
    <w:p>
      <w:pPr>
        <w:jc w:val="both"/>
        <w:ind w:left="7" w:right="20" w:firstLine="432"/>
        <w:spacing w:after="0" w:line="258" w:lineRule="auto"/>
        <w:rPr>
          <w:sz w:val="20"/>
          <w:szCs w:val="20"/>
          <w:color w:val="auto"/>
        </w:rPr>
      </w:pPr>
      <w:r>
        <w:rPr>
          <w:rFonts w:ascii="Times New Roman" w:cs="Times New Roman" w:eastAsia="Times New Roman" w:hAnsi="Times New Roman"/>
          <w:sz w:val="19"/>
          <w:szCs w:val="19"/>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w:t>
      </w:r>
    </w:p>
    <w:p>
      <w:pPr>
        <w:spacing w:after="0" w:line="4" w:lineRule="exact"/>
        <w:rPr>
          <w:sz w:val="20"/>
          <w:szCs w:val="20"/>
          <w:color w:val="auto"/>
        </w:rPr>
      </w:pPr>
    </w:p>
    <w:p>
      <w:pPr>
        <w:jc w:val="both"/>
        <w:ind w:left="7" w:right="20" w:hanging="7"/>
        <w:spacing w:after="0" w:line="253" w:lineRule="auto"/>
        <w:tabs>
          <w:tab w:leader="none" w:pos="25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as well as to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Most Favored</w:t>
      </w:r>
    </w:p>
    <w:p>
      <w:pPr>
        <w:sectPr>
          <w:pgSz w:w="12240" w:h="15840" w:orient="portrait"/>
          <w:cols w:equalWidth="0" w:num="1">
            <w:col w:w="10467"/>
          </w:cols>
          <w:pgMar w:left="893" w:top="700" w:right="880" w:bottom="175" w:gutter="0" w:footer="0" w:header="0"/>
        </w:sectPr>
      </w:pPr>
    </w:p>
    <w:p>
      <w:pPr>
        <w:spacing w:after="0" w:line="21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467"/>
          </w:cols>
          <w:pgMar w:left="893" w:top="700" w:right="880" w:bottom="175" w:gutter="0" w:footer="0" w:header="0"/>
          <w:type w:val="continuous"/>
        </w:sectPr>
      </w:pPr>
    </w:p>
    <w:bookmarkStart w:id="88" w:name="page89"/>
    <w:bookmarkEnd w:id="88"/>
    <w:p>
      <w:pPr>
        <w:jc w:val="both"/>
        <w:spacing w:after="0" w:line="255" w:lineRule="auto"/>
        <w:rPr>
          <w:sz w:val="20"/>
          <w:szCs w:val="20"/>
          <w:color w:val="auto"/>
        </w:rPr>
      </w:pPr>
      <w:r>
        <w:rPr>
          <w:rFonts w:ascii="Times New Roman" w:cs="Times New Roman" w:eastAsia="Times New Roman" w:hAnsi="Times New Roman"/>
          <w:sz w:val="19"/>
          <w:szCs w:val="19"/>
          <w:color w:val="auto"/>
        </w:rPr>
        <w:t>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further to January 1, 2027 by the Bipartisan Safer Communities Act and could potentially be pushed back to January 1, 2032 by the Inflation Reduction Act.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or the Accumulator Rule. On May 17, 2022, the U.S. District Court for the District of Columbia granted the Pharmaceutical Research and Manufacturers of America's (PhRMA) motion for summary judgement invalidating the Accumulator Rule.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31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9"/>
          <w:szCs w:val="19"/>
          <w:color w:val="auto"/>
        </w:rPr>
        <w:t>On August 7, 2022 the U.S. Senate passed the Inflation Reduction Act of 2022, which, among other things, includes provisions that reduce the out-of-pocket spending cap for Medicare Part D beneficiaries from $7,050 to $2,000 starting in 2025, thereby effectively eliminating the coverage gap; imposes new manufacturer financial liability on certain drugs under Medicare Part D, allows the U.S. government to negotiate Medicare Part B and Part D price caps for certain high-cost drugs and biologics without generic or biosimilar competition; requires companies to pay rebates to Medicare for certain drug prices that increase faster than inflation; and delays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71"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8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7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1" w:lineRule="exact"/>
        <w:rPr>
          <w:sz w:val="20"/>
          <w:szCs w:val="20"/>
          <w:color w:val="auto"/>
        </w:rPr>
      </w:pPr>
    </w:p>
    <w:p>
      <w:pPr>
        <w:ind w:left="720" w:hanging="367"/>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our current or future product candidates, if we obtain regulatory approval;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set a price that we believe is fair for our products;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coverage and reimbursement approval for a product;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440"/>
          </w:cols>
          <w:pgMar w:left="900" w:top="700" w:right="900" w:bottom="175" w:gutter="0" w:footer="0" w:header="0"/>
          <w:type w:val="continuous"/>
        </w:sectPr>
      </w:pPr>
    </w:p>
    <w:bookmarkStart w:id="89" w:name="page90"/>
    <w:bookmarkEnd w:id="89"/>
    <w:p>
      <w:pPr>
        <w:ind w:right="760" w:firstLine="490"/>
        <w:spacing w:after="0" w:line="277" w:lineRule="auto"/>
        <w:rPr>
          <w:sz w:val="20"/>
          <w:szCs w:val="20"/>
          <w:color w:val="auto"/>
        </w:rPr>
      </w:pPr>
      <w:r>
        <w:rPr>
          <w:rFonts w:ascii="Times New Roman" w:cs="Times New Roman" w:eastAsia="Times New Roman" w:hAnsi="Times New Roman"/>
          <w:sz w:val="20"/>
          <w:szCs w:val="20"/>
          <w:color w:val="auto"/>
        </w:rPr>
        <w:t>Any reduction in reimbursement from Medicare or other government programs may result in a similar reduction in payments from private payors, which may adversely affect our future profitability.</w:t>
      </w:r>
    </w:p>
    <w:p>
      <w:pPr>
        <w:spacing w:after="0" w:line="169"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7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96" w:lineRule="exact"/>
        <w:rPr>
          <w:sz w:val="20"/>
          <w:szCs w:val="20"/>
          <w:color w:val="auto"/>
        </w:rPr>
      </w:pPr>
    </w:p>
    <w:p>
      <w:pPr>
        <w:ind w:left="720" w:right="20" w:hanging="367"/>
        <w:spacing w:after="0" w:line="242"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104" w:lineRule="exact"/>
        <w:rPr>
          <w:rFonts w:ascii="Arial" w:cs="Arial" w:eastAsia="Arial" w:hAnsi="Arial"/>
          <w:sz w:val="20"/>
          <w:szCs w:val="20"/>
          <w:color w:val="auto"/>
        </w:rPr>
      </w:pPr>
    </w:p>
    <w:p>
      <w:pPr>
        <w:ind w:left="720" w:right="20" w:hanging="367"/>
        <w:spacing w:after="0" w:line="244"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95" w:lineRule="exact"/>
        <w:rPr>
          <w:rFonts w:ascii="Arial" w:cs="Arial" w:eastAsia="Arial" w:hAnsi="Arial"/>
          <w:sz w:val="20"/>
          <w:szCs w:val="20"/>
          <w:color w:val="auto"/>
        </w:rPr>
      </w:pPr>
    </w:p>
    <w:p>
      <w:pPr>
        <w:ind w:left="720" w:hanging="367"/>
        <w:spacing w:after="0" w:line="247"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3" w:lineRule="exact"/>
        <w:rPr>
          <w:rFonts w:ascii="Arial" w:cs="Arial" w:eastAsia="Arial" w:hAnsi="Arial"/>
          <w:sz w:val="20"/>
          <w:szCs w:val="20"/>
          <w:color w:val="auto"/>
        </w:rPr>
      </w:pPr>
    </w:p>
    <w:p>
      <w:pPr>
        <w:ind w:left="720" w:right="60" w:hanging="367"/>
        <w:spacing w:after="0" w:line="247"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440"/>
          </w:cols>
          <w:pgMar w:left="900" w:top="700" w:right="900" w:bottom="175" w:gutter="0" w:footer="0" w:header="0"/>
          <w:type w:val="continuous"/>
        </w:sectPr>
      </w:pPr>
    </w:p>
    <w:bookmarkStart w:id="90" w:name="page91"/>
    <w:bookmarkEnd w:id="90"/>
    <w:p>
      <w:pPr>
        <w:ind w:left="720" w:right="34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auto"/>
        </w:rPr>
      </w:pPr>
    </w:p>
    <w:p>
      <w:pPr>
        <w:ind w:left="720" w:right="80" w:hanging="367"/>
        <w:spacing w:after="0" w:line="258"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6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91"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7"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ectPr>
          <w:pgSz w:w="12240" w:h="15840" w:orient="portrait"/>
          <w:cols w:equalWidth="0" w:num="1">
            <w:col w:w="10440"/>
          </w:cols>
          <w:pgMar w:left="900" w:top="714" w:right="900" w:bottom="175"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440"/>
          </w:cols>
          <w:pgMar w:left="900" w:top="714" w:right="900" w:bottom="175" w:gutter="0" w:footer="0" w:header="0"/>
          <w:type w:val="continuous"/>
        </w:sectPr>
      </w:pPr>
    </w:p>
    <w:bookmarkStart w:id="91" w:name="page92"/>
    <w:bookmarkEnd w:id="91"/>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20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74" w:lineRule="exact"/>
        <w:rPr>
          <w:sz w:val="20"/>
          <w:szCs w:val="20"/>
          <w:color w:val="auto"/>
        </w:rPr>
      </w:pPr>
    </w:p>
    <w:p>
      <w:pPr>
        <w:jc w:val="both"/>
        <w:ind w:right="20" w:firstLine="490"/>
        <w:spacing w:after="0" w:line="254" w:lineRule="auto"/>
        <w:rPr>
          <w:sz w:val="20"/>
          <w:szCs w:val="20"/>
          <w:color w:val="auto"/>
        </w:rPr>
      </w:pPr>
      <w:r>
        <w:rPr>
          <w:rFonts w:ascii="Times New Roman" w:cs="Times New Roman" w:eastAsia="Times New Roman" w:hAnsi="Times New Roman"/>
          <w:sz w:val="19"/>
          <w:szCs w:val="19"/>
          <w:color w:val="auto"/>
        </w:rPr>
        <w:t>The regulatory framework for the collection, use, safeguarding, sharing, transfer and other processing of information worldwide is rapidly evolving and is likely to remain uncertain for the foreseeable future. We possess and process sensitive customer information. Other federal and state laws that restrict the use and protect the privacy and security of personally identifiable information,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such as the California Consumer Privacy Act, or CCPA, as amended by the California Privacy Rights Act, or CPRA, which amendments went into effect on January 1, 2023, The CCPA creates specific obligations with respect to processing and storing personal information, and the CPRA amendments created a new state agency that is vested with authority to implement and enforce the CCPA. Additionally, a similar law went into effect in Virginia on January 1, 2023, and further U.S.-state comprehensive privacy laws are set to go into effect throughout 2023, including laws in Colorado, Connecticut, and Utah.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w:t>
      </w:r>
    </w:p>
    <w:p>
      <w:pPr>
        <w:sectPr>
          <w:pgSz w:w="12240" w:h="15840" w:orient="portrait"/>
          <w:cols w:equalWidth="0" w:num="1">
            <w:col w:w="10460"/>
          </w:cols>
          <w:pgMar w:left="900" w:top="700" w:right="880" w:bottom="175"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460"/>
          </w:cols>
          <w:pgMar w:left="900" w:top="700" w:right="880" w:bottom="175" w:gutter="0" w:footer="0" w:header="0"/>
          <w:type w:val="continuous"/>
        </w:sectPr>
      </w:pPr>
    </w:p>
    <w:bookmarkStart w:id="92" w:name="page93"/>
    <w:bookmarkEnd w:id="92"/>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privacy laws in different states in the country would make our compliance obligations more complex and costly and may increase the likelihood that we may be subject to enforcement actions or otherwise incur liability for noncompliance. The collection, use, storage, disclosure, transfer, or other processing of personal data regarding individuals in the EEA, including personal health data, is subject to the EU General Data Protection Regulation 2016/679,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7"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GDPR also imposes strict rules on the transfer of personal data to countries outside the EEA, including the United States. We are subject to evolving and strict rules on the transfer of personal data out of the EEA to third countries such as the United States. Unless the destination country is an adequate country (as recognized by the European Commission), we will be required to incorporate a GDPR transfer mechanism (such as the European Commission approved standard contractual clauses, or SCCs) into our agreements with third parties to govern transfers of personal data outside the EEA. The new SCCs may also impact our business as companies based in the EEA may be reluctant to utilize the new clauses to legitimize transfers of personal data to third countries given the burdensome requirements of transfer impact assessments and the substantial obligations that the new SCCs impose upon exporters.</w:t>
      </w:r>
    </w:p>
    <w:p>
      <w:pPr>
        <w:spacing w:after="0" w:line="82" w:lineRule="exact"/>
        <w:rPr>
          <w:sz w:val="20"/>
          <w:szCs w:val="20"/>
          <w:color w:val="auto"/>
        </w:rPr>
      </w:pPr>
    </w:p>
    <w:p>
      <w:pPr>
        <w:jc w:val="both"/>
        <w:ind w:right="20" w:firstLine="490"/>
        <w:spacing w:after="0" w:line="242" w:lineRule="auto"/>
        <w:rPr>
          <w:sz w:val="20"/>
          <w:szCs w:val="20"/>
          <w:color w:val="auto"/>
        </w:rPr>
      </w:pPr>
      <w:r>
        <w:rPr>
          <w:rFonts w:ascii="Times New Roman" w:cs="Times New Roman" w:eastAsia="Times New Roman" w:hAnsi="Times New Roman"/>
          <w:sz w:val="20"/>
          <w:szCs w:val="20"/>
          <w:color w:val="auto"/>
        </w:rPr>
        <w:t>In addition, further to the UK’s exit from the European Union, or EU, on January 31, 2020 the UK’s European Union (Withdrawal) Act 2018 incorporated the GDPR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It is not subject to the new forms of SCCs but has issued its own transfer mechanism – the UK international data transfer agreement – which, like the SCCs, requires exporters to carry out a transfer impact assessment.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91" w:lineRule="exact"/>
        <w:rPr>
          <w:sz w:val="20"/>
          <w:szCs w:val="20"/>
          <w:color w:val="auto"/>
        </w:rPr>
      </w:pPr>
    </w:p>
    <w:p>
      <w:pPr>
        <w:jc w:val="both"/>
        <w:ind w:right="20" w:firstLine="490"/>
        <w:spacing w:after="0" w:line="246" w:lineRule="auto"/>
        <w:rPr>
          <w:sz w:val="20"/>
          <w:szCs w:val="20"/>
          <w:color w:val="auto"/>
        </w:rPr>
      </w:pPr>
      <w:r>
        <w:rPr>
          <w:rFonts w:ascii="Times New Roman" w:cs="Times New Roman" w:eastAsia="Times New Roman" w:hAnsi="Times New Roman"/>
          <w:sz w:val="20"/>
          <w:szCs w:val="20"/>
          <w:color w:val="auto"/>
        </w:rPr>
        <w:t>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68" w:lineRule="exact"/>
        <w:rPr>
          <w:sz w:val="20"/>
          <w:szCs w:val="20"/>
          <w:color w:val="auto"/>
        </w:rPr>
      </w:pPr>
    </w:p>
    <w:p>
      <w:pPr>
        <w:jc w:val="both"/>
        <w:ind w:right="140" w:firstLine="490"/>
        <w:spacing w:after="0" w:line="278" w:lineRule="auto"/>
        <w:rPr>
          <w:sz w:val="20"/>
          <w:szCs w:val="20"/>
          <w:color w:val="auto"/>
        </w:rPr>
      </w:pPr>
      <w:r>
        <w:rPr>
          <w:rFonts w:ascii="Times New Roman" w:cs="Times New Roman" w:eastAsia="Times New Roman" w:hAnsi="Times New Roman"/>
          <w:sz w:val="19"/>
          <w:szCs w:val="19"/>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w:t>
      </w:r>
    </w:p>
    <w:p>
      <w:pPr>
        <w:sectPr>
          <w:pgSz w:w="12240" w:h="15840" w:orient="portrait"/>
          <w:cols w:equalWidth="0" w:num="1">
            <w:col w:w="10460"/>
          </w:cols>
          <w:pgMar w:left="900" w:top="700" w:right="880" w:bottom="175"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460"/>
          </w:cols>
          <w:pgMar w:left="900" w:top="700" w:right="880" w:bottom="175" w:gutter="0" w:footer="0" w:header="0"/>
          <w:type w:val="continuous"/>
        </w:sectPr>
      </w:pPr>
    </w:p>
    <w:bookmarkStart w:id="93" w:name="page94"/>
    <w:bookmarkEnd w:id="93"/>
    <w:p>
      <w:pPr>
        <w:ind w:right="20"/>
        <w:spacing w:after="0" w:line="249" w:lineRule="auto"/>
        <w:rPr>
          <w:sz w:val="20"/>
          <w:szCs w:val="20"/>
          <w:color w:val="auto"/>
        </w:rPr>
      </w:pPr>
      <w:r>
        <w:rPr>
          <w:rFonts w:ascii="Times New Roman" w:cs="Times New Roman" w:eastAsia="Times New Roman" w:hAnsi="Times New Roman"/>
          <w:sz w:val="20"/>
          <w:szCs w:val="20"/>
          <w:color w:val="auto"/>
        </w:rPr>
        <w:t>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7" w:lineRule="exact"/>
        <w:rPr>
          <w:sz w:val="20"/>
          <w:szCs w:val="20"/>
          <w:color w:val="auto"/>
        </w:rPr>
      </w:pPr>
    </w:p>
    <w:p>
      <w:pPr>
        <w:ind w:right="260" w:firstLine="490"/>
        <w:spacing w:after="0" w:line="247"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0" w:lineRule="exact"/>
        <w:rPr>
          <w:sz w:val="20"/>
          <w:szCs w:val="20"/>
          <w:color w:val="auto"/>
        </w:rPr>
      </w:pPr>
    </w:p>
    <w:p>
      <w:pPr>
        <w:jc w:val="both"/>
        <w:ind w:right="480" w:firstLine="490"/>
        <w:spacing w:after="0" w:line="258" w:lineRule="auto"/>
        <w:rPr>
          <w:sz w:val="20"/>
          <w:szCs w:val="20"/>
          <w:color w:val="auto"/>
        </w:rPr>
      </w:pPr>
      <w:r>
        <w:rPr>
          <w:rFonts w:ascii="Times New Roman" w:cs="Times New Roman" w:eastAsia="Times New Roman" w:hAnsi="Times New Roman"/>
          <w:sz w:val="20"/>
          <w:szCs w:val="20"/>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Employee Matters and Managing Growth</w:t>
      </w:r>
    </w:p>
    <w:p>
      <w:pPr>
        <w:spacing w:after="0" w:line="124"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experienced scientists and to attract, retain, and motivate qualified personnel.</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2"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0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68"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w:t>
      </w:r>
    </w:p>
    <w:p>
      <w:pPr>
        <w:sectPr>
          <w:pgSz w:w="12240" w:h="15840" w:orient="portrait"/>
          <w:cols w:equalWidth="0" w:num="1">
            <w:col w:w="10420"/>
          </w:cols>
          <w:pgMar w:left="900" w:top="700" w:right="920" w:bottom="175"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420"/>
          </w:cols>
          <w:pgMar w:left="900" w:top="700" w:right="920" w:bottom="175" w:gutter="0" w:footer="0" w:header="0"/>
          <w:type w:val="continuous"/>
        </w:sectPr>
      </w:pPr>
    </w:p>
    <w:bookmarkStart w:id="94" w:name="page95"/>
    <w:bookmarkEnd w:id="94"/>
    <w:p>
      <w:pPr>
        <w:ind w:right="20"/>
        <w:spacing w:after="0" w:line="243" w:lineRule="auto"/>
        <w:rPr>
          <w:sz w:val="20"/>
          <w:szCs w:val="20"/>
          <w:color w:val="auto"/>
        </w:rPr>
      </w:pPr>
      <w:r>
        <w:rPr>
          <w:rFonts w:ascii="Times New Roman" w:cs="Times New Roman" w:eastAsia="Times New Roman" w:hAnsi="Times New Roman"/>
          <w:sz w:val="20"/>
          <w:szCs w:val="20"/>
          <w:color w:val="auto"/>
        </w:rPr>
        <w:t>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it,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209"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25"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9"/>
          <w:szCs w:val="19"/>
          <w:color w:val="auto"/>
        </w:rPr>
        <w:t>As of February 28, 2023, we had 46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2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8" w:lineRule="exact"/>
        <w:rPr>
          <w:sz w:val="20"/>
          <w:szCs w:val="20"/>
          <w:color w:val="auto"/>
        </w:rPr>
      </w:pPr>
    </w:p>
    <w:p>
      <w:pPr>
        <w:ind w:right="80" w:firstLine="490"/>
        <w:spacing w:after="0" w:line="263"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swept into receivership. Although</w:t>
      </w:r>
    </w:p>
    <w:p>
      <w:pPr>
        <w:sectPr>
          <w:pgSz w:w="12240" w:h="15840" w:orient="portrait"/>
          <w:cols w:equalWidth="0" w:num="1">
            <w:col w:w="10460"/>
          </w:cols>
          <w:pgMar w:left="900" w:top="700" w:right="880" w:bottom="175"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460"/>
          </w:cols>
          <w:pgMar w:left="900" w:top="700" w:right="880" w:bottom="175" w:gutter="0" w:footer="0" w:header="0"/>
          <w:type w:val="continuous"/>
        </w:sectPr>
      </w:pPr>
    </w:p>
    <w:bookmarkStart w:id="95" w:name="page96"/>
    <w:bookmarkEnd w:id="95"/>
    <w:p>
      <w:pPr>
        <w:spacing w:after="0" w:line="242" w:lineRule="auto"/>
        <w:rPr>
          <w:sz w:val="20"/>
          <w:szCs w:val="20"/>
          <w:color w:val="auto"/>
        </w:rPr>
      </w:pPr>
      <w:r>
        <w:rPr>
          <w:rFonts w:ascii="Times New Roman" w:cs="Times New Roman" w:eastAsia="Times New Roman" w:hAnsi="Times New Roman"/>
          <w:sz w:val="20"/>
          <w:szCs w:val="20"/>
          <w:color w:val="auto"/>
        </w:rPr>
        <w:t>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For example, we had significant amounts of cash and cash equivalents held in operating accounts at SVB which were largely uninsured. If we were unable to recover our cash on deposit it could have resulted in material losses to the Company and may have had a material adverse impact on our business.</w:t>
      </w:r>
    </w:p>
    <w:p>
      <w:pPr>
        <w:spacing w:after="0" w:line="93"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2"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6"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83" w:lineRule="exact"/>
        <w:rPr>
          <w:sz w:val="20"/>
          <w:szCs w:val="20"/>
          <w:color w:val="auto"/>
        </w:rPr>
      </w:pPr>
    </w:p>
    <w:p>
      <w:pPr>
        <w:ind w:left="980" w:hanging="498"/>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Delayed access to deposits or other financial assets or the uninsured loss of deposits or other financial assets;</w:t>
      </w:r>
    </w:p>
    <w:p>
      <w:pPr>
        <w:spacing w:after="0" w:line="133" w:lineRule="exact"/>
        <w:rPr>
          <w:rFonts w:ascii="Arial" w:cs="Arial" w:eastAsia="Arial" w:hAnsi="Arial"/>
          <w:sz w:val="20"/>
          <w:szCs w:val="20"/>
          <w:color w:val="auto"/>
        </w:rPr>
      </w:pPr>
    </w:p>
    <w:p>
      <w:pPr>
        <w:ind w:left="980" w:right="240" w:hanging="498"/>
        <w:spacing w:after="0" w:line="258" w:lineRule="auto"/>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w:t>
      </w:r>
    </w:p>
    <w:p>
      <w:pPr>
        <w:spacing w:after="0" w:line="81" w:lineRule="exact"/>
        <w:rPr>
          <w:rFonts w:ascii="Arial" w:cs="Arial" w:eastAsia="Arial" w:hAnsi="Arial"/>
          <w:sz w:val="20"/>
          <w:szCs w:val="20"/>
          <w:color w:val="auto"/>
        </w:rPr>
      </w:pPr>
    </w:p>
    <w:p>
      <w:pPr>
        <w:ind w:left="980" w:right="360" w:hanging="498"/>
        <w:spacing w:after="0" w:line="276" w:lineRule="auto"/>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or actual breach of contractual obligations that require the Company to maintain letters of credit or other credit support arrangements;</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or actual breach of financial covenants in our credit agreements or credit arrangements;</w:t>
      </w:r>
    </w:p>
    <w:p>
      <w:pPr>
        <w:spacing w:after="0" w:line="133" w:lineRule="exact"/>
        <w:rPr>
          <w:rFonts w:ascii="Arial" w:cs="Arial" w:eastAsia="Arial" w:hAnsi="Arial"/>
          <w:sz w:val="20"/>
          <w:szCs w:val="20"/>
          <w:color w:val="auto"/>
        </w:rPr>
      </w:pPr>
    </w:p>
    <w:p>
      <w:pPr>
        <w:ind w:left="980" w:right="1000" w:hanging="498"/>
        <w:spacing w:after="0" w:line="276" w:lineRule="auto"/>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or actual cross-defaults in other credit agreements, credit arrangements or operating or financing agreements; or</w:t>
      </w:r>
    </w:p>
    <w:p>
      <w:pPr>
        <w:spacing w:after="0" w:line="64" w:lineRule="exact"/>
        <w:rPr>
          <w:rFonts w:ascii="Arial" w:cs="Arial" w:eastAsia="Arial" w:hAnsi="Arial"/>
          <w:sz w:val="20"/>
          <w:szCs w:val="20"/>
          <w:color w:val="auto"/>
        </w:rPr>
      </w:pPr>
    </w:p>
    <w:p>
      <w:pPr>
        <w:ind w:left="980" w:right="460" w:hanging="498"/>
        <w:spacing w:after="0" w:line="276" w:lineRule="auto"/>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Termination of cash management arrangements and/or delays in accessing or actual loss of funds subject to cash management arrangements.</w:t>
      </w:r>
    </w:p>
    <w:p>
      <w:pPr>
        <w:spacing w:after="0" w:line="5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440"/>
          </w:cols>
          <w:pgMar w:left="900" w:top="700" w:right="900" w:bottom="175" w:gutter="0" w:footer="0" w:header="0"/>
          <w:type w:val="continuous"/>
        </w:sectPr>
      </w:pPr>
    </w:p>
    <w:bookmarkStart w:id="96" w:name="page97"/>
    <w:bookmarkEnd w:id="96"/>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the Company and may have a material adverse impact on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 may adversely affect us or our investors.</w:t>
      </w:r>
    </w:p>
    <w:p>
      <w:pPr>
        <w:spacing w:after="0" w:line="120" w:lineRule="exact"/>
        <w:rPr>
          <w:sz w:val="20"/>
          <w:szCs w:val="20"/>
          <w:color w:val="auto"/>
        </w:rPr>
      </w:pPr>
    </w:p>
    <w:p>
      <w:pPr>
        <w:jc w:val="both"/>
        <w:ind w:right="140" w:firstLine="490"/>
        <w:spacing w:after="0" w:line="260" w:lineRule="auto"/>
        <w:rPr>
          <w:sz w:val="20"/>
          <w:szCs w:val="20"/>
          <w:color w:val="auto"/>
        </w:rPr>
      </w:pPr>
      <w:r>
        <w:rPr>
          <w:rFonts w:ascii="Times New Roman" w:cs="Times New Roman" w:eastAsia="Times New Roman" w:hAnsi="Times New Roman"/>
          <w:sz w:val="19"/>
          <w:szCs w:val="19"/>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future taxable income may be subject to certain limitations.</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As of December 31, 2022, we had federal and state net operating loss carryforwards of $69.3 million and $67.7 million, respectively, which begin to expire in various amounts in 2037. As of December 31, 2022, we also had federal and state research and development tax credit carryforwards of $2.7 million and $1.1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20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440"/>
          </w:cols>
          <w:pgMar w:left="900" w:top="700" w:right="900" w:bottom="175"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auto"/>
        </w:rPr>
        <w:t>Unfavorable global economic conditions could adversely affect our business, financial condition or results of operations.</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See “Risks Related to the Discovery and Development of Our Product Candidates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ongoing COVID-19 pandemic, or a similar pandemic, epidemic, or outbreak of an infectious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213"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49"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is expected to be volatile.</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market price of our common stock following the merger could be subject to significant fluctuations. Some of the factors that may cause the market price of our common stock to fluctuate include:</w:t>
      </w:r>
    </w:p>
    <w:p>
      <w:pPr>
        <w:spacing w:after="0" w:line="63" w:lineRule="exact"/>
        <w:rPr>
          <w:sz w:val="20"/>
          <w:szCs w:val="20"/>
          <w:color w:val="auto"/>
        </w:rPr>
      </w:pPr>
    </w:p>
    <w:p>
      <w:pPr>
        <w:ind w:left="720" w:right="28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trials and preclinical studies of our product candidates, or those of our competitors or our existing or future collaborators;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meet or exceed financial and development projections we may provide to the public;</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meet or exceed the financial and development projections of the investment community;</w:t>
      </w:r>
    </w:p>
    <w:p>
      <w:pPr>
        <w:spacing w:after="0" w:line="133" w:lineRule="exact"/>
        <w:rPr>
          <w:rFonts w:ascii="Arial" w:cs="Arial" w:eastAsia="Arial" w:hAnsi="Arial"/>
          <w:sz w:val="20"/>
          <w:szCs w:val="20"/>
          <w:color w:val="auto"/>
        </w:rPr>
      </w:pPr>
    </w:p>
    <w:p>
      <w:pPr>
        <w:ind w:left="720" w:right="24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if we do not achieve the perceived benefits of the merger as rapidly or to the extent anticipated by financial or industry analysts;</w:t>
      </w:r>
    </w:p>
    <w:p>
      <w:pPr>
        <w:spacing w:after="0" w:line="64" w:lineRule="exact"/>
        <w:rPr>
          <w:rFonts w:ascii="Arial" w:cs="Arial" w:eastAsia="Arial" w:hAnsi="Arial"/>
          <w:sz w:val="20"/>
          <w:szCs w:val="20"/>
          <w:color w:val="auto"/>
        </w:rPr>
      </w:pPr>
    </w:p>
    <w:p>
      <w:pPr>
        <w:ind w:left="720" w:right="26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significant acquisitions, strategic collaborations, joint ventures or capital commitments by us or our competitors;</w:t>
      </w:r>
    </w:p>
    <w:p>
      <w:pPr>
        <w:spacing w:after="0" w:line="64" w:lineRule="exact"/>
        <w:rPr>
          <w:rFonts w:ascii="Arial" w:cs="Arial" w:eastAsia="Arial" w:hAnsi="Arial"/>
          <w:sz w:val="20"/>
          <w:szCs w:val="20"/>
          <w:color w:val="auto"/>
        </w:rPr>
      </w:pPr>
    </w:p>
    <w:p>
      <w:pPr>
        <w:ind w:left="720" w:right="28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actions taken by regulatory agencies with respect to our product candidates, clinical studies, manufacturing process or sales and marketing terms;</w:t>
      </w:r>
    </w:p>
    <w:p>
      <w:pPr>
        <w:spacing w:after="0" w:line="64" w:lineRule="exact"/>
        <w:rPr>
          <w:rFonts w:ascii="Arial" w:cs="Arial" w:eastAsia="Arial" w:hAnsi="Arial"/>
          <w:sz w:val="20"/>
          <w:szCs w:val="20"/>
          <w:color w:val="auto"/>
        </w:rPr>
      </w:pPr>
    </w:p>
    <w:p>
      <w:pPr>
        <w:ind w:left="720" w:right="52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ectPr>
          <w:pgSz w:w="12240" w:h="15840" w:orient="portrait"/>
          <w:cols w:equalWidth="0" w:num="1">
            <w:col w:w="10440"/>
          </w:cols>
          <w:pgMar w:left="900" w:top="700" w:right="900" w:bottom="175"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440"/>
          </w:cols>
          <w:pgMar w:left="900" w:top="700" w:right="900" w:bottom="175" w:gutter="0" w:footer="0" w:header="0"/>
          <w:type w:val="continuous"/>
        </w:sectPr>
      </w:pPr>
    </w:p>
    <w:bookmarkStart w:id="98" w:name="page99"/>
    <w:bookmarkEnd w:id="98"/>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133" w:lineRule="exact"/>
        <w:rPr>
          <w:rFonts w:ascii="Arial" w:cs="Arial" w:eastAsia="Arial" w:hAnsi="Arial"/>
          <w:sz w:val="20"/>
          <w:szCs w:val="20"/>
          <w:color w:val="auto"/>
        </w:rPr>
      </w:pPr>
    </w:p>
    <w:p>
      <w:pPr>
        <w:ind w:left="720" w:right="72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if securities or industry analysts do not publish research or reports about our business, or if they issue adverse or misleading opinions regarding our business and stock;</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or macroeconomic conditions or market conditions in the pharmaceutical and biotechnology sectors;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sales of securities by us or our securityholders in the future;</w:t>
      </w:r>
    </w:p>
    <w:p>
      <w:pPr>
        <w:spacing w:after="0" w:line="133" w:lineRule="exact"/>
        <w:rPr>
          <w:rFonts w:ascii="Arial" w:cs="Arial" w:eastAsia="Arial" w:hAnsi="Arial"/>
          <w:sz w:val="20"/>
          <w:szCs w:val="20"/>
          <w:color w:val="auto"/>
        </w:rPr>
      </w:pPr>
    </w:p>
    <w:p>
      <w:pPr>
        <w:ind w:left="720" w:right="60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raise an adequate amount of capital to fund our operations and continued development of our product candidates;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33" w:lineRule="exact"/>
        <w:rPr>
          <w:rFonts w:ascii="Arial" w:cs="Arial" w:eastAsia="Arial" w:hAnsi="Arial"/>
          <w:sz w:val="20"/>
          <w:szCs w:val="20"/>
          <w:color w:val="auto"/>
        </w:rPr>
      </w:pPr>
    </w:p>
    <w:p>
      <w:pPr>
        <w:ind w:left="720" w:right="46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competitors of new commercial products, clinical progress or lack thereof, significant contracts, commercial relationships or capital commitments;</w:t>
      </w:r>
    </w:p>
    <w:p>
      <w:pPr>
        <w:spacing w:after="0" w:line="64" w:lineRule="exact"/>
        <w:rPr>
          <w:rFonts w:ascii="Arial" w:cs="Arial" w:eastAsia="Arial" w:hAnsi="Arial"/>
          <w:sz w:val="20"/>
          <w:szCs w:val="20"/>
          <w:color w:val="auto"/>
        </w:rPr>
      </w:pPr>
    </w:p>
    <w:p>
      <w:pPr>
        <w:ind w:left="720" w:right="42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relating to precision medicine product candidates, including with respect to other products in such markets;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introduction of technological innovations or new therapies that compete with our products and services;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11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206"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incur additional costs and increased demands upon management as a result of complying with the laws and regulations affecting public companies.</w:t>
      </w:r>
    </w:p>
    <w:p>
      <w:pPr>
        <w:spacing w:after="0" w:line="4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We will incur significant legal, accounting and other expenses as a public company that we did not incur as a private company, including costs associated with public company reporting obligations under the Securities Exchange Act of 1934, as amended, or the Exchange Act. Our management team consists of our executive officers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w:t>
      </w:r>
    </w:p>
    <w:p>
      <w:pPr>
        <w:sectPr>
          <w:pgSz w:w="12240" w:h="15840" w:orient="portrait"/>
          <w:cols w:equalWidth="0" w:num="1">
            <w:col w:w="10400"/>
          </w:cols>
          <w:pgMar w:left="900" w:top="714" w:right="940" w:bottom="175" w:gutter="0" w:footer="0" w:header="0"/>
        </w:sect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400"/>
          </w:cols>
          <w:pgMar w:left="900" w:top="714" w:right="940" w:bottom="175" w:gutter="0" w:footer="0" w:header="0"/>
          <w:type w:val="continuous"/>
        </w:sectPr>
      </w:pPr>
    </w:p>
    <w:bookmarkStart w:id="99" w:name="page100"/>
    <w:bookmarkEnd w:id="99"/>
    <w:p>
      <w:pPr>
        <w:ind w:right="20"/>
        <w:spacing w:after="0" w:line="243" w:lineRule="auto"/>
        <w:rPr>
          <w:sz w:val="20"/>
          <w:szCs w:val="20"/>
          <w:color w:val="auto"/>
        </w:rPr>
      </w:pPr>
      <w:r>
        <w:rPr>
          <w:rFonts w:ascii="Times New Roman" w:cs="Times New Roman" w:eastAsia="Times New Roman" w:hAnsi="Times New Roman"/>
          <w:sz w:val="20"/>
          <w:szCs w:val="20"/>
          <w:color w:val="auto"/>
        </w:rPr>
        <w:t>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on Form 10-K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03" w:lineRule="exact"/>
        <w:rPr>
          <w:sz w:val="20"/>
          <w:szCs w:val="20"/>
          <w:color w:val="auto"/>
        </w:rPr>
      </w:pPr>
    </w:p>
    <w:p>
      <w:pPr>
        <w:ind w:right="3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25"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83" w:lineRule="exact"/>
        <w:rPr>
          <w:sz w:val="20"/>
          <w:szCs w:val="20"/>
          <w:color w:val="auto"/>
        </w:rPr>
      </w:pPr>
    </w:p>
    <w:p>
      <w:pPr>
        <w:ind w:left="720" w:right="120" w:hanging="367"/>
        <w:spacing w:after="0" w:line="276"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board of directors divided into three classes serving staggered three-year terms, such that not all members of the board will be elected at one time;</w:t>
      </w:r>
    </w:p>
    <w:p>
      <w:pPr>
        <w:spacing w:after="0" w:line="64" w:lineRule="exact"/>
        <w:rPr>
          <w:rFonts w:ascii="Arial" w:cs="Arial" w:eastAsia="Arial" w:hAnsi="Arial"/>
          <w:sz w:val="20"/>
          <w:szCs w:val="20"/>
          <w:color w:val="auto"/>
        </w:rPr>
      </w:pPr>
    </w:p>
    <w:p>
      <w:pPr>
        <w:ind w:left="720" w:right="600" w:hanging="367"/>
        <w:spacing w:after="0" w:line="276"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no cumulative voting in the election of directors, which limits the ability of minority stockholders to elect director candidates;</w:t>
      </w:r>
    </w:p>
    <w:p>
      <w:pPr>
        <w:spacing w:after="0" w:line="64" w:lineRule="exact"/>
        <w:rPr>
          <w:rFonts w:ascii="Arial" w:cs="Arial" w:eastAsia="Arial" w:hAnsi="Arial"/>
          <w:sz w:val="20"/>
          <w:szCs w:val="20"/>
          <w:color w:val="auto"/>
        </w:rPr>
      </w:pPr>
    </w:p>
    <w:p>
      <w:pPr>
        <w:ind w:left="720" w:right="540" w:hanging="367"/>
        <w:spacing w:after="0" w:line="276"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prohibition on stockholder action by written consent, which means that all stockholder action must be taken at an annual or special meeting of the stockholders;</w:t>
      </w:r>
    </w:p>
    <w:p>
      <w:pPr>
        <w:spacing w:after="0" w:line="64" w:lineRule="exact"/>
        <w:rPr>
          <w:rFonts w:ascii="Arial" w:cs="Arial" w:eastAsia="Arial" w:hAnsi="Arial"/>
          <w:sz w:val="20"/>
          <w:szCs w:val="20"/>
          <w:color w:val="auto"/>
        </w:rPr>
      </w:pPr>
    </w:p>
    <w:p>
      <w:pPr>
        <w:ind w:left="720" w:right="280" w:hanging="367"/>
        <w:spacing w:after="0" w:line="276"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special meetings of stockholders be called only by the chairman of the board of directors, the Chief Executive Officer or by a majority of the total number of authorized directors;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requirements for stockholder proposals and nominations for election to the board of directors;</w:t>
      </w:r>
    </w:p>
    <w:p>
      <w:pPr>
        <w:spacing w:after="0" w:line="133" w:lineRule="exact"/>
        <w:rPr>
          <w:rFonts w:ascii="Arial" w:cs="Arial" w:eastAsia="Arial" w:hAnsi="Arial"/>
          <w:sz w:val="20"/>
          <w:szCs w:val="20"/>
          <w:color w:val="auto"/>
        </w:rPr>
      </w:pPr>
    </w:p>
    <w:p>
      <w:pPr>
        <w:ind w:left="720" w:right="80" w:hanging="367"/>
        <w:spacing w:after="0" w:line="258"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81" w:lineRule="exact"/>
        <w:rPr>
          <w:rFonts w:ascii="Arial" w:cs="Arial" w:eastAsia="Arial" w:hAnsi="Arial"/>
          <w:sz w:val="20"/>
          <w:szCs w:val="20"/>
          <w:color w:val="auto"/>
        </w:rPr>
      </w:pPr>
    </w:p>
    <w:p>
      <w:pPr>
        <w:ind w:left="720" w:right="280" w:hanging="367"/>
        <w:spacing w:after="0" w:line="276"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of approval of not less than two-thirds of all outstanding shares of voting stock to amend any bylaws by stockholder action or to amend specific provisions of the certificate of incorporation; and</w:t>
      </w:r>
    </w:p>
    <w:p>
      <w:pPr>
        <w:spacing w:after="0" w:line="64" w:lineRule="exact"/>
        <w:rPr>
          <w:rFonts w:ascii="Arial" w:cs="Arial" w:eastAsia="Arial" w:hAnsi="Arial"/>
          <w:sz w:val="20"/>
          <w:szCs w:val="20"/>
          <w:color w:val="auto"/>
        </w:rPr>
      </w:pPr>
    </w:p>
    <w:p>
      <w:pPr>
        <w:ind w:left="720" w:right="20" w:hanging="367"/>
        <w:spacing w:after="0" w:line="304" w:lineRule="auto"/>
        <w:tabs>
          <w:tab w:leader="none" w:pos="72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25" w:lineRule="exact"/>
        <w:rPr>
          <w:sz w:val="20"/>
          <w:szCs w:val="20"/>
          <w:color w:val="auto"/>
        </w:rPr>
      </w:pPr>
    </w:p>
    <w:p>
      <w:pPr>
        <w:ind w:right="800" w:firstLine="490"/>
        <w:spacing w:after="0" w:line="277" w:lineRule="auto"/>
        <w:rPr>
          <w:sz w:val="20"/>
          <w:szCs w:val="20"/>
          <w:color w:val="auto"/>
        </w:rPr>
      </w:pPr>
      <w:r>
        <w:rPr>
          <w:rFonts w:ascii="Times New Roman" w:cs="Times New Roman" w:eastAsia="Times New Roman" w:hAnsi="Times New Roman"/>
          <w:sz w:val="20"/>
          <w:szCs w:val="20"/>
          <w:color w:val="auto"/>
        </w:rPr>
        <w:t>In addition, these provisions would apply even if we were to receive an offer that some stockholders may consider beneficial.</w:t>
      </w:r>
    </w:p>
    <w:p>
      <w:pPr>
        <w:spacing w:after="0" w:line="49"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8"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w:t>
      </w:r>
    </w:p>
    <w:p>
      <w:pPr>
        <w:sectPr>
          <w:pgSz w:w="12240" w:h="15840" w:orient="portrait"/>
          <w:cols w:equalWidth="0" w:num="1">
            <w:col w:w="10440"/>
          </w:cols>
          <w:pgMar w:left="900" w:top="700" w:right="900" w:bottom="175"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440"/>
          </w:cols>
          <w:pgMar w:left="900" w:top="700" w:right="900" w:bottom="175" w:gutter="0" w:footer="0" w:header="0"/>
          <w:type w:val="continuous"/>
        </w:sectPr>
      </w:pPr>
    </w:p>
    <w:bookmarkStart w:id="100" w:name="page101"/>
    <w:bookmarkEnd w:id="100"/>
    <w:p>
      <w:pPr>
        <w:spacing w:after="0" w:line="252" w:lineRule="auto"/>
        <w:rPr>
          <w:sz w:val="20"/>
          <w:szCs w:val="20"/>
          <w:color w:val="auto"/>
        </w:rPr>
      </w:pPr>
      <w:r>
        <w:rPr>
          <w:rFonts w:ascii="Times New Roman" w:cs="Times New Roman" w:eastAsia="Times New Roman" w:hAnsi="Times New Roman"/>
          <w:sz w:val="20"/>
          <w:szCs w:val="20"/>
          <w:color w:val="auto"/>
        </w:rPr>
        <w:t>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that we will pay any cash dividends in the foreseeable future.</w:t>
      </w:r>
    </w:p>
    <w:p>
      <w:pPr>
        <w:spacing w:after="0" w:line="120" w:lineRule="exact"/>
        <w:rPr>
          <w:sz w:val="20"/>
          <w:szCs w:val="20"/>
          <w:color w:val="auto"/>
        </w:rPr>
      </w:pPr>
    </w:p>
    <w:p>
      <w:pPr>
        <w:jc w:val="both"/>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8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develop and our stockholders may not be able to resell their shares of common stock for a profit, if at all.</w:t>
      </w:r>
    </w:p>
    <w:p>
      <w:pPr>
        <w:spacing w:after="0" w:line="49"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sales of shares by existing stockholders could cause our stock price to decline.</w:t>
      </w:r>
    </w:p>
    <w:p>
      <w:pPr>
        <w:spacing w:after="0" w:line="12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If our existing securityholders sell, or indicate an intention to sell, substantial amounts of our common stock in the public market after legal restrictions on resale discussed in this Annual Report on Form 10-K lapse, the trading price of our common stock could decline. As of December 31, 2022, we have 17,403,315 shares of common stock outstanding. Of the shares of common stock, approximately 11,132,590 shares will be available for sale in the public market beginning 180 days after the closing of the merger as a result of the expiration of lock-up agreements between us on the one hand and certain of our securityholders on the other hand. All other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20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and principal stockholders have the ability to control or significantly influence all matters submitted to our stockholders for approval.</w:t>
      </w:r>
    </w:p>
    <w:p>
      <w:pPr>
        <w:spacing w:after="0" w:line="49"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Our executive officers, directors and principal stockholders, in the aggregate, beneficially own approximately 70%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00"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49"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7" w:lineRule="exact"/>
        <w:rPr>
          <w:sz w:val="20"/>
          <w:szCs w:val="20"/>
          <w:color w:val="auto"/>
        </w:rPr>
      </w:pPr>
    </w:p>
    <w:p>
      <w:pPr>
        <w:ind w:right="80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will have broad discretion in the use of our cash and cash equivalents and may invest or spend our cash and cash equivalents in ways with which you do not agree and in ways that may not increase the value of your investment.</w:t>
      </w:r>
    </w:p>
    <w:p>
      <w:pPr>
        <w:spacing w:after="0" w:line="25"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We will have broad discretion over the use of our cash and cash equivalents .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440"/>
          </w:cols>
          <w:pgMar w:left="900" w:top="700" w:right="900" w:bottom="175" w:gutter="0" w:footer="0" w:header="0"/>
          <w:type w:val="continuous"/>
        </w:sectPr>
      </w:pPr>
    </w:p>
    <w:bookmarkStart w:id="101" w:name="page102"/>
    <w:bookmarkEnd w:id="101"/>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Our principal office is located at 321 Arsenal Street, Suite 101, Watertown, MA 02472, where we lease approximately 7,566 square feet of office space. The lease term began in November 2021 and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9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124"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8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360"/>
          </w:cols>
          <w:pgMar w:left="900" w:top="696"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360"/>
          </w:cols>
          <w:pgMar w:left="900" w:top="696" w:right="980" w:bottom="175"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left="1100" w:right="3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Information Regarding the Trading of Our Common Stock</w:t>
      </w:r>
    </w:p>
    <w:p>
      <w:pPr>
        <w:spacing w:after="0" w:line="124"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 Merger Agreement, dated August 9, 2022, pursuant to which Gemstone Merger Sub, Inc., or Merger Sub, merged with and into Disc Medicine Opco, Inc. (f/k/a Disc Medicine, Inc.), or Disc 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24"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As of February 28, 2023, there were 66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2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5 of Form 10-K regarding equity compensation plans is incorporated herein by reference to Item 12 of Part III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24"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auto"/>
        </w:rPr>
        <w:t>Except as previously disclosed in our Form 8-K filed with the SEC on December 29, 2022, we did not sell any securities that have not been registered under the Securities Act during the period covered by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 from Initial Public Offering</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 by the Issuer and Affiliated Purchasers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RESERVED</w:t>
      </w:r>
    </w:p>
    <w:p>
      <w:pPr>
        <w:sectPr>
          <w:pgSz w:w="12240" w:h="15840" w:orient="portrait"/>
          <w:cols w:equalWidth="0" w:num="1">
            <w:col w:w="10420"/>
          </w:cols>
          <w:pgMar w:left="900" w:top="69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420"/>
          </w:cols>
          <w:pgMar w:left="900" w:top="696" w:right="920" w:bottom="175" w:gutter="0" w:footer="0" w:header="0"/>
          <w:type w:val="continuous"/>
        </w:sectPr>
      </w:pPr>
    </w:p>
    <w:bookmarkStart w:id="103" w:name="page104"/>
    <w:bookmarkEnd w:id="103"/>
    <w:p>
      <w:pPr>
        <w:ind w:left="1100" w:right="3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3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20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expect interim data from BEACON in the first half of 2023 and topline data from AURORA by year-end 2023. We entered into a collaborative research and development agreement with the National Institutes of Health, or NIH, to conduct an NIH-sponsored clinical trial of bitopertin in DBA. The FDA authorized the clinical trial to proceed and we expect the trial to begin by mid-year 2023. We are planning additional trials of bitopertin in other indications.</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expect interim data from both of these trials in 2023. In addition, we are developing a preclinical anti-hemojuvelin, or HJV, monoclonal antibody, DISC-0998, which also targets hepcidin suppression and was in-licensed from AbbVie Deutschland GmbH &amp; Co. KG, or AbbVie. DISC-0998 is designed to increase serum iron levels and has an extended serum half-life as compared to DISC-0974. We believe this profile may be desirable in certain subsets of patients with anemia associated with inflammatory diseases.</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Lastly, we are developing MWTX-003, a monoclonal antibody against Transmembrane Serine Protease 6, or TMPRSS6, that we licensed from Mabwell Therapeutics, Inc., or Mabwell.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Merger with Gemini</w:t>
      </w:r>
    </w:p>
    <w:p>
      <w:pPr>
        <w:spacing w:after="0" w:line="240"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On August 9, 2022, Disc Medicine, Inc., a Delaware corporation, or Private Disc, entered into an Agreement and Plan of Merger and Reorganization, or the Merger Agreement, with Gemini Therapeutics, Inc., a Delaware corporation, or Gemini, Gemstone Merger Sub, Inc., a Delaware corporation and a wholly owned subsidiary of Gemini, or Merger Sub.</w:t>
      </w:r>
    </w:p>
    <w:p>
      <w:pPr>
        <w:sectPr>
          <w:pgSz w:w="12240" w:h="15840" w:orient="portrait"/>
          <w:cols w:equalWidth="0" w:num="1">
            <w:col w:w="10440"/>
          </w:cols>
          <w:pgMar w:left="900" w:top="696" w:right="900" w:bottom="175"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440"/>
          </w:cols>
          <w:pgMar w:left="900" w:top="696" w:right="900" w:bottom="175" w:gutter="0" w:footer="0" w:header="0"/>
          <w:type w:val="continuous"/>
        </w:sectPr>
      </w:pPr>
    </w:p>
    <w:bookmarkStart w:id="104" w:name="page105"/>
    <w:bookmarkEnd w:id="104"/>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On December 29, 2022, Private Disc completed the merger with Gemini, or the merger. Gemini changed its name to Disc Medicine Inc., and Private Disc changed its name to Disc Medicine Opco, Inc., a wholly-owned subsidiary of Disc Medicine, Inc. On December 30, 2022, our common stock began trading on The Nasdaq Capital Market under the ticker symbol “IRON.”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in connection with the research and development of our product candidates. These expenses include:</w:t>
      </w:r>
    </w:p>
    <w:p>
      <w:pPr>
        <w:spacing w:after="0" w:line="63" w:lineRule="exact"/>
        <w:rPr>
          <w:sz w:val="20"/>
          <w:szCs w:val="20"/>
          <w:color w:val="auto"/>
        </w:rPr>
      </w:pPr>
    </w:p>
    <w:p>
      <w:pPr>
        <w:ind w:left="72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employee-related expenses, including salaries, benefits, and stock-based compensation expense, for personnel engaged in research and development functions;</w:t>
      </w:r>
    </w:p>
    <w:p>
      <w:pPr>
        <w:spacing w:after="0" w:line="64" w:lineRule="exact"/>
        <w:rPr>
          <w:rFonts w:ascii="Arial" w:cs="Arial" w:eastAsia="Arial" w:hAnsi="Arial"/>
          <w:sz w:val="20"/>
          <w:szCs w:val="20"/>
          <w:color w:val="auto"/>
        </w:rPr>
      </w:pPr>
    </w:p>
    <w:p>
      <w:pPr>
        <w:ind w:left="720" w:right="36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expenses incurred in connection with our research and development activities, including under agreements with third parties such as consultants, contractors and CROs;</w:t>
      </w:r>
    </w:p>
    <w:p>
      <w:pPr>
        <w:spacing w:after="0" w:line="64" w:lineRule="exact"/>
        <w:rPr>
          <w:rFonts w:ascii="Arial" w:cs="Arial" w:eastAsia="Arial" w:hAnsi="Arial"/>
          <w:sz w:val="20"/>
          <w:szCs w:val="20"/>
          <w:color w:val="auto"/>
        </w:rPr>
      </w:pPr>
    </w:p>
    <w:p>
      <w:pPr>
        <w:ind w:left="720" w:hanging="367"/>
        <w:spacing w:after="0" w:line="252"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87" w:lineRule="exact"/>
        <w:rPr>
          <w:rFonts w:ascii="Arial" w:cs="Arial" w:eastAsia="Arial" w:hAnsi="Arial"/>
          <w:sz w:val="20"/>
          <w:szCs w:val="20"/>
          <w:color w:val="auto"/>
        </w:rPr>
      </w:pPr>
    </w:p>
    <w:p>
      <w:pPr>
        <w:ind w:left="720" w:right="88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acquiring and manufacturing preclinical study and clinical trial materials, including manufacturing registration and validation batches;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costs related to compliance with quality and regulatory requirements;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payments made under third-party licensing agreements.</w:t>
      </w:r>
    </w:p>
    <w:p>
      <w:pPr>
        <w:spacing w:after="0" w:line="119"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8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We typically use our employee and infrastructure resources across product candidates and development programs. We track outsourced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94" w:lineRule="exact"/>
        <w:rPr>
          <w:sz w:val="20"/>
          <w:szCs w:val="20"/>
          <w:color w:val="auto"/>
        </w:rPr>
      </w:pPr>
    </w:p>
    <w:p>
      <w:pPr>
        <w:ind w:left="720" w:hanging="367"/>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preclinical and clinical programs we decide to pursue;</w:t>
      </w:r>
    </w:p>
    <w:p>
      <w:pPr>
        <w:spacing w:after="0" w:line="133" w:lineRule="exact"/>
        <w:rPr>
          <w:rFonts w:ascii="Arial" w:cs="Arial" w:eastAsia="Arial" w:hAnsi="Arial"/>
          <w:sz w:val="20"/>
          <w:szCs w:val="20"/>
          <w:color w:val="auto"/>
        </w:rPr>
      </w:pPr>
    </w:p>
    <w:p>
      <w:pPr>
        <w:ind w:left="720" w:right="640" w:hanging="367"/>
        <w:spacing w:after="0" w:line="276" w:lineRule="auto"/>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raise additional funds necessary to complete clinical development of and commercialize our product candidates;</w:t>
      </w:r>
    </w:p>
    <w:p>
      <w:pPr>
        <w:spacing w:after="0" w:line="64" w:lineRule="exact"/>
        <w:rPr>
          <w:rFonts w:ascii="Arial" w:cs="Arial" w:eastAsia="Arial" w:hAnsi="Arial"/>
          <w:sz w:val="20"/>
          <w:szCs w:val="20"/>
          <w:color w:val="auto"/>
        </w:rPr>
      </w:pPr>
    </w:p>
    <w:p>
      <w:pPr>
        <w:ind w:left="720" w:right="160" w:hanging="367"/>
        <w:spacing w:after="0" w:line="276" w:lineRule="auto"/>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new licensing or collaboration arrangements and the progress of the development efforts of third parties with whom we may enter into such arrangements;</w:t>
      </w:r>
    </w:p>
    <w:p>
      <w:pPr>
        <w:sectPr>
          <w:pgSz w:w="12240" w:h="15840" w:orient="portrait"/>
          <w:cols w:equalWidth="0" w:num="1">
            <w:col w:w="10440"/>
          </w:cols>
          <w:pgMar w:left="900" w:top="700" w:right="900" w:bottom="175"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440"/>
          </w:cols>
          <w:pgMar w:left="900" w:top="700" w:right="900" w:bottom="175" w:gutter="0" w:footer="0" w:header="0"/>
          <w:type w:val="continuous"/>
        </w:sectPr>
      </w:pPr>
    </w:p>
    <w:bookmarkStart w:id="105" w:name="page106"/>
    <w:bookmarkEnd w:id="105"/>
    <w:p>
      <w:pPr>
        <w:ind w:left="720" w:hanging="367"/>
        <w:spacing w:after="0"/>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current research and development programs and to establish new programs;</w:t>
      </w:r>
    </w:p>
    <w:p>
      <w:pPr>
        <w:spacing w:after="0" w:line="133" w:lineRule="exact"/>
        <w:rPr>
          <w:rFonts w:ascii="Arial" w:cs="Arial" w:eastAsia="Arial" w:hAnsi="Arial"/>
          <w:sz w:val="20"/>
          <w:szCs w:val="20"/>
          <w:color w:val="auto"/>
        </w:rPr>
      </w:pPr>
    </w:p>
    <w:p>
      <w:pPr>
        <w:ind w:left="720" w:right="40" w:hanging="367"/>
        <w:spacing w:after="0" w:line="276" w:lineRule="auto"/>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successful initiation, enrollment and completion of clinical trials with safety, tolerability and efficacy profiles that are satisfactory to the FDA or any comparable foreign regulatory authority;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receipt and related terms of regulatory approvals from applicable regulatory authorities for any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raw materials for use in production of our product candidates;</w:t>
      </w:r>
    </w:p>
    <w:p>
      <w:pPr>
        <w:spacing w:after="0" w:line="133" w:lineRule="exact"/>
        <w:rPr>
          <w:rFonts w:ascii="Arial" w:cs="Arial" w:eastAsia="Arial" w:hAnsi="Arial"/>
          <w:sz w:val="20"/>
          <w:szCs w:val="20"/>
          <w:color w:val="auto"/>
        </w:rPr>
      </w:pPr>
    </w:p>
    <w:p>
      <w:pPr>
        <w:ind w:left="720" w:right="480" w:hanging="367"/>
        <w:spacing w:after="0" w:line="276" w:lineRule="auto"/>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agreements with third-party manufacturers for supply of product candidate components for our clinical trials;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patents, trade secret protection and regulatory exclusivity, both in the United States and internationally;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other rights in our intellectual property portfolio;</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commercializing product candidates, if and when approved, whether alone or in collaboration with others;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third-party insurance coverage and adequate reimbursement for any approved products.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and administrative consulting services; insurance costs, facility related expenses including maintenance and allocated expenses for rent and other operating costs.</w:t>
      </w:r>
    </w:p>
    <w:p>
      <w:pPr>
        <w:spacing w:after="0" w:line="7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substantially in the future as we increase our headcount to support our continued research and development and potential commercialization of our product candidates. We also expect that we will incur increased expenses associated with being a public company, including costs of accounting, audit, legal, regulatory and tax compliance services, director and officer insurance costs and investor and public relations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Interest income primarily consists of interest earned on money market fund accounts.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Derivative Liability</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In May 2021, we entered into the Roche Agreement, described in more detail in Notes 4 and 8 to our consolidated financial statements, which included an obligation to issue a variable number of shares of our common stock to Roche for no additional consideration upon the completion of a Roche Qualified Transaction as defined by the Roche Agreement. The liability is measured at fair value as of each reporting date and the change in the fair value for the period is recorded in the consolidated statements of operations and comprehensive loss in the change in fair value of derivative liability. The liability was settled upon the completion of the merger on December 29, 2022.</w:t>
      </w:r>
    </w:p>
    <w:p>
      <w:pPr>
        <w:sectPr>
          <w:pgSz w:w="12240" w:h="15840" w:orient="portrait"/>
          <w:cols w:equalWidth="0" w:num="1">
            <w:col w:w="10440"/>
          </w:cols>
          <w:pgMar w:left="900" w:top="71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440"/>
          </w:cols>
          <w:pgMar w:left="900" w:top="714" w:right="900" w:bottom="175"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2022 and 2021</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2022 and 2021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74"/>
        </w:trPr>
        <w:tc>
          <w:tcPr>
            <w:tcW w:w="6140" w:type="dxa"/>
            <w:vAlign w:val="bottom"/>
            <w:tcBorders>
              <w:bottom w:val="single" w:sz="8" w:color="D4EFF3"/>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4"/>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4EFF3"/>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2"/>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D4EFF3"/>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2"/>
              <w:spacing w:after="0" w:line="174"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61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shd w:val="clear" w:color="auto" w:fill="D4EFF3"/>
          </w:tcPr>
          <w:p>
            <w:pPr>
              <w:spacing w:after="0"/>
              <w:rPr>
                <w:sz w:val="19"/>
                <w:szCs w:val="19"/>
                <w:color w:val="auto"/>
              </w:rPr>
            </w:pPr>
          </w:p>
        </w:tc>
        <w:tc>
          <w:tcPr>
            <w:tcW w:w="106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260" w:type="dxa"/>
            <w:vAlign w:val="bottom"/>
            <w:shd w:val="clear" w:color="auto" w:fill="D4EFF3"/>
          </w:tcPr>
          <w:p>
            <w:pPr>
              <w:spacing w:after="0"/>
              <w:rPr>
                <w:sz w:val="19"/>
                <w:szCs w:val="19"/>
                <w:color w:val="auto"/>
              </w:rPr>
            </w:pPr>
          </w:p>
        </w:tc>
        <w:tc>
          <w:tcPr>
            <w:tcW w:w="106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1140" w:type="dxa"/>
            <w:vAlign w:val="bottom"/>
            <w:shd w:val="clear" w:color="auto" w:fill="D4EFF3"/>
          </w:tcPr>
          <w:p>
            <w:pPr>
              <w:spacing w:after="0"/>
              <w:rPr>
                <w:sz w:val="19"/>
                <w:szCs w:val="19"/>
                <w:color w:val="auto"/>
              </w:rPr>
            </w:pPr>
          </w:p>
        </w:tc>
      </w:tr>
      <w:tr>
        <w:trPr>
          <w:trHeight w:val="230"/>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33,437</w:t>
            </w:r>
          </w:p>
        </w:tc>
        <w:tc>
          <w:tcPr>
            <w:tcW w:w="16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25,170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8,267</w:t>
            </w:r>
          </w:p>
        </w:tc>
      </w:tr>
      <w:tr>
        <w:trPr>
          <w:trHeight w:val="230"/>
        </w:trPr>
        <w:tc>
          <w:tcPr>
            <w:tcW w:w="614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tcBorders>
              <w:bottom w:val="single" w:sz="8" w:color="auto"/>
            </w:tcBorders>
            <w:shd w:val="clear" w:color="auto" w:fill="D4EFF3"/>
          </w:tcPr>
          <w:p>
            <w:pPr>
              <w:spacing w:after="0"/>
              <w:rPr>
                <w:sz w:val="19"/>
                <w:szCs w:val="19"/>
                <w:color w:val="auto"/>
              </w:rPr>
            </w:pPr>
          </w:p>
        </w:tc>
        <w:tc>
          <w:tcPr>
            <w:tcW w:w="1060" w:type="dxa"/>
            <w:vAlign w:val="bottom"/>
            <w:tcBorders>
              <w:bottom w:val="single" w:sz="8" w:color="auto"/>
            </w:tcBorders>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14,038</w:t>
            </w:r>
          </w:p>
        </w:tc>
        <w:tc>
          <w:tcPr>
            <w:tcW w:w="160" w:type="dxa"/>
            <w:vAlign w:val="bottom"/>
            <w:shd w:val="clear" w:color="auto" w:fill="D4EFF3"/>
          </w:tcPr>
          <w:p>
            <w:pPr>
              <w:spacing w:after="0"/>
              <w:rPr>
                <w:sz w:val="19"/>
                <w:szCs w:val="19"/>
                <w:color w:val="auto"/>
              </w:rPr>
            </w:pPr>
          </w:p>
        </w:tc>
        <w:tc>
          <w:tcPr>
            <w:tcW w:w="260" w:type="dxa"/>
            <w:vAlign w:val="bottom"/>
            <w:tcBorders>
              <w:bottom w:val="single" w:sz="8" w:color="auto"/>
            </w:tcBorders>
            <w:shd w:val="clear" w:color="auto" w:fill="D4EFF3"/>
          </w:tcPr>
          <w:p>
            <w:pPr>
              <w:spacing w:after="0"/>
              <w:rPr>
                <w:sz w:val="19"/>
                <w:szCs w:val="19"/>
                <w:color w:val="auto"/>
              </w:rPr>
            </w:pPr>
          </w:p>
        </w:tc>
        <w:tc>
          <w:tcPr>
            <w:tcW w:w="1060" w:type="dxa"/>
            <w:vAlign w:val="bottom"/>
            <w:tcBorders>
              <w:bottom w:val="single" w:sz="8" w:color="auto"/>
            </w:tcBorders>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5,763</w:t>
            </w:r>
          </w:p>
        </w:tc>
        <w:tc>
          <w:tcPr>
            <w:tcW w:w="160" w:type="dxa"/>
            <w:vAlign w:val="bottom"/>
            <w:shd w:val="clear" w:color="auto" w:fill="D4EFF3"/>
          </w:tcPr>
          <w:p>
            <w:pPr>
              <w:spacing w:after="0"/>
              <w:rPr>
                <w:sz w:val="19"/>
                <w:szCs w:val="19"/>
                <w:color w:val="auto"/>
              </w:rPr>
            </w:pPr>
          </w:p>
        </w:tc>
        <w:tc>
          <w:tcPr>
            <w:tcW w:w="180" w:type="dxa"/>
            <w:vAlign w:val="bottom"/>
            <w:tcBorders>
              <w:bottom w:val="single" w:sz="8" w:color="auto"/>
            </w:tcBorders>
            <w:shd w:val="clear" w:color="auto" w:fill="D4EFF3"/>
          </w:tcPr>
          <w:p>
            <w:pPr>
              <w:spacing w:after="0"/>
              <w:rPr>
                <w:sz w:val="19"/>
                <w:szCs w:val="19"/>
                <w:color w:val="auto"/>
              </w:rPr>
            </w:pPr>
          </w:p>
        </w:tc>
        <w:tc>
          <w:tcPr>
            <w:tcW w:w="1140" w:type="dxa"/>
            <w:vAlign w:val="bottom"/>
            <w:tcBorders>
              <w:bottom w:val="single" w:sz="8" w:color="auto"/>
            </w:tcBorders>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8,275</w:t>
            </w:r>
          </w:p>
        </w:tc>
      </w:tr>
      <w:tr>
        <w:trPr>
          <w:trHeight w:val="220"/>
        </w:trPr>
        <w:tc>
          <w:tcPr>
            <w:tcW w:w="6140" w:type="dxa"/>
            <w:vAlign w:val="bottom"/>
            <w:tcBorders>
              <w:bottom w:val="single" w:sz="8" w:color="D4EFF3"/>
            </w:tcBorders>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47,475</w:t>
            </w:r>
          </w:p>
        </w:tc>
        <w:tc>
          <w:tcPr>
            <w:tcW w:w="160" w:type="dxa"/>
            <w:vAlign w:val="bottom"/>
            <w:tcBorders>
              <w:bottom w:val="single" w:sz="8" w:color="D4EFF3"/>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rPr>
              <w:t>30,933</w:t>
            </w:r>
          </w:p>
        </w:tc>
        <w:tc>
          <w:tcPr>
            <w:tcW w:w="160" w:type="dxa"/>
            <w:vAlign w:val="bottom"/>
            <w:tcBorders>
              <w:bottom w:val="single" w:sz="8" w:color="D4EF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rPr>
              <w:t>16,542</w:t>
            </w:r>
          </w:p>
        </w:tc>
      </w:tr>
      <w:tr>
        <w:trPr>
          <w:trHeight w:val="220"/>
        </w:trPr>
        <w:tc>
          <w:tcPr>
            <w:tcW w:w="61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280" w:type="dxa"/>
            <w:vAlign w:val="bottom"/>
            <w:shd w:val="clear" w:color="auto" w:fill="D4EFF3"/>
          </w:tcPr>
          <w:p>
            <w:pPr>
              <w:spacing w:after="0"/>
              <w:rPr>
                <w:sz w:val="19"/>
                <w:szCs w:val="19"/>
                <w:color w:val="auto"/>
              </w:rPr>
            </w:pPr>
          </w:p>
        </w:tc>
        <w:tc>
          <w:tcPr>
            <w:tcW w:w="106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(47,475)</w:t>
            </w:r>
          </w:p>
        </w:tc>
        <w:tc>
          <w:tcPr>
            <w:tcW w:w="160" w:type="dxa"/>
            <w:vAlign w:val="bottom"/>
            <w:shd w:val="clear" w:color="auto" w:fill="D4EFF3"/>
          </w:tcPr>
          <w:p>
            <w:pPr>
              <w:spacing w:after="0"/>
              <w:rPr>
                <w:sz w:val="19"/>
                <w:szCs w:val="19"/>
                <w:color w:val="auto"/>
              </w:rPr>
            </w:pPr>
          </w:p>
        </w:tc>
        <w:tc>
          <w:tcPr>
            <w:tcW w:w="260" w:type="dxa"/>
            <w:vAlign w:val="bottom"/>
            <w:shd w:val="clear" w:color="auto" w:fill="D4EFF3"/>
          </w:tcPr>
          <w:p>
            <w:pPr>
              <w:spacing w:after="0"/>
              <w:rPr>
                <w:sz w:val="19"/>
                <w:szCs w:val="19"/>
                <w:color w:val="auto"/>
              </w:rPr>
            </w:pPr>
          </w:p>
        </w:tc>
        <w:tc>
          <w:tcPr>
            <w:tcW w:w="106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(30,933)</w:t>
            </w:r>
          </w:p>
        </w:tc>
        <w:tc>
          <w:tcPr>
            <w:tcW w:w="16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114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(16,542)</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14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shd w:val="clear" w:color="auto" w:fill="D4EFF3"/>
          </w:tcPr>
          <w:p>
            <w:pPr>
              <w:spacing w:after="0"/>
              <w:rPr>
                <w:sz w:val="19"/>
                <w:szCs w:val="19"/>
                <w:color w:val="auto"/>
              </w:rPr>
            </w:pPr>
          </w:p>
        </w:tc>
        <w:tc>
          <w:tcPr>
            <w:tcW w:w="106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709</w:t>
            </w:r>
          </w:p>
        </w:tc>
        <w:tc>
          <w:tcPr>
            <w:tcW w:w="160" w:type="dxa"/>
            <w:vAlign w:val="bottom"/>
            <w:shd w:val="clear" w:color="auto" w:fill="D4EFF3"/>
          </w:tcPr>
          <w:p>
            <w:pPr>
              <w:spacing w:after="0"/>
              <w:rPr>
                <w:sz w:val="19"/>
                <w:szCs w:val="19"/>
                <w:color w:val="auto"/>
              </w:rPr>
            </w:pPr>
          </w:p>
        </w:tc>
        <w:tc>
          <w:tcPr>
            <w:tcW w:w="260" w:type="dxa"/>
            <w:vAlign w:val="bottom"/>
            <w:shd w:val="clear" w:color="auto" w:fill="D4EFF3"/>
          </w:tcPr>
          <w:p>
            <w:pPr>
              <w:spacing w:after="0"/>
              <w:rPr>
                <w:sz w:val="19"/>
                <w:szCs w:val="19"/>
                <w:color w:val="auto"/>
              </w:rPr>
            </w:pPr>
          </w:p>
        </w:tc>
        <w:tc>
          <w:tcPr>
            <w:tcW w:w="106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695</w:t>
            </w:r>
          </w:p>
        </w:tc>
      </w:tr>
      <w:tr>
        <w:trPr>
          <w:trHeight w:val="230"/>
        </w:trPr>
        <w:tc>
          <w:tcPr>
            <w:tcW w:w="614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Change in fair value of derivative liability</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60" w:type="dxa"/>
            <w:vAlign w:val="bottom"/>
            <w:tcBorders>
              <w:bottom w:val="single" w:sz="8" w:color="D4EFF3"/>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(5,050)</w:t>
            </w:r>
          </w:p>
        </w:tc>
        <w:tc>
          <w:tcPr>
            <w:tcW w:w="160" w:type="dxa"/>
            <w:vAlign w:val="bottom"/>
            <w:tcBorders>
              <w:bottom w:val="single" w:sz="8" w:color="D4EF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4,989</w:t>
            </w:r>
          </w:p>
        </w:tc>
      </w:tr>
      <w:tr>
        <w:trPr>
          <w:trHeight w:val="220"/>
        </w:trPr>
        <w:tc>
          <w:tcPr>
            <w:tcW w:w="6140" w:type="dxa"/>
            <w:vAlign w:val="bottom"/>
            <w:shd w:val="clear" w:color="auto" w:fill="D4EFF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280" w:type="dxa"/>
            <w:vAlign w:val="bottom"/>
            <w:tcBorders>
              <w:bottom w:val="single" w:sz="8" w:color="auto"/>
            </w:tcBorders>
            <w:shd w:val="clear" w:color="auto" w:fill="D4EFF3"/>
          </w:tcPr>
          <w:p>
            <w:pPr>
              <w:spacing w:after="0"/>
              <w:rPr>
                <w:sz w:val="19"/>
                <w:szCs w:val="19"/>
                <w:color w:val="auto"/>
              </w:rPr>
            </w:pPr>
          </w:p>
        </w:tc>
        <w:tc>
          <w:tcPr>
            <w:tcW w:w="1060" w:type="dxa"/>
            <w:vAlign w:val="bottom"/>
            <w:tcBorders>
              <w:bottom w:val="single" w:sz="8" w:color="auto"/>
            </w:tcBorders>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648</w:t>
            </w:r>
          </w:p>
        </w:tc>
        <w:tc>
          <w:tcPr>
            <w:tcW w:w="160" w:type="dxa"/>
            <w:vAlign w:val="bottom"/>
            <w:shd w:val="clear" w:color="auto" w:fill="D4EFF3"/>
          </w:tcPr>
          <w:p>
            <w:pPr>
              <w:spacing w:after="0"/>
              <w:rPr>
                <w:sz w:val="19"/>
                <w:szCs w:val="19"/>
                <w:color w:val="auto"/>
              </w:rPr>
            </w:pPr>
          </w:p>
        </w:tc>
        <w:tc>
          <w:tcPr>
            <w:tcW w:w="260" w:type="dxa"/>
            <w:vAlign w:val="bottom"/>
            <w:tcBorders>
              <w:bottom w:val="single" w:sz="8" w:color="auto"/>
            </w:tcBorders>
            <w:shd w:val="clear" w:color="auto" w:fill="D4EFF3"/>
          </w:tcPr>
          <w:p>
            <w:pPr>
              <w:spacing w:after="0"/>
              <w:rPr>
                <w:sz w:val="19"/>
                <w:szCs w:val="19"/>
                <w:color w:val="auto"/>
              </w:rPr>
            </w:pPr>
          </w:p>
        </w:tc>
        <w:tc>
          <w:tcPr>
            <w:tcW w:w="106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(5,036)</w:t>
            </w:r>
          </w:p>
        </w:tc>
        <w:tc>
          <w:tcPr>
            <w:tcW w:w="160" w:type="dxa"/>
            <w:vAlign w:val="bottom"/>
            <w:shd w:val="clear" w:color="auto" w:fill="D4EFF3"/>
          </w:tcPr>
          <w:p>
            <w:pPr>
              <w:spacing w:after="0"/>
              <w:rPr>
                <w:sz w:val="19"/>
                <w:szCs w:val="19"/>
                <w:color w:val="auto"/>
              </w:rPr>
            </w:pPr>
          </w:p>
        </w:tc>
        <w:tc>
          <w:tcPr>
            <w:tcW w:w="180" w:type="dxa"/>
            <w:vAlign w:val="bottom"/>
            <w:tcBorders>
              <w:bottom w:val="single" w:sz="8" w:color="auto"/>
            </w:tcBorders>
            <w:shd w:val="clear" w:color="auto" w:fill="D4EFF3"/>
          </w:tcPr>
          <w:p>
            <w:pPr>
              <w:spacing w:after="0"/>
              <w:rPr>
                <w:sz w:val="19"/>
                <w:szCs w:val="19"/>
                <w:color w:val="auto"/>
              </w:rPr>
            </w:pPr>
          </w:p>
        </w:tc>
        <w:tc>
          <w:tcPr>
            <w:tcW w:w="1140" w:type="dxa"/>
            <w:vAlign w:val="bottom"/>
            <w:tcBorders>
              <w:bottom w:val="single" w:sz="8" w:color="auto"/>
            </w:tcBorders>
            <w:shd w:val="clear" w:color="auto" w:fill="D4EFF3"/>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rPr>
              <w:t>5,684</w:t>
            </w:r>
          </w:p>
        </w:tc>
      </w:tr>
      <w:tr>
        <w:trPr>
          <w:trHeight w:val="220"/>
        </w:trPr>
        <w:tc>
          <w:tcPr>
            <w:tcW w:w="61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(46,827)</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(35,969)</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(10,858)</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years ended December 31, 2022 and 2021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Pr>
          <w:p>
            <w:pPr>
              <w:spacing w:after="0"/>
              <w:rPr>
                <w:sz w:val="16"/>
                <w:szCs w:val="16"/>
                <w:color w:val="auto"/>
              </w:rPr>
            </w:pPr>
          </w:p>
        </w:tc>
      </w:tr>
      <w:tr>
        <w:trPr>
          <w:trHeight w:val="203"/>
        </w:trPr>
        <w:tc>
          <w:tcPr>
            <w:tcW w:w="5360" w:type="dxa"/>
            <w:vAlign w:val="bottom"/>
            <w:tcBorders>
              <w:bottom w:val="single" w:sz="8" w:color="D4EFF3"/>
            </w:tcBorders>
          </w:tcPr>
          <w:p>
            <w:pPr>
              <w:spacing w:after="0"/>
              <w:rPr>
                <w:sz w:val="17"/>
                <w:szCs w:val="17"/>
                <w:color w:val="auto"/>
              </w:rPr>
            </w:pPr>
          </w:p>
        </w:tc>
        <w:tc>
          <w:tcPr>
            <w:tcW w:w="780" w:type="dxa"/>
            <w:vAlign w:val="bottom"/>
            <w:tcBorders>
              <w:bottom w:val="single" w:sz="8" w:color="D4EFF3"/>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4EFF3"/>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D4EFF3"/>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53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Bitopertin</w:t>
            </w:r>
          </w:p>
        </w:tc>
        <w:tc>
          <w:tcPr>
            <w:tcW w:w="780" w:type="dxa"/>
            <w:vAlign w:val="bottom"/>
            <w:shd w:val="clear" w:color="auto" w:fill="D4EFF3"/>
          </w:tcPr>
          <w:p>
            <w:pPr>
              <w:spacing w:after="0"/>
              <w:rPr>
                <w:sz w:val="19"/>
                <w:szCs w:val="19"/>
                <w:color w:val="auto"/>
              </w:rPr>
            </w:pPr>
          </w:p>
        </w:tc>
        <w:tc>
          <w:tcPr>
            <w:tcW w:w="280" w:type="dxa"/>
            <w:vAlign w:val="bottom"/>
            <w:shd w:val="clear" w:color="auto" w:fill="D4EF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4EFF3"/>
          </w:tcPr>
          <w:p>
            <w:pPr>
              <w:jc w:val="right"/>
              <w:ind w:right="6"/>
              <w:spacing w:after="0" w:line="220" w:lineRule="exact"/>
              <w:rPr>
                <w:sz w:val="20"/>
                <w:szCs w:val="20"/>
                <w:color w:val="auto"/>
              </w:rPr>
            </w:pPr>
            <w:r>
              <w:rPr>
                <w:rFonts w:ascii="Times New Roman" w:cs="Times New Roman" w:eastAsia="Times New Roman" w:hAnsi="Times New Roman"/>
                <w:sz w:val="20"/>
                <w:szCs w:val="20"/>
                <w:color w:val="auto"/>
              </w:rPr>
              <w:t>8,783</w:t>
            </w:r>
          </w:p>
        </w:tc>
        <w:tc>
          <w:tcPr>
            <w:tcW w:w="160" w:type="dxa"/>
            <w:vAlign w:val="bottom"/>
            <w:shd w:val="clear" w:color="auto" w:fill="D4EFF3"/>
          </w:tcPr>
          <w:p>
            <w:pPr>
              <w:spacing w:after="0"/>
              <w:rPr>
                <w:sz w:val="19"/>
                <w:szCs w:val="19"/>
                <w:color w:val="auto"/>
              </w:rPr>
            </w:pPr>
          </w:p>
        </w:tc>
        <w:tc>
          <w:tcPr>
            <w:tcW w:w="260" w:type="dxa"/>
            <w:vAlign w:val="bottom"/>
            <w:shd w:val="clear" w:color="auto" w:fill="D4EF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8,354</w:t>
            </w:r>
          </w:p>
        </w:tc>
        <w:tc>
          <w:tcPr>
            <w:tcW w:w="160" w:type="dxa"/>
            <w:vAlign w:val="bottom"/>
            <w:shd w:val="clear" w:color="auto" w:fill="D4EFF3"/>
          </w:tcPr>
          <w:p>
            <w:pPr>
              <w:spacing w:after="0"/>
              <w:rPr>
                <w:sz w:val="19"/>
                <w:szCs w:val="19"/>
                <w:color w:val="auto"/>
              </w:rPr>
            </w:pPr>
          </w:p>
        </w:tc>
        <w:tc>
          <w:tcPr>
            <w:tcW w:w="18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429</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DISC-0974</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10,241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3,222</w:t>
            </w:r>
          </w:p>
        </w:tc>
      </w:tr>
      <w:tr>
        <w:trPr>
          <w:trHeight w:val="230"/>
        </w:trPr>
        <w:tc>
          <w:tcPr>
            <w:tcW w:w="53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Personnel-related (including equity-based compensation)</w:t>
            </w:r>
          </w:p>
        </w:tc>
        <w:tc>
          <w:tcPr>
            <w:tcW w:w="780" w:type="dxa"/>
            <w:vAlign w:val="bottom"/>
            <w:shd w:val="clear" w:color="auto" w:fill="D4EFF3"/>
          </w:tcPr>
          <w:p>
            <w:pPr>
              <w:spacing w:after="0"/>
              <w:rPr>
                <w:sz w:val="19"/>
                <w:szCs w:val="19"/>
                <w:color w:val="auto"/>
              </w:rPr>
            </w:pPr>
          </w:p>
        </w:tc>
        <w:tc>
          <w:tcPr>
            <w:tcW w:w="280" w:type="dxa"/>
            <w:vAlign w:val="bottom"/>
            <w:shd w:val="clear" w:color="auto" w:fill="D4EFF3"/>
          </w:tcPr>
          <w:p>
            <w:pPr>
              <w:spacing w:after="0"/>
              <w:rPr>
                <w:sz w:val="19"/>
                <w:szCs w:val="19"/>
                <w:color w:val="auto"/>
              </w:rPr>
            </w:pPr>
          </w:p>
        </w:tc>
        <w:tc>
          <w:tcPr>
            <w:tcW w:w="1060" w:type="dxa"/>
            <w:vAlign w:val="bottom"/>
            <w:shd w:val="clear" w:color="auto" w:fill="D4EFF3"/>
          </w:tcPr>
          <w:p>
            <w:pPr>
              <w:jc w:val="right"/>
              <w:ind w:right="6"/>
              <w:spacing w:after="0"/>
              <w:rPr>
                <w:sz w:val="20"/>
                <w:szCs w:val="20"/>
                <w:color w:val="auto"/>
              </w:rPr>
            </w:pPr>
            <w:r>
              <w:rPr>
                <w:rFonts w:ascii="Times New Roman" w:cs="Times New Roman" w:eastAsia="Times New Roman" w:hAnsi="Times New Roman"/>
                <w:sz w:val="20"/>
                <w:szCs w:val="20"/>
                <w:color w:val="auto"/>
              </w:rPr>
              <w:t>9,177</w:t>
            </w:r>
          </w:p>
        </w:tc>
        <w:tc>
          <w:tcPr>
            <w:tcW w:w="160" w:type="dxa"/>
            <w:vAlign w:val="bottom"/>
            <w:shd w:val="clear" w:color="auto" w:fill="D4EFF3"/>
          </w:tcPr>
          <w:p>
            <w:pPr>
              <w:spacing w:after="0"/>
              <w:rPr>
                <w:sz w:val="19"/>
                <w:szCs w:val="19"/>
                <w:color w:val="auto"/>
              </w:rPr>
            </w:pPr>
          </w:p>
        </w:tc>
        <w:tc>
          <w:tcPr>
            <w:tcW w:w="260" w:type="dxa"/>
            <w:vAlign w:val="bottom"/>
            <w:shd w:val="clear" w:color="auto" w:fill="D4EFF3"/>
          </w:tcPr>
          <w:p>
            <w:pPr>
              <w:spacing w:after="0"/>
              <w:rPr>
                <w:sz w:val="19"/>
                <w:szCs w:val="19"/>
                <w:color w:val="auto"/>
              </w:rPr>
            </w:pPr>
          </w:p>
        </w:tc>
        <w:tc>
          <w:tcPr>
            <w:tcW w:w="106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4,709</w:t>
            </w:r>
          </w:p>
        </w:tc>
        <w:tc>
          <w:tcPr>
            <w:tcW w:w="16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4,468</w:t>
            </w:r>
          </w:p>
        </w:tc>
      </w:tr>
      <w:tr>
        <w:trPr>
          <w:trHeight w:val="230"/>
        </w:trPr>
        <w:tc>
          <w:tcPr>
            <w:tcW w:w="53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Other research programs and expenses</w:t>
            </w:r>
          </w:p>
        </w:tc>
        <w:tc>
          <w:tcPr>
            <w:tcW w:w="780" w:type="dxa"/>
            <w:vAlign w:val="bottom"/>
            <w:tcBorders>
              <w:bottom w:val="single" w:sz="8" w:color="D4EFF3"/>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5,236</w:t>
            </w:r>
          </w:p>
        </w:tc>
        <w:tc>
          <w:tcPr>
            <w:tcW w:w="160" w:type="dxa"/>
            <w:vAlign w:val="bottom"/>
            <w:tcBorders>
              <w:bottom w:val="single" w:sz="8" w:color="D4EFF3"/>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5,088</w:t>
            </w:r>
          </w:p>
        </w:tc>
        <w:tc>
          <w:tcPr>
            <w:tcW w:w="160" w:type="dxa"/>
            <w:vAlign w:val="bottom"/>
            <w:tcBorders>
              <w:bottom w:val="single" w:sz="8" w:color="D4EF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148</w:t>
            </w:r>
          </w:p>
        </w:tc>
      </w:tr>
      <w:tr>
        <w:trPr>
          <w:trHeight w:val="220"/>
        </w:trPr>
        <w:tc>
          <w:tcPr>
            <w:tcW w:w="5360" w:type="dxa"/>
            <w:vAlign w:val="bottom"/>
            <w:shd w:val="clear" w:color="auto" w:fill="D4EFF3"/>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research and development expenses</w:t>
            </w:r>
          </w:p>
        </w:tc>
        <w:tc>
          <w:tcPr>
            <w:tcW w:w="780" w:type="dxa"/>
            <w:vAlign w:val="bottom"/>
            <w:shd w:val="clear" w:color="auto" w:fill="D4EFF3"/>
          </w:tcPr>
          <w:p>
            <w:pPr>
              <w:spacing w:after="0"/>
              <w:rPr>
                <w:sz w:val="19"/>
                <w:szCs w:val="19"/>
                <w:color w:val="auto"/>
              </w:rPr>
            </w:pPr>
          </w:p>
        </w:tc>
        <w:tc>
          <w:tcPr>
            <w:tcW w:w="280" w:type="dxa"/>
            <w:vAlign w:val="bottom"/>
            <w:tcBorders>
              <w:bottom w:val="single" w:sz="8" w:color="auto"/>
            </w:tcBorders>
            <w:shd w:val="clear" w:color="auto" w:fill="D4EF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4EFF3"/>
          </w:tcPr>
          <w:p>
            <w:pPr>
              <w:jc w:val="right"/>
              <w:ind w:right="6"/>
              <w:spacing w:after="0" w:line="220" w:lineRule="exact"/>
              <w:rPr>
                <w:sz w:val="20"/>
                <w:szCs w:val="20"/>
                <w:color w:val="auto"/>
              </w:rPr>
            </w:pPr>
            <w:r>
              <w:rPr>
                <w:rFonts w:ascii="Times New Roman" w:cs="Times New Roman" w:eastAsia="Times New Roman" w:hAnsi="Times New Roman"/>
                <w:sz w:val="20"/>
                <w:szCs w:val="20"/>
                <w:color w:val="auto"/>
              </w:rPr>
              <w:t>33,437</w:t>
            </w:r>
          </w:p>
        </w:tc>
        <w:tc>
          <w:tcPr>
            <w:tcW w:w="160" w:type="dxa"/>
            <w:vAlign w:val="bottom"/>
            <w:shd w:val="clear" w:color="auto" w:fill="D4EFF3"/>
          </w:tcPr>
          <w:p>
            <w:pPr>
              <w:spacing w:after="0"/>
              <w:rPr>
                <w:sz w:val="19"/>
                <w:szCs w:val="19"/>
                <w:color w:val="auto"/>
              </w:rPr>
            </w:pPr>
          </w:p>
        </w:tc>
        <w:tc>
          <w:tcPr>
            <w:tcW w:w="260" w:type="dxa"/>
            <w:vAlign w:val="bottom"/>
            <w:tcBorders>
              <w:bottom w:val="single" w:sz="8" w:color="auto"/>
            </w:tcBorders>
            <w:shd w:val="clear" w:color="auto" w:fill="D4EF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25,170</w:t>
            </w:r>
          </w:p>
        </w:tc>
        <w:tc>
          <w:tcPr>
            <w:tcW w:w="160" w:type="dxa"/>
            <w:vAlign w:val="bottom"/>
            <w:shd w:val="clear" w:color="auto" w:fill="D4EFF3"/>
          </w:tcPr>
          <w:p>
            <w:pPr>
              <w:spacing w:after="0"/>
              <w:rPr>
                <w:sz w:val="19"/>
                <w:szCs w:val="19"/>
                <w:color w:val="auto"/>
              </w:rPr>
            </w:pPr>
          </w:p>
        </w:tc>
        <w:tc>
          <w:tcPr>
            <w:tcW w:w="18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8,267</w:t>
            </w:r>
          </w:p>
        </w:tc>
      </w:tr>
      <w:tr>
        <w:trPr>
          <w:trHeight w:val="20"/>
        </w:trPr>
        <w:tc>
          <w:tcPr>
            <w:tcW w:w="5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expenses were $33.4 million for the year ended December 31, 2022, compared to $25.2 million for the year ended December 31, 2021. The increase of $8.3 million in research and development expenses was primarily due to a $4.5 million increase in personnel-related costs related to higher research and development headcount and $3.2 million in the DISC-0974 program as a result of increased clinical CRO spend.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general and administrative expenses for the years ended December 31, 2022 and 2021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Pr>
          <w:p>
            <w:pPr>
              <w:spacing w:after="0"/>
              <w:rPr>
                <w:sz w:val="16"/>
                <w:szCs w:val="16"/>
                <w:color w:val="auto"/>
              </w:rPr>
            </w:pPr>
          </w:p>
        </w:tc>
      </w:tr>
      <w:tr>
        <w:trPr>
          <w:trHeight w:val="203"/>
        </w:trPr>
        <w:tc>
          <w:tcPr>
            <w:tcW w:w="6140" w:type="dxa"/>
            <w:vAlign w:val="bottom"/>
            <w:tcBorders>
              <w:bottom w:val="single" w:sz="8" w:color="D4EFF3"/>
            </w:tcBorders>
          </w:tcPr>
          <w:p>
            <w:pPr>
              <w:spacing w:after="0"/>
              <w:rPr>
                <w:sz w:val="17"/>
                <w:szCs w:val="17"/>
                <w:color w:val="auto"/>
              </w:rPr>
            </w:pPr>
          </w:p>
        </w:tc>
        <w:tc>
          <w:tcPr>
            <w:tcW w:w="20" w:type="dxa"/>
            <w:vAlign w:val="bottom"/>
            <w:tcBorders>
              <w:bottom w:val="single" w:sz="8" w:color="D4EFF3"/>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4EFF3"/>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D4EFF3"/>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61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Personnel-related (including equity-based compensation)</w:t>
            </w:r>
          </w:p>
        </w:tc>
        <w:tc>
          <w:tcPr>
            <w:tcW w:w="20" w:type="dxa"/>
            <w:vAlign w:val="bottom"/>
            <w:shd w:val="clear" w:color="auto" w:fill="D4EFF3"/>
          </w:tcPr>
          <w:p>
            <w:pPr>
              <w:spacing w:after="0"/>
              <w:rPr>
                <w:sz w:val="19"/>
                <w:szCs w:val="19"/>
                <w:color w:val="auto"/>
              </w:rPr>
            </w:pPr>
          </w:p>
        </w:tc>
        <w:tc>
          <w:tcPr>
            <w:tcW w:w="260" w:type="dxa"/>
            <w:vAlign w:val="bottom"/>
            <w:shd w:val="clear" w:color="auto" w:fill="D4EFF3"/>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4EFF3"/>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rPr>
              <w:t>6,983</w:t>
            </w:r>
          </w:p>
        </w:tc>
        <w:tc>
          <w:tcPr>
            <w:tcW w:w="160" w:type="dxa"/>
            <w:vAlign w:val="bottom"/>
            <w:shd w:val="clear" w:color="auto" w:fill="D4EFF3"/>
          </w:tcPr>
          <w:p>
            <w:pPr>
              <w:spacing w:after="0"/>
              <w:rPr>
                <w:sz w:val="19"/>
                <w:szCs w:val="19"/>
                <w:color w:val="auto"/>
              </w:rPr>
            </w:pPr>
          </w:p>
        </w:tc>
        <w:tc>
          <w:tcPr>
            <w:tcW w:w="260" w:type="dxa"/>
            <w:vAlign w:val="bottom"/>
            <w:shd w:val="clear" w:color="auto" w:fill="D4EF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2,692</w:t>
            </w:r>
          </w:p>
        </w:tc>
        <w:tc>
          <w:tcPr>
            <w:tcW w:w="160" w:type="dxa"/>
            <w:vAlign w:val="bottom"/>
            <w:shd w:val="clear" w:color="auto" w:fill="D4EFF3"/>
          </w:tcPr>
          <w:p>
            <w:pPr>
              <w:spacing w:after="0"/>
              <w:rPr>
                <w:sz w:val="19"/>
                <w:szCs w:val="19"/>
                <w:color w:val="auto"/>
              </w:rPr>
            </w:pPr>
          </w:p>
        </w:tc>
        <w:tc>
          <w:tcPr>
            <w:tcW w:w="18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4,291</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Legal, consulting and professional fees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6,252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3,591</w:t>
            </w:r>
          </w:p>
        </w:tc>
      </w:tr>
      <w:tr>
        <w:trPr>
          <w:trHeight w:val="230"/>
        </w:trPr>
        <w:tc>
          <w:tcPr>
            <w:tcW w:w="61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Other expenses</w:t>
            </w:r>
          </w:p>
        </w:tc>
        <w:tc>
          <w:tcPr>
            <w:tcW w:w="20" w:type="dxa"/>
            <w:vAlign w:val="bottom"/>
            <w:shd w:val="clear" w:color="auto" w:fill="D4EFF3"/>
          </w:tcPr>
          <w:p>
            <w:pPr>
              <w:spacing w:after="0"/>
              <w:rPr>
                <w:sz w:val="19"/>
                <w:szCs w:val="19"/>
                <w:color w:val="auto"/>
              </w:rPr>
            </w:pPr>
          </w:p>
        </w:tc>
        <w:tc>
          <w:tcPr>
            <w:tcW w:w="260" w:type="dxa"/>
            <w:vAlign w:val="bottom"/>
            <w:tcBorders>
              <w:bottom w:val="single" w:sz="8" w:color="auto"/>
            </w:tcBorders>
            <w:shd w:val="clear" w:color="auto" w:fill="D4EFF3"/>
          </w:tcPr>
          <w:p>
            <w:pPr>
              <w:spacing w:after="0"/>
              <w:rPr>
                <w:sz w:val="19"/>
                <w:szCs w:val="19"/>
                <w:color w:val="auto"/>
              </w:rPr>
            </w:pPr>
          </w:p>
        </w:tc>
        <w:tc>
          <w:tcPr>
            <w:tcW w:w="1060" w:type="dxa"/>
            <w:vAlign w:val="bottom"/>
            <w:tcBorders>
              <w:bottom w:val="single" w:sz="8" w:color="auto"/>
            </w:tcBorders>
            <w:shd w:val="clear" w:color="auto" w:fill="D4EFF3"/>
          </w:tcPr>
          <w:p>
            <w:pPr>
              <w:jc w:val="right"/>
              <w:ind w:right="7"/>
              <w:spacing w:after="0"/>
              <w:rPr>
                <w:sz w:val="20"/>
                <w:szCs w:val="20"/>
                <w:color w:val="auto"/>
              </w:rPr>
            </w:pPr>
            <w:r>
              <w:rPr>
                <w:rFonts w:ascii="Times New Roman" w:cs="Times New Roman" w:eastAsia="Times New Roman" w:hAnsi="Times New Roman"/>
                <w:sz w:val="20"/>
                <w:szCs w:val="20"/>
                <w:color w:val="auto"/>
              </w:rPr>
              <w:t>803</w:t>
            </w:r>
          </w:p>
        </w:tc>
        <w:tc>
          <w:tcPr>
            <w:tcW w:w="160" w:type="dxa"/>
            <w:vAlign w:val="bottom"/>
            <w:shd w:val="clear" w:color="auto" w:fill="D4EFF3"/>
          </w:tcPr>
          <w:p>
            <w:pPr>
              <w:spacing w:after="0"/>
              <w:rPr>
                <w:sz w:val="19"/>
                <w:szCs w:val="19"/>
                <w:color w:val="auto"/>
              </w:rPr>
            </w:pPr>
          </w:p>
        </w:tc>
        <w:tc>
          <w:tcPr>
            <w:tcW w:w="260" w:type="dxa"/>
            <w:vAlign w:val="bottom"/>
            <w:tcBorders>
              <w:bottom w:val="single" w:sz="8" w:color="auto"/>
            </w:tcBorders>
            <w:shd w:val="clear" w:color="auto" w:fill="D4EFF3"/>
          </w:tcPr>
          <w:p>
            <w:pPr>
              <w:spacing w:after="0"/>
              <w:rPr>
                <w:sz w:val="19"/>
                <w:szCs w:val="19"/>
                <w:color w:val="auto"/>
              </w:rPr>
            </w:pPr>
          </w:p>
        </w:tc>
        <w:tc>
          <w:tcPr>
            <w:tcW w:w="1060" w:type="dxa"/>
            <w:vAlign w:val="bottom"/>
            <w:tcBorders>
              <w:bottom w:val="single" w:sz="8" w:color="auto"/>
            </w:tcBorders>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410</w:t>
            </w:r>
          </w:p>
        </w:tc>
        <w:tc>
          <w:tcPr>
            <w:tcW w:w="160" w:type="dxa"/>
            <w:vAlign w:val="bottom"/>
            <w:shd w:val="clear" w:color="auto" w:fill="D4EFF3"/>
          </w:tcPr>
          <w:p>
            <w:pPr>
              <w:spacing w:after="0"/>
              <w:rPr>
                <w:sz w:val="19"/>
                <w:szCs w:val="19"/>
                <w:color w:val="auto"/>
              </w:rPr>
            </w:pPr>
          </w:p>
        </w:tc>
        <w:tc>
          <w:tcPr>
            <w:tcW w:w="180" w:type="dxa"/>
            <w:vAlign w:val="bottom"/>
            <w:tcBorders>
              <w:bottom w:val="single" w:sz="8" w:color="auto"/>
            </w:tcBorders>
            <w:shd w:val="clear" w:color="auto" w:fill="D4EFF3"/>
          </w:tcPr>
          <w:p>
            <w:pPr>
              <w:spacing w:after="0"/>
              <w:rPr>
                <w:sz w:val="19"/>
                <w:szCs w:val="19"/>
                <w:color w:val="auto"/>
              </w:rPr>
            </w:pPr>
          </w:p>
        </w:tc>
        <w:tc>
          <w:tcPr>
            <w:tcW w:w="1140" w:type="dxa"/>
            <w:vAlign w:val="bottom"/>
            <w:tcBorders>
              <w:bottom w:val="single" w:sz="8" w:color="auto"/>
            </w:tcBorders>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393</w:t>
            </w:r>
          </w:p>
        </w:tc>
      </w:tr>
      <w:tr>
        <w:trPr>
          <w:trHeight w:val="220"/>
        </w:trPr>
        <w:tc>
          <w:tcPr>
            <w:tcW w:w="6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general and administrative expenses</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rPr>
              <w:t>14,038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5,763</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8,275</w:t>
            </w:r>
          </w:p>
        </w:tc>
      </w:tr>
      <w:tr>
        <w:trPr>
          <w:trHeight w:val="20"/>
        </w:trPr>
        <w:tc>
          <w:tcPr>
            <w:tcW w:w="6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were $14.0 million for the year ended December 31, 2022, compared to $5.8 million for the year ended December 31, 2021. The increase of $8.3 million in general and administrative expenses was primarily due to a $4.3 million increase in personnel-related costs related to higher general and administrative headcount and a $3.6 million increase in legal, audit and other services primarily due to the recognition of $2.2 million of deferred transaction costs in legal and consulting fees related to a planned equity financing that was superseded by the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11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Other income was $0.6 million for the year ended December 31, 2022, compared to other expense of $5.0 million for the year ended December 31, 2021. The change of $5.7 million in other income (expense), net was primarily due to the change in fair value of our derivative liability of $5.0 million related to the Roche Agreement.</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440"/>
          </w:cols>
          <w:pgMar w:left="900" w:top="696" w:right="900" w:bottom="175"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2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product sales and have incurred significant operating losses. We expect to continue to incur significant expenses and operating losses for the foreseeable future as we advances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To date, we have funded our operations primarily with proceeds from the sale of our convertible preferred stock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and the proceeds from the merger with Gemini. Through December 31, 2022, we received gross proceeds of</w:t>
      </w:r>
    </w:p>
    <w:p>
      <w:pPr>
        <w:spacing w:after="0"/>
        <w:rPr>
          <w:sz w:val="20"/>
          <w:szCs w:val="20"/>
          <w:color w:val="auto"/>
        </w:rPr>
      </w:pPr>
      <w:r>
        <w:rPr>
          <w:rFonts w:ascii="Times New Roman" w:cs="Times New Roman" w:eastAsia="Times New Roman" w:hAnsi="Times New Roman"/>
          <w:sz w:val="20"/>
          <w:szCs w:val="20"/>
          <w:color w:val="auto"/>
        </w:rPr>
        <w:t>$145.0 million from sales of our Series Seed, Series A and Series B convertible preferred stock, gross proceeds of $53.5 million</w:t>
      </w:r>
    </w:p>
    <w:p>
      <w:pPr>
        <w:spacing w:after="0"/>
        <w:rPr>
          <w:sz w:val="20"/>
          <w:szCs w:val="20"/>
          <w:color w:val="auto"/>
        </w:rPr>
      </w:pPr>
      <w:r>
        <w:rPr>
          <w:rFonts w:ascii="Times New Roman" w:cs="Times New Roman" w:eastAsia="Times New Roman" w:hAnsi="Times New Roman"/>
          <w:sz w:val="20"/>
          <w:szCs w:val="20"/>
          <w:color w:val="auto"/>
        </w:rPr>
        <w:t>from sales of common stock in a pre-closing financing, and gross proceeds of $97.4 million from the merger with Gemini. As of</w:t>
      </w:r>
    </w:p>
    <w:p>
      <w:pPr>
        <w:spacing w:after="0"/>
        <w:rPr>
          <w:sz w:val="20"/>
          <w:szCs w:val="20"/>
          <w:color w:val="auto"/>
        </w:rPr>
      </w:pPr>
      <w:r>
        <w:rPr>
          <w:rFonts w:ascii="Times New Roman" w:cs="Times New Roman" w:eastAsia="Times New Roman" w:hAnsi="Times New Roman"/>
          <w:sz w:val="20"/>
          <w:szCs w:val="20"/>
          <w:color w:val="auto"/>
        </w:rPr>
        <w:t>December 31, 2022, we had cash and cash equivalents of $194.6 million.</w:t>
      </w:r>
    </w:p>
    <w:p>
      <w:pPr>
        <w:spacing w:after="0" w:line="92"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We have incurred significant operating losses since inception and, as of December 31, 2022, had an accumulated deficit of $112.2 million. In addition, we expect to continue to incur significant and increasing expenses and operating losses for the foreseeable future. We believe that our current cash resources will enable us to fund our current planned operating expense and capital expenditure requirements for at least twelve months from the date of issuance of these consolidated financial statements, March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cash flows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68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3"/>
        </w:trPr>
        <w:tc>
          <w:tcPr>
            <w:tcW w:w="6100" w:type="dxa"/>
            <w:vAlign w:val="bottom"/>
            <w:tcBorders>
              <w:bottom w:val="single" w:sz="8" w:color="D4EFF3"/>
            </w:tcBorders>
          </w:tcPr>
          <w:p>
            <w:pPr>
              <w:spacing w:after="0"/>
              <w:rPr>
                <w:sz w:val="17"/>
                <w:szCs w:val="17"/>
                <w:color w:val="auto"/>
              </w:rPr>
            </w:pPr>
          </w:p>
        </w:tc>
        <w:tc>
          <w:tcPr>
            <w:tcW w:w="1060" w:type="dxa"/>
            <w:vAlign w:val="bottom"/>
            <w:tcBorders>
              <w:bottom w:val="single" w:sz="8" w:color="D4EFF3"/>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4EFF3"/>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61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Net cash provided by (used in):</w:t>
            </w:r>
          </w:p>
        </w:tc>
        <w:tc>
          <w:tcPr>
            <w:tcW w:w="106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06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(42,252)</w:t>
            </w:r>
          </w:p>
        </w:tc>
        <w:tc>
          <w:tcPr>
            <w:tcW w:w="180" w:type="dxa"/>
            <w:vAlign w:val="bottom"/>
          </w:tcPr>
          <w:p>
            <w:pPr>
              <w:spacing w:after="0"/>
              <w:rPr>
                <w:sz w:val="19"/>
                <w:szCs w:val="19"/>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(27,534)</w:t>
            </w:r>
          </w:p>
        </w:tc>
      </w:tr>
      <w:tr>
        <w:trPr>
          <w:trHeight w:val="230"/>
        </w:trPr>
        <w:tc>
          <w:tcPr>
            <w:tcW w:w="61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106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8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2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610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106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148,978</w:t>
            </w:r>
          </w:p>
        </w:tc>
        <w:tc>
          <w:tcPr>
            <w:tcW w:w="180" w:type="dxa"/>
            <w:vAlign w:val="bottom"/>
            <w:tcBorders>
              <w:bottom w:val="single" w:sz="8" w:color="D4EFF3"/>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89,929</w:t>
            </w:r>
          </w:p>
        </w:tc>
      </w:tr>
      <w:tr>
        <w:trPr>
          <w:trHeight w:val="220"/>
        </w:trPr>
        <w:tc>
          <w:tcPr>
            <w:tcW w:w="6100" w:type="dxa"/>
            <w:vAlign w:val="bottom"/>
            <w:shd w:val="clear" w:color="auto" w:fill="D4EFF3"/>
          </w:tcPr>
          <w:p>
            <w:pPr>
              <w:ind w:left="200"/>
              <w:spacing w:after="0" w:line="220" w:lineRule="exact"/>
              <w:rPr>
                <w:sz w:val="20"/>
                <w:szCs w:val="20"/>
                <w:color w:val="auto"/>
              </w:rPr>
            </w:pPr>
            <w:r>
              <w:rPr>
                <w:rFonts w:ascii="Times New Roman" w:cs="Times New Roman" w:eastAsia="Times New Roman" w:hAnsi="Times New Roman"/>
                <w:sz w:val="20"/>
                <w:szCs w:val="20"/>
                <w:color w:val="auto"/>
              </w:rPr>
              <w:t>Net increase in cash and cash equivalents and restricted cash</w:t>
            </w:r>
          </w:p>
        </w:tc>
        <w:tc>
          <w:tcPr>
            <w:tcW w:w="1060" w:type="dxa"/>
            <w:vAlign w:val="bottom"/>
            <w:shd w:val="clear" w:color="auto" w:fill="D4EFF3"/>
          </w:tcPr>
          <w:p>
            <w:pPr>
              <w:spacing w:after="0"/>
              <w:rPr>
                <w:sz w:val="19"/>
                <w:szCs w:val="19"/>
                <w:color w:val="auto"/>
              </w:rPr>
            </w:pPr>
          </w:p>
        </w:tc>
        <w:tc>
          <w:tcPr>
            <w:tcW w:w="340" w:type="dxa"/>
            <w:vAlign w:val="bottom"/>
            <w:tcBorders>
              <w:bottom w:val="single" w:sz="8" w:color="auto"/>
            </w:tcBorders>
            <w:shd w:val="clear" w:color="auto" w:fill="D4EFF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D4EFF3"/>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rPr>
              <w:t>106,575</w:t>
            </w:r>
          </w:p>
        </w:tc>
        <w:tc>
          <w:tcPr>
            <w:tcW w:w="180" w:type="dxa"/>
            <w:vAlign w:val="bottom"/>
            <w:shd w:val="clear" w:color="auto" w:fill="D4EFF3"/>
          </w:tcPr>
          <w:p>
            <w:pPr>
              <w:spacing w:after="0"/>
              <w:rPr>
                <w:sz w:val="19"/>
                <w:szCs w:val="19"/>
                <w:color w:val="auto"/>
              </w:rPr>
            </w:pPr>
          </w:p>
        </w:tc>
        <w:tc>
          <w:tcPr>
            <w:tcW w:w="320" w:type="dxa"/>
            <w:vAlign w:val="bottom"/>
            <w:tcBorders>
              <w:bottom w:val="single" w:sz="8" w:color="auto"/>
            </w:tcBorders>
            <w:shd w:val="clear" w:color="auto" w:fill="D4EFF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62,327</w:t>
            </w:r>
          </w:p>
        </w:tc>
      </w:tr>
      <w:tr>
        <w:trPr>
          <w:trHeight w:val="20"/>
        </w:trPr>
        <w:tc>
          <w:tcPr>
            <w:tcW w:w="6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7"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2022, net cash used in operating activities of $42.3 million was primarily due to our net loss of $46.8 million, offset by non-cash expenses of $2.4 million and changes in operating assets and liabilities of $2.1 million primarily related to accounts payable and accrued expenses assumed in the merger.</w:t>
      </w:r>
    </w:p>
    <w:p>
      <w:pPr>
        <w:spacing w:after="0" w:line="6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2021, net cash used in operating activities of $27.5 million was primarily due to our net loss of $36.0 million, offset by non-cash expenses of $7.2 million and changes in operating assets and liabilities of $1.3 million. Non-cash expenses included $6.5 million of expense related to non-cash license expense for Roche and the change in the fair value of the Roche liability.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2022 and 2021, net cash used in investing activities was due to purchases of property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2022, net cash provided by financing activities of $149.0 million consisted primarily of $97.4 million of net cash proceeds from the completion of the merger with Gemini and $53.5 million of net cash proceeds from the pre-closing financing.</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440"/>
          </w:cols>
          <w:pgMar w:left="900" w:top="696" w:right="900" w:bottom="175" w:gutter="0" w:footer="0" w:header="0"/>
          <w:type w:val="continuous"/>
        </w:sectPr>
      </w:pPr>
    </w:p>
    <w:bookmarkStart w:id="108" w:name="page109"/>
    <w:bookmarkEnd w:id="108"/>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2021, net cash provided by financing activities of $89.9 million consisted primarily of net proceeds from the sale and issuance of our Series B convertible preferred stock in September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12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83" w:lineRule="exact"/>
        <w:rPr>
          <w:sz w:val="20"/>
          <w:szCs w:val="20"/>
          <w:color w:val="auto"/>
        </w:rPr>
      </w:pPr>
    </w:p>
    <w:p>
      <w:pPr>
        <w:ind w:left="720" w:right="4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progress, timing, costs and results of preclinical studies and clinical trials for our product candidates or any future product candidates we may develop;</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133" w:lineRule="exact"/>
        <w:rPr>
          <w:rFonts w:ascii="Arial" w:cs="Arial" w:eastAsia="Arial" w:hAnsi="Arial"/>
          <w:sz w:val="20"/>
          <w:szCs w:val="20"/>
          <w:color w:val="auto"/>
        </w:rPr>
      </w:pPr>
    </w:p>
    <w:p>
      <w:pPr>
        <w:ind w:left="720" w:right="4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regulations applicable to any product candidates we may develop, including but not limited to clinical trial requirements for approvals;</w:t>
      </w:r>
    </w:p>
    <w:p>
      <w:pPr>
        <w:spacing w:after="0" w:line="64" w:lineRule="exact"/>
        <w:rPr>
          <w:rFonts w:ascii="Arial" w:cs="Arial" w:eastAsia="Arial" w:hAnsi="Arial"/>
          <w:sz w:val="20"/>
          <w:szCs w:val="20"/>
          <w:color w:val="auto"/>
        </w:rPr>
      </w:pPr>
    </w:p>
    <w:p>
      <w:pPr>
        <w:ind w:left="720" w:right="4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obtaining materials to produce adequate product supply for any preclinical or clinical development of any product candidate we may develop;</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133" w:lineRule="exact"/>
        <w:rPr>
          <w:rFonts w:ascii="Arial" w:cs="Arial" w:eastAsia="Arial" w:hAnsi="Arial"/>
          <w:sz w:val="20"/>
          <w:szCs w:val="20"/>
          <w:color w:val="auto"/>
        </w:rPr>
      </w:pPr>
    </w:p>
    <w:p>
      <w:pPr>
        <w:ind w:left="720" w:right="22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strategic collaborations, licensing or other arrangements and the financial terms of such arrangements;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payment or receipt of milestones, royalties and other collaboration-based revenues, if any;</w:t>
      </w:r>
    </w:p>
    <w:p>
      <w:pPr>
        <w:spacing w:after="0" w:line="133" w:lineRule="exact"/>
        <w:rPr>
          <w:rFonts w:ascii="Arial" w:cs="Arial" w:eastAsia="Arial" w:hAnsi="Arial"/>
          <w:sz w:val="20"/>
          <w:szCs w:val="20"/>
          <w:color w:val="auto"/>
        </w:rPr>
      </w:pPr>
    </w:p>
    <w:p>
      <w:pPr>
        <w:ind w:left="720" w:right="60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future commercialization activities, including product manufacturing, marketing, sales and distribution, for any product candidate we may develop for which we obtain marketing approval;</w:t>
      </w:r>
    </w:p>
    <w:p>
      <w:pPr>
        <w:spacing w:after="0" w:line="64" w:lineRule="exact"/>
        <w:rPr>
          <w:rFonts w:ascii="Arial" w:cs="Arial" w:eastAsia="Arial" w:hAnsi="Arial"/>
          <w:sz w:val="20"/>
          <w:szCs w:val="20"/>
          <w:color w:val="auto"/>
        </w:rPr>
      </w:pPr>
    </w:p>
    <w:p>
      <w:pPr>
        <w:ind w:left="720" w:right="62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and timing of revenue, if any, received from commercial sales of our product candidates for which we receives marketing approval; and</w:t>
      </w:r>
    </w:p>
    <w:p>
      <w:pPr>
        <w:spacing w:after="0" w:line="64" w:lineRule="exact"/>
        <w:rPr>
          <w:rFonts w:ascii="Arial" w:cs="Arial" w:eastAsia="Arial" w:hAnsi="Arial"/>
          <w:sz w:val="20"/>
          <w:szCs w:val="20"/>
          <w:color w:val="auto"/>
        </w:rPr>
      </w:pPr>
    </w:p>
    <w:p>
      <w:pPr>
        <w:ind w:left="720" w:right="36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legal costs involved in prosecuting patent applications and enforcing patent claims and other intellectual property claims.</w:t>
      </w:r>
    </w:p>
    <w:p>
      <w:pPr>
        <w:spacing w:after="0" w:line="5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8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ourself.</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440"/>
          </w:cols>
          <w:pgMar w:left="900" w:top="700" w:right="900" w:bottom="175" w:gutter="0" w:footer="0" w:header="0"/>
          <w:type w:val="continuous"/>
        </w:sectPr>
      </w:pPr>
    </w:p>
    <w:bookmarkStart w:id="109" w:name="page110"/>
    <w:bookmarkEnd w:id="109"/>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Other Commitments</w:t>
      </w:r>
    </w:p>
    <w:p>
      <w:pPr>
        <w:spacing w:after="0" w:line="120" w:lineRule="exact"/>
        <w:rPr>
          <w:sz w:val="20"/>
          <w:szCs w:val="20"/>
          <w:color w:val="auto"/>
        </w:rPr>
      </w:pPr>
    </w:p>
    <w:p>
      <w:pPr>
        <w:ind w:left="7" w:right="20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contractual obligations as of December 31, 2022 and the effects that such obligations are expected to have on our liquidity and cash flows in future periods (in thousands):</w:t>
      </w:r>
    </w:p>
    <w:p>
      <w:pPr>
        <w:spacing w:after="0" w:line="15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592"/>
              <w:spacing w:after="0"/>
              <w:rPr>
                <w:sz w:val="20"/>
                <w:szCs w:val="20"/>
                <w:color w:val="auto"/>
              </w:rPr>
            </w:pPr>
            <w:r>
              <w:rPr>
                <w:rFonts w:ascii="Times New Roman" w:cs="Times New Roman" w:eastAsia="Times New Roman" w:hAnsi="Times New Roman"/>
                <w:sz w:val="16"/>
                <w:szCs w:val="16"/>
                <w:b w:val="1"/>
                <w:bCs w:val="1"/>
                <w:color w:val="auto"/>
                <w:w w:val="99"/>
              </w:rPr>
              <w:t>Payments Due by Period</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230"/>
              <w:spacing w:after="0" w:line="155" w:lineRule="exact"/>
              <w:rPr>
                <w:sz w:val="20"/>
                <w:szCs w:val="20"/>
                <w:color w:val="auto"/>
              </w:rPr>
            </w:pPr>
            <w:r>
              <w:rPr>
                <w:rFonts w:ascii="Times New Roman" w:cs="Times New Roman" w:eastAsia="Times New Roman" w:hAnsi="Times New Roman"/>
                <w:sz w:val="16"/>
                <w:szCs w:val="16"/>
                <w:b w:val="1"/>
                <w:bCs w:val="1"/>
                <w:color w:val="auto"/>
              </w:rPr>
              <w:t>1 to 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30"/>
              <w:spacing w:after="0" w:line="155" w:lineRule="exact"/>
              <w:rPr>
                <w:sz w:val="20"/>
                <w:szCs w:val="20"/>
                <w:color w:val="auto"/>
              </w:rPr>
            </w:pPr>
            <w:r>
              <w:rPr>
                <w:rFonts w:ascii="Times New Roman" w:cs="Times New Roman" w:eastAsia="Times New Roman" w:hAnsi="Times New Roman"/>
                <w:sz w:val="16"/>
                <w:szCs w:val="16"/>
                <w:b w:val="1"/>
                <w:bCs w:val="1"/>
                <w:color w:val="auto"/>
              </w:rPr>
              <w:t>3 to 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10"/>
              <w:spacing w:after="0" w:line="155" w:lineRule="exact"/>
              <w:rPr>
                <w:sz w:val="20"/>
                <w:szCs w:val="20"/>
                <w:color w:val="auto"/>
              </w:rPr>
            </w:pPr>
            <w:r>
              <w:rPr>
                <w:rFonts w:ascii="Times New Roman" w:cs="Times New Roman" w:eastAsia="Times New Roman" w:hAnsi="Times New Roman"/>
                <w:sz w:val="16"/>
                <w:szCs w:val="16"/>
                <w:b w:val="1"/>
                <w:bCs w:val="1"/>
                <w:color w:val="auto"/>
                <w:w w:val="97"/>
              </w:rPr>
              <w:t>More Than</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D4EFF3"/>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20" w:type="dxa"/>
            <w:vAlign w:val="bottom"/>
            <w:tcBorders>
              <w:bottom w:val="single" w:sz="8" w:color="D4EFF3"/>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20" w:type="dxa"/>
            <w:vAlign w:val="bottom"/>
            <w:tcBorders>
              <w:bottom w:val="single" w:sz="8" w:color="D4EFF3"/>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Borders>
              <w:bottom w:val="single" w:sz="8" w:color="D4EFF3"/>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220"/>
        </w:trPr>
        <w:tc>
          <w:tcPr>
            <w:tcW w:w="44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19"/>
                <w:szCs w:val="19"/>
                <w:color w:val="auto"/>
              </w:rPr>
              <w:t>Operating lease commitments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200" w:type="dxa"/>
            <w:vAlign w:val="bottom"/>
            <w:tcBorders>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D4EFF3"/>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rPr>
              <w:t>1,485</w:t>
            </w:r>
          </w:p>
        </w:tc>
        <w:tc>
          <w:tcPr>
            <w:tcW w:w="120" w:type="dxa"/>
            <w:vAlign w:val="bottom"/>
            <w:shd w:val="clear" w:color="auto" w:fill="D4EFF3"/>
          </w:tcPr>
          <w:p>
            <w:pPr>
              <w:spacing w:after="0"/>
              <w:rPr>
                <w:sz w:val="19"/>
                <w:szCs w:val="19"/>
                <w:color w:val="auto"/>
              </w:rPr>
            </w:pPr>
          </w:p>
        </w:tc>
        <w:tc>
          <w:tcPr>
            <w:tcW w:w="12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D4EFF3"/>
          </w:tcPr>
          <w:p>
            <w:pPr>
              <w:jc w:val="right"/>
              <w:ind w:right="32"/>
              <w:spacing w:after="0" w:line="220" w:lineRule="exact"/>
              <w:rPr>
                <w:sz w:val="20"/>
                <w:szCs w:val="20"/>
                <w:color w:val="auto"/>
              </w:rPr>
            </w:pPr>
            <w:r>
              <w:rPr>
                <w:rFonts w:ascii="Times New Roman" w:cs="Times New Roman" w:eastAsia="Times New Roman" w:hAnsi="Times New Roman"/>
                <w:sz w:val="20"/>
                <w:szCs w:val="20"/>
                <w:color w:val="auto"/>
              </w:rPr>
              <w:t>373</w:t>
            </w:r>
          </w:p>
        </w:tc>
        <w:tc>
          <w:tcPr>
            <w:tcW w:w="120" w:type="dxa"/>
            <w:vAlign w:val="bottom"/>
            <w:shd w:val="clear" w:color="auto" w:fill="D4EFF3"/>
          </w:tcPr>
          <w:p>
            <w:pPr>
              <w:spacing w:after="0"/>
              <w:rPr>
                <w:sz w:val="19"/>
                <w:szCs w:val="19"/>
                <w:color w:val="auto"/>
              </w:rPr>
            </w:pPr>
          </w:p>
        </w:tc>
        <w:tc>
          <w:tcPr>
            <w:tcW w:w="20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4EFF3"/>
          </w:tcPr>
          <w:p>
            <w:pPr>
              <w:jc w:val="right"/>
              <w:ind w:right="10"/>
              <w:spacing w:after="0" w:line="220" w:lineRule="exact"/>
              <w:rPr>
                <w:sz w:val="20"/>
                <w:szCs w:val="20"/>
                <w:color w:val="auto"/>
              </w:rPr>
            </w:pPr>
            <w:r>
              <w:rPr>
                <w:rFonts w:ascii="Times New Roman" w:cs="Times New Roman" w:eastAsia="Times New Roman" w:hAnsi="Times New Roman"/>
                <w:sz w:val="20"/>
                <w:szCs w:val="20"/>
                <w:color w:val="auto"/>
              </w:rPr>
              <w:t>776</w:t>
            </w:r>
          </w:p>
        </w:tc>
        <w:tc>
          <w:tcPr>
            <w:tcW w:w="12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4EFF3"/>
          </w:tcPr>
          <w:p>
            <w:pPr>
              <w:jc w:val="right"/>
              <w:ind w:right="10"/>
              <w:spacing w:after="0" w:line="220" w:lineRule="exact"/>
              <w:rPr>
                <w:sz w:val="20"/>
                <w:szCs w:val="20"/>
                <w:color w:val="auto"/>
              </w:rPr>
            </w:pPr>
            <w:r>
              <w:rPr>
                <w:rFonts w:ascii="Times New Roman" w:cs="Times New Roman" w:eastAsia="Times New Roman" w:hAnsi="Times New Roman"/>
                <w:sz w:val="20"/>
                <w:szCs w:val="20"/>
                <w:color w:val="auto"/>
              </w:rPr>
              <w:t>336</w:t>
            </w:r>
          </w:p>
        </w:tc>
        <w:tc>
          <w:tcPr>
            <w:tcW w:w="120" w:type="dxa"/>
            <w:vAlign w:val="bottom"/>
            <w:shd w:val="clear" w:color="auto" w:fill="D4EFF3"/>
          </w:tcPr>
          <w:p>
            <w:pPr>
              <w:spacing w:after="0"/>
              <w:rPr>
                <w:sz w:val="19"/>
                <w:szCs w:val="19"/>
                <w:color w:val="auto"/>
              </w:rPr>
            </w:pPr>
          </w:p>
        </w:tc>
        <w:tc>
          <w:tcPr>
            <w:tcW w:w="10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D4EFF3"/>
          </w:tcPr>
          <w:p>
            <w:pPr>
              <w:ind w:left="7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44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rPr>
              <w:t>1,485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ind w:right="32"/>
              <w:spacing w:after="0" w:line="220" w:lineRule="exact"/>
              <w:rPr>
                <w:sz w:val="20"/>
                <w:szCs w:val="20"/>
                <w:color w:val="auto"/>
              </w:rPr>
            </w:pPr>
            <w:r>
              <w:rPr>
                <w:rFonts w:ascii="Times New Roman" w:cs="Times New Roman" w:eastAsia="Times New Roman" w:hAnsi="Times New Roman"/>
                <w:sz w:val="20"/>
                <w:szCs w:val="20"/>
                <w:color w:val="auto"/>
              </w:rPr>
              <w:t>373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ind w:right="10"/>
              <w:spacing w:after="0" w:line="220" w:lineRule="exact"/>
              <w:rPr>
                <w:sz w:val="20"/>
                <w:szCs w:val="20"/>
                <w:color w:val="auto"/>
              </w:rPr>
            </w:pPr>
            <w:r>
              <w:rPr>
                <w:rFonts w:ascii="Times New Roman" w:cs="Times New Roman" w:eastAsia="Times New Roman" w:hAnsi="Times New Roman"/>
                <w:sz w:val="20"/>
                <w:szCs w:val="20"/>
                <w:color w:val="auto"/>
              </w:rPr>
              <w:t>776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ind w:right="10"/>
              <w:spacing w:after="0" w:line="220" w:lineRule="exact"/>
              <w:rPr>
                <w:sz w:val="20"/>
                <w:szCs w:val="20"/>
                <w:color w:val="auto"/>
              </w:rPr>
            </w:pPr>
            <w:r>
              <w:rPr>
                <w:rFonts w:ascii="Times New Roman" w:cs="Times New Roman" w:eastAsia="Times New Roman" w:hAnsi="Times New Roman"/>
                <w:sz w:val="20"/>
                <w:szCs w:val="20"/>
                <w:color w:val="auto"/>
              </w:rPr>
              <w:t>336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ind w:left="7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93345</wp:posOffset>
                </wp:positionV>
                <wp:extent cx="73152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35pt" to="56.15pt,7.35pt" o:allowincell="f" strokecolor="#000000" strokeweight="1pt"/>
            </w:pict>
          </mc:Fallback>
        </mc:AlternateContent>
      </w:r>
    </w:p>
    <w:p>
      <w:pPr>
        <w:spacing w:after="0" w:line="123" w:lineRule="exact"/>
        <w:rPr>
          <w:sz w:val="20"/>
          <w:szCs w:val="20"/>
          <w:color w:val="auto"/>
        </w:rPr>
      </w:pPr>
    </w:p>
    <w:p>
      <w:pPr>
        <w:ind w:left="367" w:right="160" w:hanging="367"/>
        <w:spacing w:after="0" w:line="277" w:lineRule="auto"/>
        <w:tabs>
          <w:tab w:leader="none" w:pos="36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payments due for our leased office space in Watertown, Massachusetts as of December 31, 2022. The lease term began in November 2021 and will end in November 2026.</w:t>
      </w:r>
    </w:p>
    <w:p>
      <w:pPr>
        <w:spacing w:after="0" w:line="59" w:lineRule="exact"/>
        <w:rPr>
          <w:sz w:val="20"/>
          <w:szCs w:val="20"/>
          <w:color w:val="auto"/>
        </w:rPr>
      </w:pPr>
    </w:p>
    <w:p>
      <w:pPr>
        <w:ind w:left="7" w:right="100" w:firstLine="490"/>
        <w:spacing w:after="0" w:line="247"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80" w:lineRule="exact"/>
        <w:rPr>
          <w:sz w:val="20"/>
          <w:szCs w:val="20"/>
          <w:color w:val="auto"/>
        </w:rPr>
      </w:pPr>
    </w:p>
    <w:p>
      <w:pPr>
        <w:ind w:left="7" w:right="80" w:firstLine="490"/>
        <w:spacing w:after="0" w:line="247" w:lineRule="auto"/>
        <w:rPr>
          <w:sz w:val="20"/>
          <w:szCs w:val="20"/>
          <w:color w:val="auto"/>
        </w:rPr>
      </w:pPr>
      <w:r>
        <w:rPr>
          <w:rFonts w:ascii="Times New Roman" w:cs="Times New Roman" w:eastAsia="Times New Roman" w:hAnsi="Times New Roman"/>
          <w:sz w:val="20"/>
          <w:szCs w:val="20"/>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consolidated financial statements. See also “Licensing Agreements.”</w:t>
      </w:r>
    </w:p>
    <w:p>
      <w:pPr>
        <w:spacing w:after="0" w:line="1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4" w:lineRule="exact"/>
        <w:rPr>
          <w:sz w:val="20"/>
          <w:szCs w:val="20"/>
          <w:color w:val="auto"/>
        </w:rPr>
      </w:pPr>
    </w:p>
    <w:p>
      <w:pPr>
        <w:ind w:left="7" w:firstLine="490"/>
        <w:spacing w:after="0" w:line="245"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2" w:lineRule="exact"/>
        <w:rPr>
          <w:sz w:val="20"/>
          <w:szCs w:val="20"/>
          <w:color w:val="auto"/>
        </w:rPr>
      </w:pPr>
    </w:p>
    <w:p>
      <w:pPr>
        <w:jc w:val="both"/>
        <w:ind w:left="7" w:right="40" w:firstLine="490"/>
        <w:spacing w:after="0" w:line="258"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Note 2 to our consolidated financial statements, we believe that the following accounting policies are those most critical to the judgments and estimates used in the preparation of our consolidated financial statements.</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Contract Costs and Accruals</w:t>
      </w:r>
    </w:p>
    <w:p>
      <w:pPr>
        <w:spacing w:after="0" w:line="120" w:lineRule="exact"/>
        <w:rPr>
          <w:sz w:val="20"/>
          <w:szCs w:val="20"/>
          <w:color w:val="auto"/>
        </w:rPr>
      </w:pPr>
    </w:p>
    <w:p>
      <w:pPr>
        <w:ind w:left="7" w:right="40" w:firstLine="490"/>
        <w:spacing w:after="0" w:line="244"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accrued and prepaid research and development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spacing w:after="0" w:line="100" w:lineRule="exact"/>
        <w:rPr>
          <w:sz w:val="20"/>
          <w:szCs w:val="20"/>
          <w:color w:val="auto"/>
        </w:rPr>
      </w:pPr>
    </w:p>
    <w:p>
      <w:pPr>
        <w:ind w:left="727" w:hanging="367"/>
        <w:spacing w:after="0"/>
        <w:tabs>
          <w:tab w:leader="none" w:pos="727"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vendors in connection with preclinical development activities;</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CROs and investigative sites in connection with preclinical studies and clinical trials; and</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CDMOs in connection with the production of preclinical study and clinical trial materials.</w:t>
      </w:r>
    </w:p>
    <w:p>
      <w:pPr>
        <w:spacing w:after="0" w:line="119" w:lineRule="exact"/>
        <w:rPr>
          <w:sz w:val="20"/>
          <w:szCs w:val="20"/>
          <w:color w:val="auto"/>
        </w:rPr>
      </w:pPr>
    </w:p>
    <w:p>
      <w:pPr>
        <w:ind w:left="7" w:right="40" w:firstLine="490"/>
        <w:spacing w:after="0" w:line="265" w:lineRule="auto"/>
        <w:rPr>
          <w:sz w:val="20"/>
          <w:szCs w:val="20"/>
          <w:color w:val="auto"/>
        </w:rPr>
      </w:pPr>
      <w:r>
        <w:rPr>
          <w:rFonts w:ascii="Times New Roman" w:cs="Times New Roman" w:eastAsia="Times New Roman" w:hAnsi="Times New Roman"/>
          <w:sz w:val="19"/>
          <w:szCs w:val="19"/>
          <w:color w:val="auto"/>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w:t>
      </w:r>
    </w:p>
    <w:p>
      <w:pPr>
        <w:sectPr>
          <w:pgSz w:w="12240" w:h="15840" w:orient="portrait"/>
          <w:cols w:equalWidth="0" w:num="1">
            <w:col w:w="10447"/>
          </w:cols>
          <w:pgMar w:left="893" w:top="700" w:right="900" w:bottom="175" w:gutter="0" w:footer="0" w:header="0"/>
        </w:sectPr>
      </w:pPr>
    </w:p>
    <w:p>
      <w:pPr>
        <w:spacing w:after="0" w:line="19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447"/>
          </w:cols>
          <w:pgMar w:left="893" w:top="700" w:right="900" w:bottom="175" w:gutter="0" w:footer="0" w:header="0"/>
          <w:type w:val="continuous"/>
        </w:sectPr>
      </w:pPr>
    </w:p>
    <w:bookmarkStart w:id="110" w:name="page111"/>
    <w:bookmarkEnd w:id="110"/>
    <w:p>
      <w:pPr>
        <w:ind w:right="40"/>
        <w:spacing w:after="0" w:line="258" w:lineRule="auto"/>
        <w:rPr>
          <w:sz w:val="20"/>
          <w:szCs w:val="20"/>
          <w:color w:val="auto"/>
        </w:rPr>
      </w:pPr>
      <w:r>
        <w:rPr>
          <w:rFonts w:ascii="Times New Roman" w:cs="Times New Roman" w:eastAsia="Times New Roman" w:hAnsi="Times New Roman"/>
          <w:sz w:val="20"/>
          <w:szCs w:val="20"/>
          <w:color w:val="auto"/>
        </w:rPr>
        <w:t>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Derivative Liability</w:t>
      </w:r>
    </w:p>
    <w:p>
      <w:pPr>
        <w:spacing w:after="0" w:line="120"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19"/>
          <w:szCs w:val="19"/>
          <w:color w:val="auto"/>
        </w:rPr>
        <w:t>In May 2021, we entered into Roche Agreement as further described in Notes 4 and 8 to our consolidated financial statements. We recognized a liability in connection with the Roche Agreement which includes an obligation to issue a variable number of shares of our common stock to Roche for no additional consideration upon our completion of an initial public offering or certain merger transactions, a “Roche Qualified Transaction.” The number of shares of common stock to be issued to Roche was estimated to be approximately 2.85% of the outstanding shares of our common stock as of immediately after the completion of a Roche Qualified Transaction. We had determined that the obligation to issue common stock upon completion of a Roche Qualified Transaction represented a liability classified financial instrument. The liability was measured at fair value as of each reporting date and the change in the fair value for the period was recorded in the consolidated statements of operations in the change in fair value of derivative liability. Prior to its settlement in Q4 2022, the fair value measurement of the derivative liability was classified as Level 3 under the fair value hierarchy as it had been valued using certain unobservable inputs. These inputs included: (1) our fair value upon completion of a Roche Qualified Transaction and (2) the probability of us completing a Roche Qualified Transaction. The probability of us completing a Roche Qualified Transaction was low double-digits upon the execution of the Roche Agreement and was adjusted periodically based on our progress towards a Roche Qualified Transaction. We settled the derivative liability by issuing common stock to Roche immediately following the completion of the merger. We remeasured the derivative liability based on the stock price of our publicly-traded common stock on December 29, 2022. The change in the fair value for the period was recorded in the consolidated statements of operations and comprehensive loss in the change in fair value of derivative liability. We then reclassified the resulting amount of the derivative liability to additional paid-in 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0"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 The fair value of each stock option grant is estimated on the date of grant using the Black-Scholes option-pricing model, which requires inputs based on certain subjective assumptions, including the fair value of our common stock, the expected stock price volatility, the expected term of the option, the risk-free interest rate for a period that approximates the expected term of the option, and the expected dividend yield. Due to the lack of company-specific historical and implied volatility data, we determine 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 The expected term of our stock options granted to employees has been determined utilizing the “simplified” method for awards that qualify as “plain-vanilla” options, using the average between the vesting date and the contractual term. The fair value of each restricted common stock award is estimated on the date of grant based on the estimated fair value of our common stock on the date of grant.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Determination of the Fair Value of Common Stock</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 xml:space="preserve">Prior to the merger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20"/>
          <w:szCs w:val="20"/>
          <w:i w:val="1"/>
          <w:iCs w:val="1"/>
          <w:color w:val="auto"/>
        </w:rPr>
        <w:t>Valuation of Privately-Held-Company Equity Securities Issued as Compensation</w:t>
      </w:r>
      <w:r>
        <w:rPr>
          <w:rFonts w:ascii="Times New Roman" w:cs="Times New Roman" w:eastAsia="Times New Roman" w:hAnsi="Times New Roman"/>
          <w:sz w:val="20"/>
          <w:szCs w:val="20"/>
          <w:color w:val="auto"/>
        </w:rPr>
        <w:t>.</w:t>
      </w:r>
    </w:p>
    <w:p>
      <w:pPr>
        <w:spacing w:after="0" w:line="8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80"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auto"/>
        </w:rPr>
        <w:t>The hybrid method is a probability-weighted expected return method, or PWERM, by which the equity value in one or more scenarios is calculated using an OPM. The PWERM is a scenario-based methodology that estimates the fair value of common</w:t>
      </w:r>
    </w:p>
    <w:p>
      <w:pPr>
        <w:sectPr>
          <w:pgSz w:w="12240" w:h="15840" w:orient="portrait"/>
          <w:cols w:equalWidth="0" w:num="1">
            <w:col w:w="10440"/>
          </w:cols>
          <w:pgMar w:left="900" w:top="700" w:right="900" w:bottom="175"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440"/>
          </w:cols>
          <w:pgMar w:left="900" w:top="700" w:right="900" w:bottom="175" w:gutter="0" w:footer="0" w:header="0"/>
          <w:type w:val="continuous"/>
        </w:sectPr>
      </w:pPr>
    </w:p>
    <w:bookmarkStart w:id="111" w:name="page112"/>
    <w:bookmarkEnd w:id="111"/>
    <w:p>
      <w:pPr>
        <w:ind w:right="80"/>
        <w:spacing w:after="0" w:line="249" w:lineRule="auto"/>
        <w:rPr>
          <w:sz w:val="20"/>
          <w:szCs w:val="20"/>
          <w:color w:val="auto"/>
        </w:rPr>
      </w:pPr>
      <w:r>
        <w:rPr>
          <w:rFonts w:ascii="Times New Roman" w:cs="Times New Roman" w:eastAsia="Times New Roman" w:hAnsi="Times New Roman"/>
          <w:sz w:val="20"/>
          <w:szCs w:val="20"/>
          <w:color w:val="auto"/>
        </w:rPr>
        <w:t>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7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spacing w:after="0" w:line="7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and Adopted Accounting Pronouncements</w:t>
      </w:r>
    </w:p>
    <w:p>
      <w:pPr>
        <w:spacing w:after="0" w:line="124" w:lineRule="exact"/>
        <w:rPr>
          <w:sz w:val="20"/>
          <w:szCs w:val="20"/>
          <w:color w:val="auto"/>
        </w:rPr>
      </w:pPr>
    </w:p>
    <w:p>
      <w:pPr>
        <w:ind w:right="480" w:firstLine="490"/>
        <w:spacing w:after="0" w:line="277" w:lineRule="auto"/>
        <w:rPr>
          <w:sz w:val="20"/>
          <w:szCs w:val="20"/>
          <w:color w:val="auto"/>
        </w:rPr>
      </w:pPr>
      <w:r>
        <w:rPr>
          <w:rFonts w:ascii="Times New Roman" w:cs="Times New Roman" w:eastAsia="Times New Roman" w:hAnsi="Times New Roman"/>
          <w:sz w:val="20"/>
          <w:szCs w:val="20"/>
          <w:color w:val="auto"/>
        </w:rPr>
        <w:t>A description of recently issued and certain recently adopted accounting pronouncements that have or may potentially impact our financial position and results of operations is included in Note 2 to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and Smaller Reporting Company Status</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8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4"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2022 and 2021, we had cash and cash equivalents of $194.6 million and $88.0 million, respectively, which consisted of cash and money market funds.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7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it does not have a material exposure to foreign currency risk.</w:t>
      </w:r>
    </w:p>
    <w:p>
      <w:pPr>
        <w:spacing w:after="0" w:line="7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We do not believe that inflation had a material effect on our business, financial condition or results of operations during the twelve months ended December 31, 2022 and 2021.</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420"/>
          </w:cols>
          <w:pgMar w:left="900" w:top="700" w:right="920" w:bottom="175" w:gutter="0" w:footer="0" w:header="0"/>
          <w:type w:val="continuous"/>
        </w:sectPr>
      </w:pPr>
    </w:p>
    <w:bookmarkStart w:id="112" w:name="page113"/>
    <w:bookmarkEnd w:id="112"/>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20"/>
          <w:szCs w:val="20"/>
          <w:b w:val="1"/>
          <w:bCs w:val="1"/>
          <w:color w:val="auto"/>
        </w:rPr>
        <w:t>CONSOLIDATED FINANCIAL STATEMENTS AND SUPPLEMENTARY DATA</w:t>
      </w:r>
    </w:p>
    <w:p>
      <w:pPr>
        <w:spacing w:after="0" w:line="2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24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4"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6"/>
          <w:szCs w:val="16"/>
          <w:b w:val="1"/>
          <w:bCs w:val="1"/>
          <w:color w:val="auto"/>
        </w:rPr>
        <w:t>Page(s)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6163945</wp:posOffset>
                </wp:positionH>
                <wp:positionV relativeFrom="paragraph">
                  <wp:posOffset>15240</wp:posOffset>
                </wp:positionV>
                <wp:extent cx="46355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35pt,1.2pt" to="521.85pt,1.2pt" o:allowincell="f" strokecolor="#000000" strokeweight="0.5pt"/>
            </w:pict>
          </mc:Fallback>
        </mc:AlternateContent>
      </w:r>
    </w:p>
    <w:p>
      <w:pPr>
        <w:spacing w:after="0" w:line="17" w:lineRule="exact"/>
        <w:rPr>
          <w:sz w:val="20"/>
          <w:szCs w:val="20"/>
          <w:color w:val="auto"/>
        </w:rPr>
      </w:pP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ID: 42)</w:t>
      </w:r>
      <w:r>
        <w:rPr>
          <w:sz w:val="20"/>
          <w:szCs w:val="20"/>
          <w:color w:val="auto"/>
        </w:rPr>
        <w:tab/>
      </w:r>
      <w:r>
        <w:rPr>
          <w:rFonts w:ascii="Times New Roman" w:cs="Times New Roman" w:eastAsia="Times New Roman" w:hAnsi="Times New Roman"/>
          <w:sz w:val="20"/>
          <w:szCs w:val="20"/>
          <w:color w:val="auto"/>
        </w:rPr>
        <w:t>107</w:t>
      </w:r>
    </w:p>
    <w:p>
      <w:pPr>
        <w:spacing w:after="0" w:line="1" w:lineRule="exact"/>
        <w:rPr>
          <w:sz w:val="20"/>
          <w:szCs w:val="20"/>
          <w:color w:val="auto"/>
        </w:rPr>
      </w:pP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108</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w:t>
      </w:r>
      <w:r>
        <w:rPr>
          <w:sz w:val="20"/>
          <w:szCs w:val="20"/>
          <w:color w:val="auto"/>
        </w:rPr>
        <w:tab/>
      </w:r>
      <w:r>
        <w:rPr>
          <w:rFonts w:ascii="Times New Roman" w:cs="Times New Roman" w:eastAsia="Times New Roman" w:hAnsi="Times New Roman"/>
          <w:sz w:val="20"/>
          <w:szCs w:val="20"/>
          <w:color w:val="auto"/>
        </w:rPr>
        <w:t>109</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Preferred Stock and Stockholders’ Equity (Deficit)</w:t>
      </w:r>
      <w:r>
        <w:rPr>
          <w:sz w:val="20"/>
          <w:szCs w:val="20"/>
          <w:color w:val="auto"/>
        </w:rPr>
        <w:tab/>
      </w:r>
      <w:r>
        <w:rPr>
          <w:rFonts w:ascii="Times New Roman" w:cs="Times New Roman" w:eastAsia="Times New Roman" w:hAnsi="Times New Roman"/>
          <w:sz w:val="20"/>
          <w:szCs w:val="20"/>
          <w:color w:val="auto"/>
        </w:rPr>
        <w:t>110</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111</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112</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440"/>
          </w:cols>
          <w:pgMar w:left="900" w:top="696" w:right="900" w:bottom="175" w:gutter="0" w:footer="0" w:header="0"/>
          <w:type w:val="continuous"/>
        </w:sectPr>
      </w:pPr>
    </w:p>
    <w:bookmarkStart w:id="113" w:name="page114"/>
    <w:bookmarkEnd w:id="113"/>
    <w:p>
      <w:pPr>
        <w:ind w:left="27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Stockholders and Board of Directors of Disc Medicine,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Disc Medicine, Inc. (the Company) as of December 31, 2022 and 2021, the related consolidated statements of operations and comprehensive loss, shareholders' equity (deficit)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2023</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440"/>
          </w:cols>
          <w:pgMar w:left="900" w:top="696" w:right="900" w:bottom="175"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6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4EFF3"/>
            </w:tcBorders>
          </w:tcPr>
          <w:p>
            <w:pPr>
              <w:spacing w:after="0"/>
              <w:rPr>
                <w:sz w:val="19"/>
                <w:szCs w:val="19"/>
                <w:color w:val="auto"/>
              </w:rPr>
            </w:pPr>
          </w:p>
        </w:tc>
        <w:tc>
          <w:tcPr>
            <w:tcW w:w="12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D4EFF3"/>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40" w:type="dxa"/>
            <w:vAlign w:val="bottom"/>
            <w:shd w:val="clear" w:color="auto" w:fill="D4EFF3"/>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194,611</w:t>
            </w:r>
          </w:p>
        </w:tc>
        <w:tc>
          <w:tcPr>
            <w:tcW w:w="160" w:type="dxa"/>
            <w:vAlign w:val="bottom"/>
            <w:shd w:val="clear" w:color="auto" w:fill="D4EFF3"/>
          </w:tcPr>
          <w:p>
            <w:pPr>
              <w:spacing w:after="0"/>
              <w:rPr>
                <w:sz w:val="19"/>
                <w:szCs w:val="19"/>
                <w:color w:val="auto"/>
              </w:rPr>
            </w:pPr>
          </w:p>
        </w:tc>
        <w:tc>
          <w:tcPr>
            <w:tcW w:w="560" w:type="dxa"/>
            <w:vAlign w:val="bottom"/>
            <w:gridSpan w:val="2"/>
            <w:shd w:val="clear" w:color="auto" w:fill="D4EFF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88,036</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3,880</w:t>
            </w:r>
          </w:p>
        </w:tc>
        <w:tc>
          <w:tcPr>
            <w:tcW w:w="160" w:type="dxa"/>
            <w:vAlign w:val="bottom"/>
            <w:tcBorders>
              <w:bottom w:val="single" w:sz="8" w:color="D4EFF3"/>
            </w:tcBorders>
          </w:tcPr>
          <w:p>
            <w:pPr>
              <w:spacing w:after="0"/>
              <w:rPr>
                <w:sz w:val="19"/>
                <w:szCs w:val="19"/>
                <w:color w:val="auto"/>
              </w:rPr>
            </w:pPr>
          </w:p>
        </w:tc>
        <w:tc>
          <w:tcPr>
            <w:tcW w:w="12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2,448</w:t>
            </w:r>
          </w:p>
        </w:tc>
        <w:tc>
          <w:tcPr>
            <w:tcW w:w="100" w:type="dxa"/>
            <w:vAlign w:val="bottom"/>
            <w:tcBorders>
              <w:bottom w:val="single" w:sz="8" w:color="D4EFF3"/>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4EFF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198,491</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90,484</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Right-of-use assets, operating leases</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1,430</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1,641</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160" w:type="dxa"/>
            <w:vAlign w:val="bottom"/>
            <w:tcBorders>
              <w:bottom w:val="single" w:sz="8" w:color="D4EFF3"/>
            </w:tcBorders>
          </w:tcPr>
          <w:p>
            <w:pPr>
              <w:spacing w:after="0"/>
              <w:rPr>
                <w:sz w:val="19"/>
                <w:szCs w:val="19"/>
                <w:color w:val="auto"/>
              </w:rPr>
            </w:pPr>
          </w:p>
        </w:tc>
        <w:tc>
          <w:tcPr>
            <w:tcW w:w="12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00" w:type="dxa"/>
            <w:vAlign w:val="bottom"/>
            <w:tcBorders>
              <w:bottom w:val="single" w:sz="8" w:color="D4EFF3"/>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340" w:type="dxa"/>
            <w:vAlign w:val="bottom"/>
            <w:tcBorders>
              <w:bottom w:val="single" w:sz="8" w:color="auto"/>
            </w:tcBorders>
            <w:shd w:val="clear" w:color="auto" w:fill="D4EFF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200,205</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92,411</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Convertible Preferred Stock and Stockholders’ Equity (Deficit)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16,162</w:t>
            </w:r>
          </w:p>
        </w:tc>
        <w:tc>
          <w:tcPr>
            <w:tcW w:w="16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6,109</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4,096</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liability</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340" w:type="dxa"/>
            <w:vAlign w:val="bottom"/>
            <w:tcBorders>
              <w:bottom w:val="single" w:sz="8" w:color="auto"/>
            </w:tcBorders>
            <w:shd w:val="clear" w:color="auto" w:fill="D4EFF3"/>
          </w:tcPr>
          <w:p>
            <w:pPr>
              <w:spacing w:after="0"/>
              <w:rPr>
                <w:sz w:val="19"/>
                <w:szCs w:val="19"/>
                <w:color w:val="auto"/>
              </w:rPr>
            </w:pPr>
          </w:p>
        </w:tc>
        <w:tc>
          <w:tcPr>
            <w:tcW w:w="1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spacing w:after="0"/>
              <w:rPr>
                <w:sz w:val="19"/>
                <w:szCs w:val="19"/>
                <w:color w:val="auto"/>
              </w:rPr>
            </w:pPr>
          </w:p>
        </w:tc>
        <w:tc>
          <w:tcPr>
            <w:tcW w:w="10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340" w:type="dxa"/>
            <w:vAlign w:val="bottom"/>
          </w:tcPr>
          <w:p>
            <w:pPr>
              <w:spacing w:after="0"/>
              <w:rPr>
                <w:sz w:val="19"/>
                <w:szCs w:val="19"/>
                <w:color w:val="auto"/>
              </w:rPr>
            </w:pP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22,578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340" w:type="dxa"/>
            <w:vAlign w:val="bottom"/>
            <w:tcBorders>
              <w:bottom w:val="single" w:sz="8" w:color="auto"/>
            </w:tcBorders>
            <w:shd w:val="clear" w:color="auto" w:fill="D4EFF3"/>
          </w:tcPr>
          <w:p>
            <w:pPr>
              <w:spacing w:after="0"/>
              <w:rPr>
                <w:sz w:val="19"/>
                <w:szCs w:val="19"/>
                <w:color w:val="auto"/>
              </w:rPr>
            </w:pPr>
          </w:p>
        </w:tc>
        <w:tc>
          <w:tcPr>
            <w:tcW w:w="1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1,027</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spacing w:after="0"/>
              <w:rPr>
                <w:sz w:val="19"/>
                <w:szCs w:val="19"/>
                <w:color w:val="auto"/>
              </w:rPr>
            </w:pPr>
          </w:p>
        </w:tc>
        <w:tc>
          <w:tcPr>
            <w:tcW w:w="10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1,334</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340" w:type="dxa"/>
            <w:vAlign w:val="bottom"/>
          </w:tcPr>
          <w:p>
            <w:pPr>
              <w:spacing w:after="0"/>
              <w:rPr>
                <w:sz w:val="19"/>
                <w:szCs w:val="19"/>
                <w:color w:val="auto"/>
              </w:rPr>
            </w:pP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23,605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14,758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Commitments and contingencies (Note 14)</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Series Seed convertible preferred stock, $0.0001 par value; no shares and 5,000,000</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shares authorized at December 31, 2022 and 2021, respectively; no shares and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5,000,000 shares issued and outstanding as of December 31, 2022 and 2021,</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respectively; (liquidation preference of $0 and $5,000 as of December 31, 2022 and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2021, respectively)</w:t>
            </w:r>
          </w:p>
        </w:tc>
        <w:tc>
          <w:tcPr>
            <w:tcW w:w="3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D4EFF3"/>
          </w:tcPr>
          <w:p>
            <w:pPr>
              <w:spacing w:after="0" w:line="210" w:lineRule="exact"/>
              <w:rPr>
                <w:sz w:val="20"/>
                <w:szCs w:val="20"/>
                <w:color w:val="auto"/>
              </w:rPr>
            </w:pPr>
            <w:r>
              <w:rPr>
                <w:rFonts w:ascii="Times New Roman" w:cs="Times New Roman" w:eastAsia="Times New Roman" w:hAnsi="Times New Roman"/>
                <w:sz w:val="20"/>
                <w:szCs w:val="20"/>
                <w:color w:val="auto"/>
              </w:rPr>
              <w:t>Series A convertible preferred stock, $0.0001 par value; no shares and 41,666,666</w:t>
            </w:r>
          </w:p>
        </w:tc>
        <w:tc>
          <w:tcPr>
            <w:tcW w:w="340" w:type="dxa"/>
            <w:vAlign w:val="bottom"/>
            <w:shd w:val="clear" w:color="auto" w:fill="D4EFF3"/>
          </w:tcPr>
          <w:p>
            <w:pPr>
              <w:spacing w:after="0"/>
              <w:rPr>
                <w:sz w:val="18"/>
                <w:szCs w:val="18"/>
                <w:color w:val="auto"/>
              </w:rPr>
            </w:pPr>
          </w:p>
        </w:tc>
        <w:tc>
          <w:tcPr>
            <w:tcW w:w="1120" w:type="dxa"/>
            <w:vAlign w:val="bottom"/>
            <w:shd w:val="clear" w:color="auto" w:fill="D4EFF3"/>
          </w:tcPr>
          <w:p>
            <w:pPr>
              <w:spacing w:after="0"/>
              <w:rPr>
                <w:sz w:val="18"/>
                <w:szCs w:val="18"/>
                <w:color w:val="auto"/>
              </w:rPr>
            </w:pPr>
          </w:p>
        </w:tc>
        <w:tc>
          <w:tcPr>
            <w:tcW w:w="160" w:type="dxa"/>
            <w:vAlign w:val="bottom"/>
            <w:shd w:val="clear" w:color="auto" w:fill="D4EFF3"/>
          </w:tcPr>
          <w:p>
            <w:pPr>
              <w:spacing w:after="0"/>
              <w:rPr>
                <w:sz w:val="18"/>
                <w:szCs w:val="18"/>
                <w:color w:val="auto"/>
              </w:rPr>
            </w:pPr>
          </w:p>
        </w:tc>
        <w:tc>
          <w:tcPr>
            <w:tcW w:w="120" w:type="dxa"/>
            <w:vAlign w:val="bottom"/>
            <w:shd w:val="clear" w:color="auto" w:fill="D4EFF3"/>
          </w:tcPr>
          <w:p>
            <w:pPr>
              <w:spacing w:after="0"/>
              <w:rPr>
                <w:sz w:val="18"/>
                <w:szCs w:val="18"/>
                <w:color w:val="auto"/>
              </w:rPr>
            </w:pPr>
          </w:p>
        </w:tc>
        <w:tc>
          <w:tcPr>
            <w:tcW w:w="440" w:type="dxa"/>
            <w:vAlign w:val="bottom"/>
            <w:shd w:val="clear" w:color="auto" w:fill="D4EFF3"/>
          </w:tcPr>
          <w:p>
            <w:pPr>
              <w:spacing w:after="0"/>
              <w:rPr>
                <w:sz w:val="18"/>
                <w:szCs w:val="18"/>
                <w:color w:val="auto"/>
              </w:rPr>
            </w:pPr>
          </w:p>
        </w:tc>
        <w:tc>
          <w:tcPr>
            <w:tcW w:w="1000" w:type="dxa"/>
            <w:vAlign w:val="bottom"/>
            <w:shd w:val="clear" w:color="auto" w:fill="D4EFF3"/>
          </w:tcPr>
          <w:p>
            <w:pPr>
              <w:spacing w:after="0"/>
              <w:rPr>
                <w:sz w:val="18"/>
                <w:szCs w:val="18"/>
                <w:color w:val="auto"/>
              </w:rPr>
            </w:pPr>
          </w:p>
        </w:tc>
        <w:tc>
          <w:tcPr>
            <w:tcW w:w="100" w:type="dxa"/>
            <w:vAlign w:val="bottom"/>
            <w:shd w:val="clear" w:color="auto" w:fill="D4EF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140"/>
              <w:spacing w:after="0"/>
              <w:rPr>
                <w:sz w:val="20"/>
                <w:szCs w:val="20"/>
                <w:color w:val="auto"/>
              </w:rPr>
            </w:pPr>
            <w:r>
              <w:rPr>
                <w:rFonts w:ascii="Times New Roman" w:cs="Times New Roman" w:eastAsia="Times New Roman" w:hAnsi="Times New Roman"/>
                <w:sz w:val="20"/>
                <w:szCs w:val="20"/>
                <w:color w:val="auto"/>
              </w:rPr>
              <w:t>shares authorized as of December 31, 2022 and 2021, respectively; no shares and</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140"/>
              <w:spacing w:after="0"/>
              <w:rPr>
                <w:sz w:val="20"/>
                <w:szCs w:val="20"/>
                <w:color w:val="auto"/>
              </w:rPr>
            </w:pPr>
            <w:r>
              <w:rPr>
                <w:rFonts w:ascii="Times New Roman" w:cs="Times New Roman" w:eastAsia="Times New Roman" w:hAnsi="Times New Roman"/>
                <w:sz w:val="20"/>
                <w:szCs w:val="20"/>
                <w:color w:val="auto"/>
              </w:rPr>
              <w:t>41,666,666 shares issued and outstanding as of December 31, 2022 and 2021,</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140"/>
              <w:spacing w:after="0"/>
              <w:rPr>
                <w:sz w:val="20"/>
                <w:szCs w:val="20"/>
                <w:color w:val="auto"/>
              </w:rPr>
            </w:pPr>
            <w:r>
              <w:rPr>
                <w:rFonts w:ascii="Times New Roman" w:cs="Times New Roman" w:eastAsia="Times New Roman" w:hAnsi="Times New Roman"/>
                <w:sz w:val="20"/>
                <w:szCs w:val="20"/>
                <w:color w:val="auto"/>
              </w:rPr>
              <w:t>respectively; (liquidation preference of $0 and $50,000 as of December 31, 2022</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60" w:type="dxa"/>
            <w:vAlign w:val="bottom"/>
            <w:shd w:val="clear" w:color="auto" w:fill="D4EFF3"/>
          </w:tcPr>
          <w:p>
            <w:pPr>
              <w:ind w:left="140"/>
              <w:spacing w:after="0"/>
              <w:rPr>
                <w:sz w:val="20"/>
                <w:szCs w:val="20"/>
                <w:color w:val="auto"/>
              </w:rPr>
            </w:pPr>
            <w:r>
              <w:rPr>
                <w:rFonts w:ascii="Times New Roman" w:cs="Times New Roman" w:eastAsia="Times New Roman" w:hAnsi="Times New Roman"/>
                <w:sz w:val="20"/>
                <w:szCs w:val="20"/>
                <w:color w:val="auto"/>
              </w:rPr>
              <w:t>and 2021, respectively)</w:t>
            </w:r>
          </w:p>
        </w:tc>
        <w:tc>
          <w:tcPr>
            <w:tcW w:w="340" w:type="dxa"/>
            <w:vAlign w:val="bottom"/>
            <w:shd w:val="clear" w:color="auto" w:fill="D4EFF3"/>
          </w:tcPr>
          <w:p>
            <w:pPr>
              <w:spacing w:after="0"/>
              <w:rPr>
                <w:sz w:val="21"/>
                <w:szCs w:val="21"/>
                <w:color w:val="auto"/>
              </w:rPr>
            </w:pPr>
          </w:p>
        </w:tc>
        <w:tc>
          <w:tcPr>
            <w:tcW w:w="12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spacing w:after="0"/>
              <w:rPr>
                <w:sz w:val="21"/>
                <w:szCs w:val="21"/>
                <w:color w:val="auto"/>
              </w:rPr>
            </w:pPr>
          </w:p>
        </w:tc>
        <w:tc>
          <w:tcPr>
            <w:tcW w:w="440" w:type="dxa"/>
            <w:vAlign w:val="bottom"/>
            <w:shd w:val="clear" w:color="auto" w:fill="D4EFF3"/>
          </w:tcPr>
          <w:p>
            <w:pPr>
              <w:spacing w:after="0"/>
              <w:rPr>
                <w:sz w:val="21"/>
                <w:szCs w:val="21"/>
                <w:color w:val="auto"/>
              </w:rPr>
            </w:pPr>
          </w:p>
        </w:tc>
        <w:tc>
          <w:tcPr>
            <w:tcW w:w="10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49,762</w:t>
            </w:r>
          </w:p>
        </w:tc>
        <w:tc>
          <w:tcPr>
            <w:tcW w:w="10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Series B convertible preferred stock, $0.0001 par value; no shares and 37,499,999</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shares authorized as of December 31, 2022 and 2021, respectively; no shares and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37,499,999 shares issued and outstanding as of December 31, 2022 and 2021,</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respectively; (liquidation preference of $0 and $90,000 as of December 31, 2022</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and 2021, respectively)</w:t>
            </w:r>
          </w:p>
        </w:tc>
        <w:tc>
          <w:tcPr>
            <w:tcW w:w="3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Stockholders’ equity (deficit):</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Common stock, $0.0001 par value; 100,000,000 and 108,108,833 shares authorized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as of December 31, 2022 and 2021, respectively; 17,405,231 and 919,588 shares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issued December 31, 2022 and 2021, respectively; and 17,403,315 and 909,418</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shares outstanding as of December 31, 2022 and 2021, respectively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288,814</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0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1,186</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3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(112,216)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(65,389)</w:t>
            </w:r>
          </w:p>
        </w:tc>
        <w:tc>
          <w:tcPr>
            <w:tcW w:w="0" w:type="dxa"/>
            <w:vAlign w:val="bottom"/>
          </w:tcPr>
          <w:p>
            <w:pPr>
              <w:spacing w:after="0"/>
              <w:rPr>
                <w:sz w:val="1"/>
                <w:szCs w:val="1"/>
                <w:color w:val="auto"/>
              </w:rPr>
            </w:pPr>
          </w:p>
        </w:tc>
      </w:tr>
      <w:tr>
        <w:trPr>
          <w:trHeight w:val="220"/>
        </w:trPr>
        <w:tc>
          <w:tcPr>
            <w:tcW w:w="7160" w:type="dxa"/>
            <w:vAlign w:val="bottom"/>
            <w:tcBorders>
              <w:top w:val="single" w:sz="8" w:color="D4EFF3"/>
            </w:tcBorders>
            <w:shd w:val="clear" w:color="auto" w:fill="D4EFF3"/>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stockholders’ equity (deficit)</w:t>
            </w:r>
          </w:p>
        </w:tc>
        <w:tc>
          <w:tcPr>
            <w:tcW w:w="340" w:type="dxa"/>
            <w:vAlign w:val="bottom"/>
            <w:tcBorders>
              <w:top w:val="single" w:sz="8" w:color="auto"/>
              <w:bottom w:val="single" w:sz="8" w:color="auto"/>
            </w:tcBorders>
            <w:shd w:val="clear" w:color="auto" w:fill="D4EFF3"/>
          </w:tcPr>
          <w:p>
            <w:pPr>
              <w:spacing w:after="0"/>
              <w:rPr>
                <w:sz w:val="19"/>
                <w:szCs w:val="19"/>
                <w:color w:val="auto"/>
              </w:rPr>
            </w:pPr>
          </w:p>
        </w:tc>
        <w:tc>
          <w:tcPr>
            <w:tcW w:w="1120" w:type="dxa"/>
            <w:vAlign w:val="bottom"/>
            <w:tcBorders>
              <w:top w:val="single" w:sz="8" w:color="auto"/>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176,600</w:t>
            </w:r>
          </w:p>
        </w:tc>
        <w:tc>
          <w:tcPr>
            <w:tcW w:w="160" w:type="dxa"/>
            <w:vAlign w:val="bottom"/>
            <w:tcBorders>
              <w:top w:val="single" w:sz="8" w:color="D4EFF3"/>
            </w:tcBorders>
            <w:shd w:val="clear" w:color="auto" w:fill="D4EFF3"/>
          </w:tcPr>
          <w:p>
            <w:pPr>
              <w:spacing w:after="0"/>
              <w:rPr>
                <w:sz w:val="19"/>
                <w:szCs w:val="19"/>
                <w:color w:val="auto"/>
              </w:rPr>
            </w:pPr>
          </w:p>
        </w:tc>
        <w:tc>
          <w:tcPr>
            <w:tcW w:w="120" w:type="dxa"/>
            <w:vAlign w:val="bottom"/>
            <w:tcBorders>
              <w:top w:val="single" w:sz="8" w:color="D4EFF3"/>
            </w:tcBorders>
            <w:shd w:val="clear" w:color="auto" w:fill="D4EFF3"/>
          </w:tcPr>
          <w:p>
            <w:pPr>
              <w:spacing w:after="0"/>
              <w:rPr>
                <w:sz w:val="19"/>
                <w:szCs w:val="19"/>
                <w:color w:val="auto"/>
              </w:rPr>
            </w:pPr>
          </w:p>
        </w:tc>
        <w:tc>
          <w:tcPr>
            <w:tcW w:w="440" w:type="dxa"/>
            <w:vAlign w:val="bottom"/>
            <w:tcBorders>
              <w:top w:val="single" w:sz="8" w:color="auto"/>
              <w:bottom w:val="single" w:sz="8" w:color="auto"/>
            </w:tcBorders>
            <w:shd w:val="clear" w:color="auto" w:fill="D4EFF3"/>
          </w:tcPr>
          <w:p>
            <w:pPr>
              <w:spacing w:after="0"/>
              <w:rPr>
                <w:sz w:val="19"/>
                <w:szCs w:val="19"/>
                <w:color w:val="auto"/>
              </w:rPr>
            </w:pPr>
          </w:p>
        </w:tc>
        <w:tc>
          <w:tcPr>
            <w:tcW w:w="1000" w:type="dxa"/>
            <w:vAlign w:val="bottom"/>
            <w:tcBorders>
              <w:top w:val="single" w:sz="8" w:color="auto"/>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(64,203)</w:t>
            </w:r>
          </w:p>
        </w:tc>
        <w:tc>
          <w:tcPr>
            <w:tcW w:w="100" w:type="dxa"/>
            <w:vAlign w:val="bottom"/>
            <w:tcBorders>
              <w:top w:val="single" w:sz="8" w:color="D4EFF3"/>
            </w:tcBorders>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liabilities, convertible preferred stock and stockholders’ equity (deficit)</w:t>
            </w:r>
          </w:p>
        </w:tc>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200,205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92,411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440"/>
          </w:cols>
          <w:pgMar w:left="900" w:top="696" w:right="900" w:bottom="175"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D4EFF3"/>
            </w:tcBorders>
          </w:tcPr>
          <w:p>
            <w:pPr>
              <w:spacing w:after="0"/>
              <w:rPr>
                <w:sz w:val="19"/>
                <w:szCs w:val="19"/>
                <w:color w:val="auto"/>
              </w:rPr>
            </w:pPr>
          </w:p>
        </w:tc>
        <w:tc>
          <w:tcPr>
            <w:tcW w:w="660" w:type="dxa"/>
            <w:vAlign w:val="bottom"/>
            <w:tcBorders>
              <w:bottom w:val="single" w:sz="8" w:color="D4EFF3"/>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D4EFF3"/>
            </w:tcBorders>
          </w:tcPr>
          <w:p>
            <w:pPr>
              <w:spacing w:after="0"/>
              <w:rPr>
                <w:sz w:val="19"/>
                <w:szCs w:val="19"/>
                <w:color w:val="auto"/>
              </w:rPr>
            </w:pPr>
          </w:p>
        </w:tc>
        <w:tc>
          <w:tcPr>
            <w:tcW w:w="120" w:type="dxa"/>
            <w:vAlign w:val="bottom"/>
            <w:tcBorders>
              <w:top w:val="single" w:sz="8" w:color="auto"/>
              <w:bottom w:val="single" w:sz="8" w:color="D4EFF3"/>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D4EFF3"/>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66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12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66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660" w:type="dxa"/>
            <w:vAlign w:val="bottom"/>
            <w:shd w:val="clear" w:color="auto" w:fill="D4EFF3"/>
          </w:tcPr>
          <w:p>
            <w:pPr>
              <w:spacing w:after="0"/>
              <w:rPr>
                <w:sz w:val="19"/>
                <w:szCs w:val="19"/>
                <w:color w:val="auto"/>
              </w:rPr>
            </w:pPr>
          </w:p>
        </w:tc>
        <w:tc>
          <w:tcPr>
            <w:tcW w:w="340" w:type="dxa"/>
            <w:vAlign w:val="bottom"/>
            <w:tcBorders>
              <w:bottom w:val="single" w:sz="8" w:color="auto"/>
            </w:tcBorders>
            <w:shd w:val="clear" w:color="auto" w:fill="D4EFF3"/>
          </w:tcPr>
          <w:p>
            <w:pPr>
              <w:spacing w:after="0"/>
              <w:rPr>
                <w:sz w:val="19"/>
                <w:szCs w:val="19"/>
                <w:color w:val="auto"/>
              </w:rPr>
            </w:pPr>
          </w:p>
        </w:tc>
        <w:tc>
          <w:tcPr>
            <w:tcW w:w="1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14,038</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320" w:type="dxa"/>
            <w:vAlign w:val="bottom"/>
            <w:tcBorders>
              <w:bottom w:val="single" w:sz="8" w:color="auto"/>
            </w:tcBorders>
            <w:shd w:val="clear" w:color="auto" w:fill="D4EFF3"/>
          </w:tcPr>
          <w:p>
            <w:pPr>
              <w:spacing w:after="0"/>
              <w:rPr>
                <w:sz w:val="19"/>
                <w:szCs w:val="19"/>
                <w:color w:val="auto"/>
              </w:rPr>
            </w:pPr>
          </w:p>
        </w:tc>
        <w:tc>
          <w:tcPr>
            <w:tcW w:w="1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5,763</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Borders>
              <w:bottom w:val="single" w:sz="8" w:color="D4EFF3"/>
            </w:tcBorders>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66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47,475</w:t>
            </w:r>
          </w:p>
        </w:tc>
        <w:tc>
          <w:tcPr>
            <w:tcW w:w="160" w:type="dxa"/>
            <w:vAlign w:val="bottom"/>
            <w:tcBorders>
              <w:bottom w:val="single" w:sz="8" w:color="D4EFF3"/>
            </w:tcBorders>
          </w:tcPr>
          <w:p>
            <w:pPr>
              <w:spacing w:after="0"/>
              <w:rPr>
                <w:sz w:val="19"/>
                <w:szCs w:val="19"/>
                <w:color w:val="auto"/>
              </w:rPr>
            </w:pPr>
          </w:p>
        </w:tc>
        <w:tc>
          <w:tcPr>
            <w:tcW w:w="120" w:type="dxa"/>
            <w:vAlign w:val="bottom"/>
            <w:tcBorders>
              <w:bottom w:val="single" w:sz="8" w:color="D4EFF3"/>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30,933</w:t>
            </w:r>
          </w:p>
        </w:tc>
        <w:tc>
          <w:tcPr>
            <w:tcW w:w="100" w:type="dxa"/>
            <w:vAlign w:val="bottom"/>
            <w:tcBorders>
              <w:bottom w:val="single" w:sz="8" w:color="D4EFF3"/>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66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(47,475)</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(30,933)</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66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709</w:t>
            </w:r>
          </w:p>
        </w:tc>
        <w:tc>
          <w:tcPr>
            <w:tcW w:w="1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derivative liability</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(5,050)</w:t>
            </w:r>
          </w:p>
        </w:tc>
        <w:tc>
          <w:tcPr>
            <w:tcW w:w="0" w:type="dxa"/>
            <w:vAlign w:val="bottom"/>
          </w:tcPr>
          <w:p>
            <w:pPr>
              <w:spacing w:after="0"/>
              <w:rPr>
                <w:sz w:val="1"/>
                <w:szCs w:val="1"/>
                <w:color w:val="auto"/>
              </w:rPr>
            </w:pPr>
          </w:p>
        </w:tc>
      </w:tr>
      <w:tr>
        <w:trPr>
          <w:trHeight w:val="220"/>
        </w:trPr>
        <w:tc>
          <w:tcPr>
            <w:tcW w:w="6500" w:type="dxa"/>
            <w:vAlign w:val="bottom"/>
            <w:tcBorders>
              <w:top w:val="single" w:sz="8" w:color="D4EFF3"/>
            </w:tcBorders>
            <w:shd w:val="clear" w:color="auto" w:fill="D4EFF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660" w:type="dxa"/>
            <w:vAlign w:val="bottom"/>
            <w:tcBorders>
              <w:top w:val="single" w:sz="8" w:color="D4EFF3"/>
            </w:tcBorders>
            <w:shd w:val="clear" w:color="auto" w:fill="D4EFF3"/>
          </w:tcPr>
          <w:p>
            <w:pPr>
              <w:spacing w:after="0"/>
              <w:rPr>
                <w:sz w:val="19"/>
                <w:szCs w:val="19"/>
                <w:color w:val="auto"/>
              </w:rPr>
            </w:pPr>
          </w:p>
        </w:tc>
        <w:tc>
          <w:tcPr>
            <w:tcW w:w="340" w:type="dxa"/>
            <w:vAlign w:val="bottom"/>
            <w:tcBorders>
              <w:top w:val="single" w:sz="8" w:color="auto"/>
              <w:bottom w:val="single" w:sz="8" w:color="auto"/>
            </w:tcBorders>
            <w:shd w:val="clear" w:color="auto" w:fill="D4EFF3"/>
          </w:tcPr>
          <w:p>
            <w:pPr>
              <w:spacing w:after="0"/>
              <w:rPr>
                <w:sz w:val="19"/>
                <w:szCs w:val="19"/>
                <w:color w:val="auto"/>
              </w:rPr>
            </w:pPr>
          </w:p>
        </w:tc>
        <w:tc>
          <w:tcPr>
            <w:tcW w:w="1120" w:type="dxa"/>
            <w:vAlign w:val="bottom"/>
            <w:tcBorders>
              <w:top w:val="single" w:sz="8" w:color="auto"/>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648</w:t>
            </w:r>
          </w:p>
        </w:tc>
        <w:tc>
          <w:tcPr>
            <w:tcW w:w="160" w:type="dxa"/>
            <w:vAlign w:val="bottom"/>
            <w:tcBorders>
              <w:top w:val="single" w:sz="8" w:color="D4EFF3"/>
            </w:tcBorders>
            <w:shd w:val="clear" w:color="auto" w:fill="D4EFF3"/>
          </w:tcPr>
          <w:p>
            <w:pPr>
              <w:spacing w:after="0"/>
              <w:rPr>
                <w:sz w:val="19"/>
                <w:szCs w:val="19"/>
                <w:color w:val="auto"/>
              </w:rPr>
            </w:pPr>
          </w:p>
        </w:tc>
        <w:tc>
          <w:tcPr>
            <w:tcW w:w="120" w:type="dxa"/>
            <w:vAlign w:val="bottom"/>
            <w:tcBorders>
              <w:top w:val="single" w:sz="8" w:color="D4EFF3"/>
            </w:tcBorders>
            <w:shd w:val="clear" w:color="auto" w:fill="D4EFF3"/>
          </w:tcPr>
          <w:p>
            <w:pPr>
              <w:spacing w:after="0"/>
              <w:rPr>
                <w:sz w:val="19"/>
                <w:szCs w:val="19"/>
                <w:color w:val="auto"/>
              </w:rPr>
            </w:pPr>
          </w:p>
        </w:tc>
        <w:tc>
          <w:tcPr>
            <w:tcW w:w="320" w:type="dxa"/>
            <w:vAlign w:val="bottom"/>
            <w:tcBorders>
              <w:top w:val="single" w:sz="8" w:color="auto"/>
              <w:bottom w:val="single" w:sz="8" w:color="auto"/>
            </w:tcBorders>
            <w:shd w:val="clear" w:color="auto" w:fill="D4EFF3"/>
          </w:tcPr>
          <w:p>
            <w:pPr>
              <w:spacing w:after="0"/>
              <w:rPr>
                <w:sz w:val="19"/>
                <w:szCs w:val="19"/>
                <w:color w:val="auto"/>
              </w:rPr>
            </w:pPr>
          </w:p>
        </w:tc>
        <w:tc>
          <w:tcPr>
            <w:tcW w:w="1120" w:type="dxa"/>
            <w:vAlign w:val="bottom"/>
            <w:tcBorders>
              <w:top w:val="single" w:sz="8" w:color="auto"/>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(5,036)</w:t>
            </w:r>
          </w:p>
        </w:tc>
        <w:tc>
          <w:tcPr>
            <w:tcW w:w="100" w:type="dxa"/>
            <w:vAlign w:val="bottom"/>
            <w:tcBorders>
              <w:top w:val="single" w:sz="8" w:color="D4EFF3"/>
            </w:tcBorders>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500" w:type="dxa"/>
            <w:vAlign w:val="bottom"/>
            <w:tcBorders>
              <w:bottom w:val="single" w:sz="8" w:color="D4EFF3"/>
            </w:tcBorders>
          </w:tcPr>
          <w:p>
            <w:pPr>
              <w:spacing w:after="0" w:line="220" w:lineRule="exact"/>
              <w:rPr>
                <w:sz w:val="20"/>
                <w:szCs w:val="20"/>
                <w:color w:val="auto"/>
              </w:rPr>
            </w:pPr>
            <w:r>
              <w:rPr>
                <w:rFonts w:ascii="Times New Roman" w:cs="Times New Roman" w:eastAsia="Times New Roman" w:hAnsi="Times New Roman"/>
                <w:sz w:val="20"/>
                <w:szCs w:val="20"/>
                <w:color w:val="auto"/>
              </w:rPr>
              <w:t>Net loss and comprehensive loss</w:t>
            </w:r>
          </w:p>
        </w:tc>
        <w:tc>
          <w:tcPr>
            <w:tcW w:w="660" w:type="dxa"/>
            <w:vAlign w:val="bottom"/>
            <w:tcBorders>
              <w:bottom w:val="single" w:sz="8" w:color="D4EFF3"/>
            </w:tcBorders>
          </w:tcPr>
          <w:p>
            <w:pPr>
              <w:spacing w:after="0"/>
              <w:rPr>
                <w:sz w:val="22"/>
                <w:szCs w:val="22"/>
                <w:color w:val="auto"/>
              </w:rPr>
            </w:pPr>
          </w:p>
        </w:tc>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(46,827)</w:t>
            </w:r>
          </w:p>
        </w:tc>
        <w:tc>
          <w:tcPr>
            <w:tcW w:w="160" w:type="dxa"/>
            <w:vAlign w:val="bottom"/>
            <w:tcBorders>
              <w:bottom w:val="single" w:sz="8" w:color="D4EFF3"/>
            </w:tcBorders>
          </w:tcPr>
          <w:p>
            <w:pPr>
              <w:spacing w:after="0"/>
              <w:rPr>
                <w:sz w:val="22"/>
                <w:szCs w:val="22"/>
                <w:color w:val="auto"/>
              </w:rPr>
            </w:pPr>
          </w:p>
        </w:tc>
        <w:tc>
          <w:tcPr>
            <w:tcW w:w="120" w:type="dxa"/>
            <w:vAlign w:val="bottom"/>
            <w:tcBorders>
              <w:bottom w:val="single" w:sz="8" w:color="D4EFF3"/>
            </w:tcBorders>
          </w:tcPr>
          <w:p>
            <w:pPr>
              <w:spacing w:after="0"/>
              <w:rPr>
                <w:sz w:val="22"/>
                <w:szCs w:val="22"/>
                <w:color w:val="auto"/>
              </w:rPr>
            </w:pPr>
          </w:p>
        </w:tc>
        <w:tc>
          <w:tcPr>
            <w:tcW w:w="32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(35,969)</w:t>
            </w:r>
          </w:p>
        </w:tc>
        <w:tc>
          <w:tcPr>
            <w:tcW w:w="100" w:type="dxa"/>
            <w:vAlign w:val="bottom"/>
            <w:tcBorders>
              <w:bottom w:val="single" w:sz="8" w:color="D4EFF3"/>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500" w:type="dxa"/>
            <w:vAlign w:val="bottom"/>
            <w:tcBorders>
              <w:bottom w:val="single" w:sz="8" w:color="D4EFF3"/>
            </w:tcBorders>
            <w:shd w:val="clear" w:color="auto" w:fill="D4EFF3"/>
          </w:tcPr>
          <w:p>
            <w:pPr>
              <w:spacing w:after="0" w:line="215" w:lineRule="exact"/>
              <w:rPr>
                <w:sz w:val="20"/>
                <w:szCs w:val="20"/>
                <w:color w:val="auto"/>
              </w:rPr>
            </w:pPr>
            <w:r>
              <w:rPr>
                <w:rFonts w:ascii="Times New Roman" w:cs="Times New Roman" w:eastAsia="Times New Roman" w:hAnsi="Times New Roman"/>
                <w:sz w:val="20"/>
                <w:szCs w:val="20"/>
                <w:color w:val="auto"/>
              </w:rPr>
              <w:t>Net loss attributable to common stockholders-basic and diluted</w:t>
            </w:r>
          </w:p>
        </w:tc>
        <w:tc>
          <w:tcPr>
            <w:tcW w:w="660" w:type="dxa"/>
            <w:vAlign w:val="bottom"/>
            <w:tcBorders>
              <w:bottom w:val="single" w:sz="8" w:color="D4EFF3"/>
            </w:tcBorders>
            <w:shd w:val="clear" w:color="auto" w:fill="D4EFF3"/>
          </w:tcPr>
          <w:p>
            <w:pPr>
              <w:spacing w:after="0"/>
              <w:rPr>
                <w:sz w:val="20"/>
                <w:szCs w:val="20"/>
                <w:color w:val="auto"/>
              </w:rPr>
            </w:pPr>
          </w:p>
        </w:tc>
        <w:tc>
          <w:tcPr>
            <w:tcW w:w="340" w:type="dxa"/>
            <w:vAlign w:val="bottom"/>
            <w:tcBorders>
              <w:bottom w:val="single" w:sz="8" w:color="auto"/>
            </w:tcBorders>
            <w:shd w:val="clear" w:color="auto" w:fill="D4EFF3"/>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D4EFF3"/>
          </w:tcPr>
          <w:p>
            <w:pPr>
              <w:jc w:val="right"/>
              <w:spacing w:after="0" w:line="215" w:lineRule="exact"/>
              <w:rPr>
                <w:sz w:val="20"/>
                <w:szCs w:val="20"/>
                <w:color w:val="auto"/>
              </w:rPr>
            </w:pPr>
            <w:r>
              <w:rPr>
                <w:rFonts w:ascii="Times New Roman" w:cs="Times New Roman" w:eastAsia="Times New Roman" w:hAnsi="Times New Roman"/>
                <w:sz w:val="20"/>
                <w:szCs w:val="20"/>
                <w:color w:val="auto"/>
              </w:rPr>
              <w:t>(46,827)</w:t>
            </w:r>
          </w:p>
        </w:tc>
        <w:tc>
          <w:tcPr>
            <w:tcW w:w="160" w:type="dxa"/>
            <w:vAlign w:val="bottom"/>
            <w:tcBorders>
              <w:bottom w:val="single" w:sz="8" w:color="D4EFF3"/>
            </w:tcBorders>
            <w:shd w:val="clear" w:color="auto" w:fill="D4EFF3"/>
          </w:tcPr>
          <w:p>
            <w:pPr>
              <w:spacing w:after="0"/>
              <w:rPr>
                <w:sz w:val="20"/>
                <w:szCs w:val="20"/>
                <w:color w:val="auto"/>
              </w:rPr>
            </w:pPr>
          </w:p>
        </w:tc>
        <w:tc>
          <w:tcPr>
            <w:tcW w:w="120" w:type="dxa"/>
            <w:vAlign w:val="bottom"/>
            <w:tcBorders>
              <w:bottom w:val="single" w:sz="8" w:color="D4EFF3"/>
            </w:tcBorders>
            <w:shd w:val="clear" w:color="auto" w:fill="D4EFF3"/>
          </w:tcPr>
          <w:p>
            <w:pPr>
              <w:spacing w:after="0"/>
              <w:rPr>
                <w:sz w:val="20"/>
                <w:szCs w:val="20"/>
                <w:color w:val="auto"/>
              </w:rPr>
            </w:pPr>
          </w:p>
        </w:tc>
        <w:tc>
          <w:tcPr>
            <w:tcW w:w="320" w:type="dxa"/>
            <w:vAlign w:val="bottom"/>
            <w:tcBorders>
              <w:bottom w:val="single" w:sz="8" w:color="auto"/>
            </w:tcBorders>
            <w:shd w:val="clear" w:color="auto" w:fill="D4EFF3"/>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D4EFF3"/>
          </w:tcPr>
          <w:p>
            <w:pPr>
              <w:jc w:val="right"/>
              <w:spacing w:after="0" w:line="215" w:lineRule="exact"/>
              <w:rPr>
                <w:sz w:val="20"/>
                <w:szCs w:val="20"/>
                <w:color w:val="auto"/>
              </w:rPr>
            </w:pPr>
            <w:r>
              <w:rPr>
                <w:rFonts w:ascii="Times New Roman" w:cs="Times New Roman" w:eastAsia="Times New Roman" w:hAnsi="Times New Roman"/>
                <w:sz w:val="20"/>
                <w:szCs w:val="20"/>
                <w:color w:val="auto"/>
              </w:rPr>
              <w:t>(35,969)</w:t>
            </w:r>
          </w:p>
        </w:tc>
        <w:tc>
          <w:tcPr>
            <w:tcW w:w="100" w:type="dxa"/>
            <w:vAlign w:val="bottom"/>
            <w:tcBorders>
              <w:bottom w:val="single" w:sz="8" w:color="D4EFF3"/>
            </w:tcBorders>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common shares outstanding-basic and diluted</w:t>
            </w: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00" w:type="dxa"/>
            <w:vAlign w:val="bottom"/>
            <w:tcBorders>
              <w:bottom w:val="single" w:sz="8" w:color="D4EFF3"/>
            </w:tcBorders>
            <w:vMerge w:val="continue"/>
          </w:tcPr>
          <w:p>
            <w:pPr>
              <w:spacing w:after="0"/>
              <w:rPr>
                <w:sz w:val="20"/>
                <w:szCs w:val="20"/>
                <w:color w:val="auto"/>
              </w:rPr>
            </w:pPr>
          </w:p>
        </w:tc>
        <w:tc>
          <w:tcPr>
            <w:tcW w:w="660" w:type="dxa"/>
            <w:vAlign w:val="bottom"/>
            <w:tcBorders>
              <w:bottom w:val="single" w:sz="8" w:color="D4EFF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1,039,490</w:t>
            </w:r>
          </w:p>
        </w:tc>
        <w:tc>
          <w:tcPr>
            <w:tcW w:w="160" w:type="dxa"/>
            <w:vAlign w:val="bottom"/>
            <w:tcBorders>
              <w:bottom w:val="single" w:sz="8" w:color="D4EFF3"/>
            </w:tcBorders>
          </w:tcPr>
          <w:p>
            <w:pPr>
              <w:spacing w:after="0"/>
              <w:rPr>
                <w:sz w:val="20"/>
                <w:szCs w:val="20"/>
                <w:color w:val="auto"/>
              </w:rPr>
            </w:pPr>
          </w:p>
        </w:tc>
        <w:tc>
          <w:tcPr>
            <w:tcW w:w="120" w:type="dxa"/>
            <w:vAlign w:val="bottom"/>
            <w:tcBorders>
              <w:bottom w:val="single" w:sz="8" w:color="D4EFF3"/>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878,407</w:t>
            </w:r>
          </w:p>
        </w:tc>
        <w:tc>
          <w:tcPr>
            <w:tcW w:w="100" w:type="dxa"/>
            <w:vAlign w:val="bottom"/>
            <w:tcBorders>
              <w:bottom w:val="single" w:sz="8" w:color="D4EFF3"/>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500" w:type="dxa"/>
            <w:vAlign w:val="bottom"/>
            <w:tcBorders>
              <w:bottom w:val="single" w:sz="8" w:color="D4EFF3"/>
            </w:tcBorders>
            <w:shd w:val="clear" w:color="auto" w:fill="D4EFF3"/>
          </w:tcPr>
          <w:p>
            <w:pPr>
              <w:spacing w:after="0" w:line="215" w:lineRule="exact"/>
              <w:rPr>
                <w:sz w:val="20"/>
                <w:szCs w:val="20"/>
                <w:color w:val="auto"/>
              </w:rPr>
            </w:pPr>
            <w:r>
              <w:rPr>
                <w:rFonts w:ascii="Times New Roman" w:cs="Times New Roman" w:eastAsia="Times New Roman" w:hAnsi="Times New Roman"/>
                <w:sz w:val="20"/>
                <w:szCs w:val="20"/>
                <w:color w:val="auto"/>
              </w:rPr>
              <w:t>Net loss per share attributable to common stockholders-basic and diluted</w:t>
            </w:r>
          </w:p>
        </w:tc>
        <w:tc>
          <w:tcPr>
            <w:tcW w:w="660" w:type="dxa"/>
            <w:vAlign w:val="bottom"/>
            <w:tcBorders>
              <w:bottom w:val="single" w:sz="8" w:color="D4EFF3"/>
            </w:tcBorders>
            <w:shd w:val="clear" w:color="auto" w:fill="D4EFF3"/>
          </w:tcPr>
          <w:p>
            <w:pPr>
              <w:spacing w:after="0"/>
              <w:rPr>
                <w:sz w:val="20"/>
                <w:szCs w:val="20"/>
                <w:color w:val="auto"/>
              </w:rPr>
            </w:pPr>
          </w:p>
        </w:tc>
        <w:tc>
          <w:tcPr>
            <w:tcW w:w="340" w:type="dxa"/>
            <w:vAlign w:val="bottom"/>
            <w:tcBorders>
              <w:bottom w:val="single" w:sz="8" w:color="auto"/>
            </w:tcBorders>
            <w:shd w:val="clear" w:color="auto" w:fill="D4EFF3"/>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D4EFF3"/>
          </w:tcPr>
          <w:p>
            <w:pPr>
              <w:jc w:val="right"/>
              <w:spacing w:after="0" w:line="215" w:lineRule="exact"/>
              <w:rPr>
                <w:sz w:val="20"/>
                <w:szCs w:val="20"/>
                <w:color w:val="auto"/>
              </w:rPr>
            </w:pPr>
            <w:r>
              <w:rPr>
                <w:rFonts w:ascii="Times New Roman" w:cs="Times New Roman" w:eastAsia="Times New Roman" w:hAnsi="Times New Roman"/>
                <w:sz w:val="20"/>
                <w:szCs w:val="20"/>
                <w:color w:val="auto"/>
              </w:rPr>
              <w:t>(45.05)</w:t>
            </w:r>
          </w:p>
        </w:tc>
        <w:tc>
          <w:tcPr>
            <w:tcW w:w="160" w:type="dxa"/>
            <w:vAlign w:val="bottom"/>
            <w:tcBorders>
              <w:bottom w:val="single" w:sz="8" w:color="D4EFF3"/>
            </w:tcBorders>
            <w:shd w:val="clear" w:color="auto" w:fill="D4EFF3"/>
          </w:tcPr>
          <w:p>
            <w:pPr>
              <w:spacing w:after="0"/>
              <w:rPr>
                <w:sz w:val="20"/>
                <w:szCs w:val="20"/>
                <w:color w:val="auto"/>
              </w:rPr>
            </w:pPr>
          </w:p>
        </w:tc>
        <w:tc>
          <w:tcPr>
            <w:tcW w:w="120" w:type="dxa"/>
            <w:vAlign w:val="bottom"/>
            <w:tcBorders>
              <w:bottom w:val="single" w:sz="8" w:color="D4EFF3"/>
            </w:tcBorders>
            <w:shd w:val="clear" w:color="auto" w:fill="D4EFF3"/>
          </w:tcPr>
          <w:p>
            <w:pPr>
              <w:spacing w:after="0"/>
              <w:rPr>
                <w:sz w:val="20"/>
                <w:szCs w:val="20"/>
                <w:color w:val="auto"/>
              </w:rPr>
            </w:pPr>
          </w:p>
        </w:tc>
        <w:tc>
          <w:tcPr>
            <w:tcW w:w="320" w:type="dxa"/>
            <w:vAlign w:val="bottom"/>
            <w:tcBorders>
              <w:bottom w:val="single" w:sz="8" w:color="auto"/>
            </w:tcBorders>
            <w:shd w:val="clear" w:color="auto" w:fill="D4EFF3"/>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D4EFF3"/>
          </w:tcPr>
          <w:p>
            <w:pPr>
              <w:jc w:val="right"/>
              <w:spacing w:after="0" w:line="215" w:lineRule="exact"/>
              <w:rPr>
                <w:sz w:val="20"/>
                <w:szCs w:val="20"/>
                <w:color w:val="auto"/>
              </w:rPr>
            </w:pPr>
            <w:r>
              <w:rPr>
                <w:rFonts w:ascii="Times New Roman" w:cs="Times New Roman" w:eastAsia="Times New Roman" w:hAnsi="Times New Roman"/>
                <w:sz w:val="20"/>
                <w:szCs w:val="20"/>
                <w:color w:val="auto"/>
              </w:rPr>
              <w:t>(40.95)</w:t>
            </w:r>
          </w:p>
        </w:tc>
        <w:tc>
          <w:tcPr>
            <w:tcW w:w="100" w:type="dxa"/>
            <w:vAlign w:val="bottom"/>
            <w:tcBorders>
              <w:bottom w:val="single" w:sz="8" w:color="D4EFF3"/>
            </w:tcBorders>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440"/>
          </w:cols>
          <w:pgMar w:left="900" w:top="696" w:right="900" w:bottom="175"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-65405</wp:posOffset>
                </wp:positionV>
                <wp:extent cx="1069340" cy="9334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93345"/>
                        </a:xfrm>
                        <a:prstGeom prst="rect">
                          <a:avLst/>
                        </a:prstGeom>
                        <a:solidFill>
                          <a:srgbClr val="D4EFF3"/>
                        </a:solidFill>
                      </wps:spPr>
                      <wps:bodyPr/>
                    </wps:wsp>
                  </a:graphicData>
                </a:graphic>
              </wp:anchor>
            </w:drawing>
          </mc:Choice>
          <mc:Fallback>
            <w:pict>
              <v:rect id="Shape 44" o:spid="_x0000_s1069" style="position:absolute;margin-left:-0.3499pt;margin-top:-5.1499pt;width:84.2pt;height: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line="38" w:lineRule="exact"/>
        <w:rPr>
          <w:sz w:val="20"/>
          <w:szCs w:val="20"/>
          <w:color w:val="auto"/>
        </w:rPr>
      </w:pPr>
    </w:p>
    <w:p>
      <w:pPr>
        <w:ind w:left="80" w:right="420" w:hanging="89"/>
        <w:spacing w:after="0" w:line="271" w:lineRule="auto"/>
        <w:rPr>
          <w:sz w:val="20"/>
          <w:szCs w:val="20"/>
          <w:color w:val="auto"/>
        </w:rPr>
      </w:pPr>
      <w:r>
        <w:rPr>
          <w:rFonts w:ascii="Times New Roman" w:cs="Times New Roman" w:eastAsia="Times New Roman" w:hAnsi="Times New Roman"/>
          <w:sz w:val="11"/>
          <w:szCs w:val="11"/>
          <w:color w:val="auto"/>
        </w:rPr>
        <w:t>Issuance of Series B convertible preferred stock, net of issuance costs of $256</w:t>
      </w:r>
    </w:p>
    <w:p>
      <w:pPr>
        <w:spacing w:after="0" w:line="2" w:lineRule="exact"/>
        <w:rPr>
          <w:sz w:val="20"/>
          <w:szCs w:val="20"/>
          <w:color w:val="auto"/>
        </w:rPr>
      </w:pPr>
    </w:p>
    <w:p>
      <w:pPr>
        <w:ind w:left="80" w:right="260" w:hanging="89"/>
        <w:spacing w:after="0" w:line="239" w:lineRule="auto"/>
        <w:rPr>
          <w:sz w:val="20"/>
          <w:szCs w:val="20"/>
          <w:color w:val="auto"/>
        </w:rPr>
      </w:pPr>
      <w:r>
        <w:rPr>
          <w:rFonts w:ascii="Times New Roman" w:cs="Times New Roman" w:eastAsia="Times New Roman" w:hAnsi="Times New Roman"/>
          <w:sz w:val="12"/>
          <w:szCs w:val="12"/>
          <w:color w:val="auto"/>
        </w:rPr>
        <w:t>Issuance of common stock upon exercise of stock options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-254635</wp:posOffset>
                </wp:positionV>
                <wp:extent cx="1069340" cy="26225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262255"/>
                        </a:xfrm>
                        <a:prstGeom prst="rect">
                          <a:avLst/>
                        </a:prstGeom>
                        <a:solidFill>
                          <a:srgbClr val="D4EFF3"/>
                        </a:solidFill>
                      </wps:spPr>
                      <wps:bodyPr/>
                    </wps:wsp>
                  </a:graphicData>
                </a:graphic>
              </wp:anchor>
            </w:drawing>
          </mc:Choice>
          <mc:Fallback>
            <w:pict>
              <v:rect id="Shape 45" o:spid="_x0000_s1070" style="position:absolute;margin-left:-0.2999pt;margin-top:-20.0499pt;width:84.2pt;height:20.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ind w:left="80" w:right="540" w:hanging="89"/>
        <w:spacing w:after="0" w:line="239" w:lineRule="auto"/>
        <w:rPr>
          <w:sz w:val="20"/>
          <w:szCs w:val="20"/>
          <w:color w:val="auto"/>
        </w:rPr>
      </w:pPr>
      <w:r>
        <w:rPr>
          <w:rFonts w:ascii="Times New Roman" w:cs="Times New Roman" w:eastAsia="Times New Roman" w:hAnsi="Times New Roman"/>
          <w:sz w:val="12"/>
          <w:szCs w:val="12"/>
          <w:color w:val="auto"/>
        </w:rPr>
        <w:t>Vesting of restricted common stock</w:t>
      </w:r>
    </w:p>
    <w:p>
      <w:pPr>
        <w:spacing w:after="0" w:line="1" w:lineRule="exact"/>
        <w:rPr>
          <w:sz w:val="20"/>
          <w:szCs w:val="20"/>
          <w:color w:val="auto"/>
        </w:rPr>
      </w:pPr>
    </w:p>
    <w:p>
      <w:pPr>
        <w:ind w:left="80" w:right="240" w:hanging="89"/>
        <w:spacing w:after="0" w:line="239" w:lineRule="auto"/>
        <w:rPr>
          <w:sz w:val="20"/>
          <w:szCs w:val="20"/>
          <w:color w:val="auto"/>
        </w:rPr>
      </w:pPr>
      <w:r>
        <w:rPr>
          <w:rFonts w:ascii="Times New Roman" w:cs="Times New Roman" w:eastAsia="Times New Roman" w:hAnsi="Times New Roman"/>
          <w:sz w:val="12"/>
          <w:szCs w:val="12"/>
          <w:color w:val="auto"/>
        </w:rPr>
        <w:t>Stock-based compensation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-167640</wp:posOffset>
                </wp:positionV>
                <wp:extent cx="1069340" cy="17462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174625"/>
                        </a:xfrm>
                        <a:prstGeom prst="rect">
                          <a:avLst/>
                        </a:prstGeom>
                        <a:solidFill>
                          <a:srgbClr val="D4EFF3"/>
                        </a:solidFill>
                      </wps:spPr>
                      <wps:bodyPr/>
                    </wps:wsp>
                  </a:graphicData>
                </a:graphic>
              </wp:anchor>
            </w:drawing>
          </mc:Choice>
          <mc:Fallback>
            <w:pict>
              <v:rect id="Shape 46" o:spid="_x0000_s1071" style="position:absolute;margin-left:-0.2999pt;margin-top:-13.1999pt;width:84.2pt;height:1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rPr>
          <w:sz w:val="20"/>
          <w:szCs w:val="20"/>
          <w:color w:val="auto"/>
        </w:rPr>
      </w:pPr>
      <w:r>
        <w:rPr>
          <w:rFonts w:ascii="Times New Roman" w:cs="Times New Roman" w:eastAsia="Times New Roman" w:hAnsi="Times New Roman"/>
          <w:sz w:val="12"/>
          <w:szCs w:val="12"/>
          <w:color w:val="auto"/>
        </w:rPr>
        <w:t>Net loss</w:t>
      </w:r>
    </w:p>
    <w:p>
      <w:pPr>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-73660</wp:posOffset>
                </wp:positionV>
                <wp:extent cx="1069340" cy="9334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93345"/>
                        </a:xfrm>
                        <a:prstGeom prst="rect">
                          <a:avLst/>
                        </a:prstGeom>
                        <a:solidFill>
                          <a:srgbClr val="D4EFF3"/>
                        </a:solidFill>
                      </wps:spPr>
                      <wps:bodyPr/>
                    </wps:wsp>
                  </a:graphicData>
                </a:graphic>
              </wp:anchor>
            </w:drawing>
          </mc:Choice>
          <mc:Fallback>
            <w:pict>
              <v:rect id="Shape 47" o:spid="_x0000_s1072" style="position:absolute;margin-left:-0.3499pt;margin-top:-5.7999pt;width:84.2pt;height: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line="26" w:lineRule="exact"/>
        <w:rPr>
          <w:sz w:val="20"/>
          <w:szCs w:val="20"/>
          <w:color w:val="auto"/>
        </w:rPr>
      </w:pPr>
    </w:p>
    <w:p>
      <w:pPr>
        <w:ind w:left="80" w:right="260" w:hanging="89"/>
        <w:spacing w:after="0" w:line="252" w:lineRule="auto"/>
        <w:rPr>
          <w:sz w:val="20"/>
          <w:szCs w:val="20"/>
          <w:color w:val="auto"/>
        </w:rPr>
      </w:pPr>
      <w:r>
        <w:rPr>
          <w:rFonts w:ascii="Times New Roman" w:cs="Times New Roman" w:eastAsia="Times New Roman" w:hAnsi="Times New Roman"/>
          <w:sz w:val="12"/>
          <w:szCs w:val="12"/>
          <w:color w:val="auto"/>
        </w:rPr>
        <w:t>Issuance of common stock upon exercise of stock options</w:t>
      </w:r>
    </w:p>
    <w:p>
      <w:pPr>
        <w:ind w:left="80" w:right="540" w:hanging="89"/>
        <w:spacing w:after="0" w:line="239" w:lineRule="auto"/>
        <w:rPr>
          <w:sz w:val="20"/>
          <w:szCs w:val="20"/>
          <w:color w:val="auto"/>
        </w:rPr>
      </w:pPr>
      <w:r>
        <w:rPr>
          <w:rFonts w:ascii="Times New Roman" w:cs="Times New Roman" w:eastAsia="Times New Roman" w:hAnsi="Times New Roman"/>
          <w:sz w:val="12"/>
          <w:szCs w:val="12"/>
          <w:color w:val="auto"/>
        </w:rPr>
        <w:t>Vesting of restricted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-167640</wp:posOffset>
                </wp:positionV>
                <wp:extent cx="1069340" cy="17462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174625"/>
                        </a:xfrm>
                        <a:prstGeom prst="rect">
                          <a:avLst/>
                        </a:prstGeom>
                        <a:solidFill>
                          <a:srgbClr val="D4EFF3"/>
                        </a:solidFill>
                      </wps:spPr>
                      <wps:bodyPr/>
                    </wps:wsp>
                  </a:graphicData>
                </a:graphic>
              </wp:anchor>
            </w:drawing>
          </mc:Choice>
          <mc:Fallback>
            <w:pict>
              <v:rect id="Shape 48" o:spid="_x0000_s1073" style="position:absolute;margin-left:-0.2999pt;margin-top:-13.1999pt;width:84.2pt;height:1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ind w:left="80" w:right="240" w:hanging="89"/>
        <w:spacing w:after="0" w:line="239" w:lineRule="auto"/>
        <w:rPr>
          <w:sz w:val="20"/>
          <w:szCs w:val="20"/>
          <w:color w:val="auto"/>
        </w:rPr>
      </w:pPr>
      <w:r>
        <w:rPr>
          <w:rFonts w:ascii="Times New Roman" w:cs="Times New Roman" w:eastAsia="Times New Roman" w:hAnsi="Times New Roman"/>
          <w:sz w:val="12"/>
          <w:szCs w:val="12"/>
          <w:color w:val="auto"/>
        </w:rPr>
        <w:t>Stock-based compensation expense</w:t>
      </w:r>
    </w:p>
    <w:p>
      <w:pPr>
        <w:spacing w:after="0" w:line="1" w:lineRule="exact"/>
        <w:rPr>
          <w:sz w:val="20"/>
          <w:szCs w:val="20"/>
          <w:color w:val="auto"/>
        </w:rPr>
      </w:pPr>
    </w:p>
    <w:p>
      <w:pPr>
        <w:ind w:left="80" w:right="260" w:hanging="89"/>
        <w:spacing w:after="0" w:line="239" w:lineRule="auto"/>
        <w:rPr>
          <w:sz w:val="20"/>
          <w:szCs w:val="20"/>
          <w:color w:val="auto"/>
        </w:rPr>
      </w:pPr>
      <w:r>
        <w:rPr>
          <w:rFonts w:ascii="Times New Roman" w:cs="Times New Roman" w:eastAsia="Times New Roman" w:hAnsi="Times New Roman"/>
          <w:sz w:val="12"/>
          <w:szCs w:val="12"/>
          <w:color w:val="auto"/>
        </w:rPr>
        <w:t>Issuance of common stock for cash in pre-closing financing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-254635</wp:posOffset>
                </wp:positionV>
                <wp:extent cx="1069340" cy="26225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262255"/>
                        </a:xfrm>
                        <a:prstGeom prst="rect">
                          <a:avLst/>
                        </a:prstGeom>
                        <a:solidFill>
                          <a:srgbClr val="D4EFF3"/>
                        </a:solidFill>
                      </wps:spPr>
                      <wps:bodyPr/>
                    </wps:wsp>
                  </a:graphicData>
                </a:graphic>
              </wp:anchor>
            </w:drawing>
          </mc:Choice>
          <mc:Fallback>
            <w:pict>
              <v:rect id="Shape 49" o:spid="_x0000_s1074" style="position:absolute;margin-left:-0.2999pt;margin-top:-20.0499pt;width:84.2pt;height:20.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ind w:left="80" w:right="320" w:hanging="89"/>
        <w:spacing w:after="0" w:line="239" w:lineRule="auto"/>
        <w:rPr>
          <w:sz w:val="20"/>
          <w:szCs w:val="20"/>
          <w:color w:val="auto"/>
        </w:rPr>
      </w:pPr>
      <w:r>
        <w:rPr>
          <w:rFonts w:ascii="Times New Roman" w:cs="Times New Roman" w:eastAsia="Times New Roman" w:hAnsi="Times New Roman"/>
          <w:sz w:val="12"/>
          <w:szCs w:val="12"/>
          <w:color w:val="auto"/>
        </w:rPr>
        <w:t>Conversion of preferred stock to common stock</w:t>
      </w:r>
    </w:p>
    <w:p>
      <w:pPr>
        <w:spacing w:after="0" w:line="1" w:lineRule="exact"/>
        <w:rPr>
          <w:sz w:val="20"/>
          <w:szCs w:val="20"/>
          <w:color w:val="auto"/>
        </w:rPr>
      </w:pPr>
    </w:p>
    <w:p>
      <w:pPr>
        <w:ind w:left="80" w:right="200" w:hanging="89"/>
        <w:spacing w:after="0" w:line="261" w:lineRule="auto"/>
        <w:rPr>
          <w:sz w:val="20"/>
          <w:szCs w:val="20"/>
          <w:color w:val="auto"/>
        </w:rPr>
      </w:pPr>
      <w:r>
        <w:rPr>
          <w:rFonts w:ascii="Times New Roman" w:cs="Times New Roman" w:eastAsia="Times New Roman" w:hAnsi="Times New Roman"/>
          <w:sz w:val="11"/>
          <w:szCs w:val="11"/>
          <w:color w:val="auto"/>
        </w:rPr>
        <w:t>Issuance of common stock to Gemini shareholders in reverse recapitalization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-255270</wp:posOffset>
                </wp:positionV>
                <wp:extent cx="1069340" cy="26225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262255"/>
                        </a:xfrm>
                        <a:prstGeom prst="rect">
                          <a:avLst/>
                        </a:prstGeom>
                        <a:solidFill>
                          <a:srgbClr val="D4EFF3"/>
                        </a:solidFill>
                      </wps:spPr>
                      <wps:bodyPr/>
                    </wps:wsp>
                  </a:graphicData>
                </a:graphic>
              </wp:anchor>
            </w:drawing>
          </mc:Choice>
          <mc:Fallback>
            <w:pict>
              <v:rect id="Shape 50" o:spid="_x0000_s1075" style="position:absolute;margin-left:-0.2999pt;margin-top:-20.0999pt;width:84.2pt;height:20.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ind w:left="80" w:right="380" w:hanging="89"/>
        <w:spacing w:after="0" w:line="261" w:lineRule="auto"/>
        <w:rPr>
          <w:sz w:val="20"/>
          <w:szCs w:val="20"/>
          <w:color w:val="auto"/>
        </w:rPr>
      </w:pPr>
      <w:r>
        <w:rPr>
          <w:rFonts w:ascii="Times New Roman" w:cs="Times New Roman" w:eastAsia="Times New Roman" w:hAnsi="Times New Roman"/>
          <w:sz w:val="11"/>
          <w:szCs w:val="11"/>
          <w:color w:val="auto"/>
        </w:rPr>
        <w:t>Reverse recapitalization transaction costs</w:t>
      </w:r>
    </w:p>
    <w:p>
      <w:pPr>
        <w:spacing w:after="0" w:line="1" w:lineRule="exact"/>
        <w:rPr>
          <w:sz w:val="20"/>
          <w:szCs w:val="20"/>
          <w:color w:val="auto"/>
        </w:rPr>
      </w:pPr>
    </w:p>
    <w:p>
      <w:pPr>
        <w:ind w:left="120" w:right="260" w:hanging="119"/>
        <w:spacing w:after="0" w:line="239" w:lineRule="auto"/>
        <w:rPr>
          <w:sz w:val="20"/>
          <w:szCs w:val="20"/>
          <w:color w:val="auto"/>
        </w:rPr>
      </w:pPr>
      <w:r>
        <w:rPr>
          <w:rFonts w:ascii="Times New Roman" w:cs="Times New Roman" w:eastAsia="Times New Roman" w:hAnsi="Times New Roman"/>
          <w:sz w:val="12"/>
          <w:szCs w:val="12"/>
          <w:color w:val="auto"/>
        </w:rPr>
        <w:t>Issuance of common stock to Roche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-167640</wp:posOffset>
                </wp:positionV>
                <wp:extent cx="1069340" cy="17462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174625"/>
                        </a:xfrm>
                        <a:prstGeom prst="rect">
                          <a:avLst/>
                        </a:prstGeom>
                        <a:solidFill>
                          <a:srgbClr val="D4EFF3"/>
                        </a:solidFill>
                      </wps:spPr>
                      <wps:bodyPr/>
                    </wps:wsp>
                  </a:graphicData>
                </a:graphic>
              </wp:anchor>
            </w:drawing>
          </mc:Choice>
          <mc:Fallback>
            <w:pict>
              <v:rect id="Shape 51" o:spid="_x0000_s1076" style="position:absolute;margin-left:-0.2999pt;margin-top:-13.1999pt;width:84.2pt;height:1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rPr>
          <w:sz w:val="20"/>
          <w:szCs w:val="20"/>
          <w:color w:val="auto"/>
        </w:rPr>
      </w:pPr>
      <w:r>
        <w:rPr>
          <w:rFonts w:ascii="Times New Roman" w:cs="Times New Roman" w:eastAsia="Times New Roman" w:hAnsi="Times New Roman"/>
          <w:sz w:val="12"/>
          <w:szCs w:val="12"/>
          <w:color w:val="auto"/>
        </w:rPr>
        <w:t>Net loss</w:t>
      </w:r>
    </w:p>
    <w:p>
      <w:pPr>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-73660</wp:posOffset>
                </wp:positionV>
                <wp:extent cx="1069340" cy="9334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9340" cy="93345"/>
                        </a:xfrm>
                        <a:prstGeom prst="rect">
                          <a:avLst/>
                        </a:prstGeom>
                        <a:solidFill>
                          <a:srgbClr val="D4EFF3"/>
                        </a:solidFill>
                      </wps:spPr>
                      <wps:bodyPr/>
                    </wps:wsp>
                  </a:graphicData>
                </a:graphic>
              </wp:anchor>
            </w:drawing>
          </mc:Choice>
          <mc:Fallback>
            <w:pict>
              <v:rect id="Shape 52" o:spid="_x0000_s1077" style="position:absolute;margin-left:-0.3499pt;margin-top:-5.7999pt;width:84.2pt;height: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44"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20"/>
          <w:szCs w:val="20"/>
          <w:b w:val="1"/>
          <w:bCs w:val="1"/>
          <w:color w:val="auto"/>
        </w:rPr>
        <w:t>CONSOLIDATED STATEMENTS OF CONVERTIBLE PREFERRED STOCK</w:t>
      </w:r>
    </w:p>
    <w:p>
      <w:pPr>
        <w:jc w:val="center"/>
        <w:ind w:right="1680"/>
        <w:spacing w:after="0"/>
        <w:rPr>
          <w:sz w:val="20"/>
          <w:szCs w:val="20"/>
          <w:color w:val="auto"/>
        </w:rPr>
      </w:pPr>
      <w:r>
        <w:rPr>
          <w:rFonts w:ascii="Times New Roman" w:cs="Times New Roman" w:eastAsia="Times New Roman" w:hAnsi="Times New Roman"/>
          <w:sz w:val="20"/>
          <w:szCs w:val="20"/>
          <w:b w:val="1"/>
          <w:bCs w:val="1"/>
          <w:color w:val="auto"/>
        </w:rPr>
        <w:t>AND STOCKHOLDERS’ EQUITY (DEFICIT)</w:t>
      </w:r>
    </w:p>
    <w:p>
      <w:pPr>
        <w:jc w:val="center"/>
        <w:ind w:right="168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1240" w:type="dxa"/>
            <w:vAlign w:val="bottom"/>
            <w:gridSpan w:val="4"/>
          </w:tcPr>
          <w:p>
            <w:pPr>
              <w:jc w:val="center"/>
              <w:ind w:left="520"/>
              <w:spacing w:after="0" w:line="102" w:lineRule="exact"/>
              <w:rPr>
                <w:sz w:val="20"/>
                <w:szCs w:val="20"/>
                <w:color w:val="auto"/>
              </w:rPr>
            </w:pPr>
            <w:r>
              <w:rPr>
                <w:rFonts w:ascii="Times New Roman" w:cs="Times New Roman" w:eastAsia="Times New Roman" w:hAnsi="Times New Roman"/>
                <w:sz w:val="11"/>
                <w:szCs w:val="11"/>
                <w:b w:val="1"/>
                <w:bCs w:val="1"/>
                <w:color w:val="auto"/>
              </w:rPr>
              <w:t>Series Seed</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tcPr>
          <w:p>
            <w:pPr>
              <w:jc w:val="center"/>
              <w:ind w:left="640"/>
              <w:spacing w:after="0" w:line="102"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tcPr>
          <w:p>
            <w:pPr>
              <w:jc w:val="center"/>
              <w:ind w:left="540"/>
              <w:spacing w:after="0" w:line="102"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1240" w:type="dxa"/>
            <w:vAlign w:val="bottom"/>
            <w:gridSpan w:val="4"/>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rPr>
              <w:t>$0.0001 Par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4"/>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w w:val="98"/>
              </w:rPr>
              <w:t>$0.0001 Par</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rPr>
              <w:t>$0.0001 Par</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w w:val="98"/>
              </w:rPr>
              <w:t>$0.0001 Par</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3"/>
        </w:trPr>
        <w:tc>
          <w:tcPr>
            <w:tcW w:w="14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29"/>
        </w:trPr>
        <w:tc>
          <w:tcPr>
            <w:tcW w:w="140" w:type="dxa"/>
            <w:vAlign w:val="bottom"/>
            <w:tcBorders>
              <w:bottom w:val="single" w:sz="8" w:color="D4EFF3"/>
            </w:tcBorders>
          </w:tcPr>
          <w:p>
            <w:pPr>
              <w:spacing w:after="0"/>
              <w:rPr>
                <w:sz w:val="11"/>
                <w:szCs w:val="11"/>
                <w:color w:val="auto"/>
              </w:rPr>
            </w:pPr>
          </w:p>
        </w:tc>
        <w:tc>
          <w:tcPr>
            <w:tcW w:w="980" w:type="dxa"/>
            <w:vAlign w:val="bottom"/>
            <w:tcBorders>
              <w:bottom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0" w:type="dxa"/>
            <w:vAlign w:val="bottom"/>
          </w:tcPr>
          <w:p>
            <w:pPr>
              <w:spacing w:after="0"/>
              <w:rPr>
                <w:sz w:val="11"/>
                <w:szCs w:val="11"/>
                <w:color w:val="auto"/>
              </w:rPr>
            </w:pPr>
          </w:p>
        </w:tc>
        <w:tc>
          <w:tcPr>
            <w:tcW w:w="12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6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1"/>
                <w:szCs w:val="11"/>
                <w:color w:val="auto"/>
              </w:rPr>
            </w:pPr>
          </w:p>
        </w:tc>
        <w:tc>
          <w:tcPr>
            <w:tcW w:w="12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0" w:type="dxa"/>
            <w:vAlign w:val="bottom"/>
          </w:tcPr>
          <w:p>
            <w:pPr>
              <w:spacing w:after="0"/>
              <w:rPr>
                <w:sz w:val="11"/>
                <w:szCs w:val="11"/>
                <w:color w:val="auto"/>
              </w:rPr>
            </w:pPr>
          </w:p>
        </w:tc>
        <w:tc>
          <w:tcPr>
            <w:tcW w:w="120" w:type="dxa"/>
            <w:vAlign w:val="bottom"/>
            <w:tcBorders>
              <w:bottom w:val="single" w:sz="8" w:color="D4EFF3"/>
              <w:right w:val="single" w:sz="8" w:color="auto"/>
            </w:tcBorders>
          </w:tcPr>
          <w:p>
            <w:pPr>
              <w:spacing w:after="0"/>
              <w:rPr>
                <w:sz w:val="11"/>
                <w:szCs w:val="11"/>
                <w:color w:val="auto"/>
              </w:rPr>
            </w:pP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6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0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Borders>
              <w:bottom w:val="single" w:sz="8" w:color="D4EFF3"/>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rPr>
              <w:t>Equity (Deficit)</w:t>
            </w:r>
          </w:p>
        </w:tc>
        <w:tc>
          <w:tcPr>
            <w:tcW w:w="0" w:type="dxa"/>
            <w:vAlign w:val="bottom"/>
          </w:tcPr>
          <w:p>
            <w:pPr>
              <w:spacing w:after="0"/>
              <w:rPr>
                <w:sz w:val="1"/>
                <w:szCs w:val="1"/>
                <w:color w:val="auto"/>
              </w:rPr>
            </w:pPr>
          </w:p>
        </w:tc>
      </w:tr>
      <w:tr>
        <w:trPr>
          <w:trHeight w:val="128"/>
        </w:trPr>
        <w:tc>
          <w:tcPr>
            <w:tcW w:w="140" w:type="dxa"/>
            <w:vAlign w:val="bottom"/>
            <w:shd w:val="clear" w:color="auto" w:fill="D4EFF3"/>
          </w:tcPr>
          <w:p>
            <w:pPr>
              <w:spacing w:after="0"/>
              <w:rPr>
                <w:sz w:val="11"/>
                <w:szCs w:val="11"/>
                <w:color w:val="auto"/>
              </w:rPr>
            </w:pPr>
          </w:p>
        </w:tc>
        <w:tc>
          <w:tcPr>
            <w:tcW w:w="980" w:type="dxa"/>
            <w:vAlign w:val="bottom"/>
            <w:tcBorders>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5,000,000</w:t>
            </w: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00" w:type="dxa"/>
            <w:vAlign w:val="bottom"/>
            <w:tcBorders>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2,350</w:t>
            </w:r>
          </w:p>
        </w:tc>
        <w:tc>
          <w:tcPr>
            <w:tcW w:w="20" w:type="dxa"/>
            <w:vAlign w:val="bottom"/>
            <w:tcBorders>
              <w:bottom w:val="single" w:sz="8" w:color="auto"/>
            </w:tcBorders>
            <w:shd w:val="clear" w:color="auto" w:fill="D4EFF3"/>
          </w:tcPr>
          <w:p>
            <w:pPr>
              <w:spacing w:after="0"/>
              <w:rPr>
                <w:sz w:val="11"/>
                <w:szCs w:val="11"/>
                <w:color w:val="auto"/>
              </w:rPr>
            </w:pPr>
          </w:p>
        </w:tc>
        <w:tc>
          <w:tcPr>
            <w:tcW w:w="12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040" w:type="dxa"/>
            <w:vAlign w:val="bottom"/>
            <w:tcBorders>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41,666,666</w:t>
            </w: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00" w:type="dxa"/>
            <w:vAlign w:val="bottom"/>
            <w:tcBorders>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49,762</w:t>
            </w:r>
          </w:p>
        </w:tc>
        <w:tc>
          <w:tcPr>
            <w:tcW w:w="20" w:type="dxa"/>
            <w:vAlign w:val="bottom"/>
            <w:tcBorders>
              <w:bottom w:val="single" w:sz="8" w:color="auto"/>
            </w:tcBorders>
            <w:shd w:val="clear" w:color="auto" w:fill="D4EFF3"/>
          </w:tcPr>
          <w:p>
            <w:pPr>
              <w:spacing w:after="0"/>
              <w:rPr>
                <w:sz w:val="11"/>
                <w:szCs w:val="11"/>
                <w:color w:val="auto"/>
              </w:rPr>
            </w:pPr>
          </w:p>
        </w:tc>
        <w:tc>
          <w:tcPr>
            <w:tcW w:w="12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940" w:type="dxa"/>
            <w:vAlign w:val="bottom"/>
            <w:tcBorders>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20" w:type="dxa"/>
            <w:vAlign w:val="bottom"/>
            <w:tcBorders>
              <w:bottom w:val="single" w:sz="8" w:color="auto"/>
            </w:tcBorders>
            <w:shd w:val="clear" w:color="auto" w:fill="D4EFF3"/>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gridSpan w:val="2"/>
            <w:shd w:val="clear" w:color="auto" w:fill="D4EFF3"/>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D4EFF3"/>
          </w:tcPr>
          <w:p>
            <w:pPr>
              <w:spacing w:after="0"/>
              <w:rPr>
                <w:sz w:val="11"/>
                <w:szCs w:val="11"/>
                <w:color w:val="auto"/>
              </w:rPr>
            </w:pP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920" w:type="dxa"/>
            <w:vAlign w:val="bottom"/>
            <w:tcBorders>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843,587</w:t>
            </w: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80" w:type="dxa"/>
            <w:vAlign w:val="bottom"/>
            <w:tcBorders>
              <w:bottom w:val="single" w:sz="8" w:color="auto"/>
            </w:tcBorders>
            <w:shd w:val="clear" w:color="auto" w:fill="D4EFF3"/>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D4EFF3"/>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6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611</w:t>
            </w: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D4EFF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(29,420)</w:t>
            </w:r>
          </w:p>
        </w:tc>
        <w:tc>
          <w:tcPr>
            <w:tcW w:w="140" w:type="dxa"/>
            <w:vAlign w:val="bottom"/>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00" w:type="dxa"/>
            <w:vAlign w:val="bottom"/>
            <w:tcBorders>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shd w:val="clear" w:color="auto" w:fill="D4EFF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(28,809)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140" w:type="dxa"/>
            <w:vAlign w:val="bottom"/>
          </w:tcPr>
          <w:p>
            <w:pPr>
              <w:spacing w:after="0"/>
              <w:rPr>
                <w:sz w:val="24"/>
                <w:szCs w:val="24"/>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37,499,999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89,744</w:t>
            </w: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19"/>
        </w:trPr>
        <w:tc>
          <w:tcPr>
            <w:tcW w:w="140" w:type="dxa"/>
            <w:vAlign w:val="bottom"/>
            <w:shd w:val="clear" w:color="auto" w:fill="D4EFF3"/>
          </w:tcPr>
          <w:p>
            <w:pPr>
              <w:spacing w:after="0"/>
              <w:rPr>
                <w:sz w:val="24"/>
                <w:szCs w:val="24"/>
                <w:color w:val="auto"/>
              </w:rPr>
            </w:pPr>
          </w:p>
        </w:tc>
        <w:tc>
          <w:tcPr>
            <w:tcW w:w="114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4"/>
                <w:szCs w:val="24"/>
                <w:color w:val="auto"/>
              </w:rPr>
            </w:pPr>
          </w:p>
        </w:tc>
        <w:tc>
          <w:tcPr>
            <w:tcW w:w="74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2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4"/>
                <w:szCs w:val="24"/>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1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4"/>
                <w:szCs w:val="24"/>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D4EFF3"/>
          </w:tcPr>
          <w:p>
            <w:pPr>
              <w:spacing w:after="0"/>
              <w:rPr>
                <w:sz w:val="24"/>
                <w:szCs w:val="24"/>
                <w:color w:val="auto"/>
              </w:rPr>
            </w:pPr>
          </w:p>
        </w:tc>
        <w:tc>
          <w:tcPr>
            <w:tcW w:w="1080" w:type="dxa"/>
            <w:vAlign w:val="bottom"/>
            <w:gridSpan w:val="3"/>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51,061</w:t>
            </w: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80" w:type="dxa"/>
            <w:vAlign w:val="bottom"/>
            <w:shd w:val="clear" w:color="auto" w:fill="D4EFF3"/>
          </w:tcPr>
          <w:p>
            <w:pPr>
              <w:spacing w:after="0"/>
              <w:rPr>
                <w:sz w:val="24"/>
                <w:szCs w:val="24"/>
                <w:color w:val="auto"/>
              </w:rPr>
            </w:pPr>
          </w:p>
        </w:tc>
        <w:tc>
          <w:tcPr>
            <w:tcW w:w="5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24"/>
                <w:szCs w:val="24"/>
                <w:color w:val="auto"/>
              </w:rPr>
            </w:pPr>
          </w:p>
        </w:tc>
        <w:tc>
          <w:tcPr>
            <w:tcW w:w="12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60" w:type="dxa"/>
            <w:vAlign w:val="bottom"/>
            <w:shd w:val="clear" w:color="auto" w:fill="D4EFF3"/>
          </w:tcPr>
          <w:p>
            <w:pPr>
              <w:spacing w:after="0"/>
              <w:rPr>
                <w:sz w:val="24"/>
                <w:szCs w:val="24"/>
                <w:color w:val="auto"/>
              </w:rPr>
            </w:pPr>
          </w:p>
        </w:tc>
        <w:tc>
          <w:tcPr>
            <w:tcW w:w="80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68</w:t>
            </w: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00" w:type="dxa"/>
            <w:vAlign w:val="bottom"/>
            <w:shd w:val="clear" w:color="auto" w:fill="D4EFF3"/>
          </w:tcPr>
          <w:p>
            <w:pPr>
              <w:spacing w:after="0"/>
              <w:rPr>
                <w:sz w:val="24"/>
                <w:szCs w:val="24"/>
                <w:color w:val="auto"/>
              </w:rPr>
            </w:pPr>
          </w:p>
        </w:tc>
        <w:tc>
          <w:tcPr>
            <w:tcW w:w="102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00" w:type="dxa"/>
            <w:vAlign w:val="bottom"/>
            <w:shd w:val="clear" w:color="auto" w:fill="D4EFF3"/>
          </w:tcPr>
          <w:p>
            <w:pPr>
              <w:spacing w:after="0"/>
              <w:rPr>
                <w:sz w:val="24"/>
                <w:szCs w:val="24"/>
                <w:color w:val="auto"/>
              </w:rPr>
            </w:pPr>
          </w:p>
        </w:tc>
        <w:tc>
          <w:tcPr>
            <w:tcW w:w="118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271"/>
        </w:trPr>
        <w:tc>
          <w:tcPr>
            <w:tcW w:w="14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14,770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1"/>
        </w:trPr>
        <w:tc>
          <w:tcPr>
            <w:tcW w:w="140" w:type="dxa"/>
            <w:vAlign w:val="bottom"/>
            <w:shd w:val="clear" w:color="auto" w:fill="D4EFF3"/>
          </w:tcPr>
          <w:p>
            <w:pPr>
              <w:spacing w:after="0"/>
              <w:rPr>
                <w:sz w:val="24"/>
                <w:szCs w:val="24"/>
                <w:color w:val="auto"/>
              </w:rPr>
            </w:pPr>
          </w:p>
        </w:tc>
        <w:tc>
          <w:tcPr>
            <w:tcW w:w="114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4"/>
                <w:szCs w:val="24"/>
                <w:color w:val="auto"/>
              </w:rPr>
            </w:pPr>
          </w:p>
        </w:tc>
        <w:tc>
          <w:tcPr>
            <w:tcW w:w="74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2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4"/>
                <w:szCs w:val="24"/>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1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4"/>
                <w:szCs w:val="24"/>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D4EFF3"/>
          </w:tcPr>
          <w:p>
            <w:pPr>
              <w:spacing w:after="0"/>
              <w:rPr>
                <w:sz w:val="24"/>
                <w:szCs w:val="24"/>
                <w:color w:val="auto"/>
              </w:rPr>
            </w:pP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08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D4EFF3"/>
          </w:tcPr>
          <w:p>
            <w:pPr>
              <w:spacing w:after="0"/>
              <w:rPr>
                <w:sz w:val="24"/>
                <w:szCs w:val="24"/>
                <w:color w:val="auto"/>
              </w:rPr>
            </w:pPr>
          </w:p>
        </w:tc>
        <w:tc>
          <w:tcPr>
            <w:tcW w:w="5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24"/>
                <w:szCs w:val="24"/>
                <w:color w:val="auto"/>
              </w:rPr>
            </w:pPr>
          </w:p>
        </w:tc>
        <w:tc>
          <w:tcPr>
            <w:tcW w:w="12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60" w:type="dxa"/>
            <w:vAlign w:val="bottom"/>
            <w:shd w:val="clear" w:color="auto" w:fill="D4EFF3"/>
          </w:tcPr>
          <w:p>
            <w:pPr>
              <w:spacing w:after="0"/>
              <w:rPr>
                <w:sz w:val="24"/>
                <w:szCs w:val="24"/>
                <w:color w:val="auto"/>
              </w:rPr>
            </w:pPr>
          </w:p>
        </w:tc>
        <w:tc>
          <w:tcPr>
            <w:tcW w:w="80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507</w:t>
            </w: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00" w:type="dxa"/>
            <w:vAlign w:val="bottom"/>
            <w:shd w:val="clear" w:color="auto" w:fill="D4EFF3"/>
          </w:tcPr>
          <w:p>
            <w:pPr>
              <w:spacing w:after="0"/>
              <w:rPr>
                <w:sz w:val="24"/>
                <w:szCs w:val="24"/>
                <w:color w:val="auto"/>
              </w:rPr>
            </w:pPr>
          </w:p>
        </w:tc>
        <w:tc>
          <w:tcPr>
            <w:tcW w:w="102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24"/>
                <w:szCs w:val="24"/>
                <w:color w:val="auto"/>
              </w:rPr>
            </w:pPr>
          </w:p>
        </w:tc>
        <w:tc>
          <w:tcPr>
            <w:tcW w:w="20" w:type="dxa"/>
            <w:vAlign w:val="bottom"/>
            <w:shd w:val="clear" w:color="auto" w:fill="D4EFF3"/>
          </w:tcPr>
          <w:p>
            <w:pPr>
              <w:spacing w:after="0"/>
              <w:rPr>
                <w:sz w:val="24"/>
                <w:szCs w:val="24"/>
                <w:color w:val="auto"/>
              </w:rPr>
            </w:pPr>
          </w:p>
        </w:tc>
        <w:tc>
          <w:tcPr>
            <w:tcW w:w="100" w:type="dxa"/>
            <w:vAlign w:val="bottom"/>
            <w:shd w:val="clear" w:color="auto" w:fill="D4EFF3"/>
          </w:tcPr>
          <w:p>
            <w:pPr>
              <w:spacing w:after="0"/>
              <w:rPr>
                <w:sz w:val="24"/>
                <w:szCs w:val="24"/>
                <w:color w:val="auto"/>
              </w:rPr>
            </w:pPr>
          </w:p>
        </w:tc>
        <w:tc>
          <w:tcPr>
            <w:tcW w:w="118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507</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(35,969)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(35,969)</w:t>
            </w:r>
          </w:p>
        </w:tc>
        <w:tc>
          <w:tcPr>
            <w:tcW w:w="0" w:type="dxa"/>
            <w:vAlign w:val="bottom"/>
          </w:tcPr>
          <w:p>
            <w:pPr>
              <w:spacing w:after="0"/>
              <w:rPr>
                <w:sz w:val="1"/>
                <w:szCs w:val="1"/>
                <w:color w:val="auto"/>
              </w:rPr>
            </w:pPr>
          </w:p>
        </w:tc>
      </w:tr>
      <w:tr>
        <w:trPr>
          <w:trHeight w:val="128"/>
        </w:trPr>
        <w:tc>
          <w:tcPr>
            <w:tcW w:w="140" w:type="dxa"/>
            <w:vAlign w:val="bottom"/>
            <w:tcBorders>
              <w:top w:val="single" w:sz="8" w:color="D4EFF3"/>
            </w:tcBorders>
            <w:shd w:val="clear" w:color="auto" w:fill="D4EFF3"/>
          </w:tcPr>
          <w:p>
            <w:pPr>
              <w:spacing w:after="0"/>
              <w:rPr>
                <w:sz w:val="11"/>
                <w:szCs w:val="11"/>
                <w:color w:val="auto"/>
              </w:rPr>
            </w:pPr>
          </w:p>
        </w:tc>
        <w:tc>
          <w:tcPr>
            <w:tcW w:w="98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5,000,000</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2,350</w:t>
            </w:r>
          </w:p>
        </w:tc>
        <w:tc>
          <w:tcPr>
            <w:tcW w:w="20" w:type="dxa"/>
            <w:vAlign w:val="bottom"/>
            <w:tcBorders>
              <w:top w:val="single" w:sz="8" w:color="auto"/>
              <w:bottom w:val="single" w:sz="8" w:color="auto"/>
            </w:tcBorders>
            <w:shd w:val="clear" w:color="auto" w:fill="D4EFF3"/>
          </w:tcPr>
          <w:p>
            <w:pPr>
              <w:spacing w:after="0"/>
              <w:rPr>
                <w:sz w:val="11"/>
                <w:szCs w:val="11"/>
                <w:color w:val="auto"/>
              </w:rPr>
            </w:pPr>
          </w:p>
        </w:tc>
        <w:tc>
          <w:tcPr>
            <w:tcW w:w="12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4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41,666,666</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49,762</w:t>
            </w:r>
          </w:p>
        </w:tc>
        <w:tc>
          <w:tcPr>
            <w:tcW w:w="20" w:type="dxa"/>
            <w:vAlign w:val="bottom"/>
            <w:tcBorders>
              <w:top w:val="single" w:sz="8" w:color="auto"/>
              <w:bottom w:val="single" w:sz="8" w:color="auto"/>
            </w:tcBorders>
            <w:shd w:val="clear" w:color="auto" w:fill="D4EFF3"/>
          </w:tcPr>
          <w:p>
            <w:pPr>
              <w:spacing w:after="0"/>
              <w:rPr>
                <w:sz w:val="11"/>
                <w:szCs w:val="11"/>
                <w:color w:val="auto"/>
              </w:rPr>
            </w:pPr>
          </w:p>
        </w:tc>
        <w:tc>
          <w:tcPr>
            <w:tcW w:w="12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94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37,499,999</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20" w:type="dxa"/>
            <w:vAlign w:val="bottom"/>
            <w:tcBorders>
              <w:top w:val="single" w:sz="8" w:color="auto"/>
              <w:bottom w:val="single" w:sz="8" w:color="auto"/>
            </w:tcBorders>
            <w:shd w:val="clear" w:color="auto" w:fill="D4EFF3"/>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89,744</w:t>
            </w:r>
          </w:p>
        </w:tc>
        <w:tc>
          <w:tcPr>
            <w:tcW w:w="20" w:type="dxa"/>
            <w:vAlign w:val="bottom"/>
            <w:tcBorders>
              <w:top w:val="single" w:sz="8" w:color="auto"/>
              <w:bottom w:val="single" w:sz="8" w:color="auto"/>
            </w:tcBorders>
            <w:shd w:val="clear" w:color="auto" w:fill="D4EFF3"/>
          </w:tcPr>
          <w:p>
            <w:pPr>
              <w:spacing w:after="0"/>
              <w:rPr>
                <w:sz w:val="11"/>
                <w:szCs w:val="11"/>
                <w:color w:val="auto"/>
              </w:rPr>
            </w:pPr>
          </w:p>
        </w:tc>
        <w:tc>
          <w:tcPr>
            <w:tcW w:w="120" w:type="dxa"/>
            <w:vAlign w:val="bottom"/>
            <w:tcBorders>
              <w:top w:val="single" w:sz="8" w:color="D4EFF3"/>
              <w:right w:val="single" w:sz="8" w:color="auto"/>
            </w:tcBorders>
            <w:shd w:val="clear" w:color="auto" w:fill="D4EFF3"/>
          </w:tcPr>
          <w:p>
            <w:pPr>
              <w:spacing w:after="0"/>
              <w:rPr>
                <w:sz w:val="11"/>
                <w:szCs w:val="11"/>
                <w:color w:val="auto"/>
              </w:rPr>
            </w:pP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92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909,418</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80" w:type="dxa"/>
            <w:vAlign w:val="bottom"/>
            <w:tcBorders>
              <w:top w:val="single" w:sz="8" w:color="auto"/>
              <w:bottom w:val="single" w:sz="8" w:color="auto"/>
            </w:tcBorders>
            <w:shd w:val="clear" w:color="auto" w:fill="D4EFF3"/>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D4EFF3"/>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6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1,186</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D4EFF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(65,389)</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shd w:val="clear" w:color="auto" w:fill="D4EFF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(64,203)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53,224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0" w:type="dxa"/>
            <w:vAlign w:val="bottom"/>
            <w:shd w:val="clear" w:color="auto" w:fill="D4EFF3"/>
          </w:tcPr>
          <w:p>
            <w:pPr>
              <w:spacing w:after="0"/>
              <w:rPr>
                <w:sz w:val="17"/>
                <w:szCs w:val="17"/>
                <w:color w:val="auto"/>
              </w:rPr>
            </w:pPr>
          </w:p>
        </w:tc>
        <w:tc>
          <w:tcPr>
            <w:tcW w:w="114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17"/>
                <w:szCs w:val="17"/>
                <w:color w:val="auto"/>
              </w:rPr>
            </w:pPr>
          </w:p>
        </w:tc>
        <w:tc>
          <w:tcPr>
            <w:tcW w:w="74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2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17"/>
                <w:szCs w:val="17"/>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1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17"/>
                <w:szCs w:val="17"/>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D4EFF3"/>
          </w:tcPr>
          <w:p>
            <w:pPr>
              <w:spacing w:after="0"/>
              <w:rPr>
                <w:sz w:val="17"/>
                <w:szCs w:val="17"/>
                <w:color w:val="auto"/>
              </w:rPr>
            </w:pPr>
          </w:p>
        </w:tc>
        <w:tc>
          <w:tcPr>
            <w:tcW w:w="1080" w:type="dxa"/>
            <w:vAlign w:val="bottom"/>
            <w:gridSpan w:val="3"/>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8,254</w:t>
            </w: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80" w:type="dxa"/>
            <w:vAlign w:val="bottom"/>
            <w:shd w:val="clear" w:color="auto" w:fill="D4EFF3"/>
          </w:tcPr>
          <w:p>
            <w:pPr>
              <w:spacing w:after="0"/>
              <w:rPr>
                <w:sz w:val="17"/>
                <w:szCs w:val="17"/>
                <w:color w:val="auto"/>
              </w:rPr>
            </w:pPr>
          </w:p>
        </w:tc>
        <w:tc>
          <w:tcPr>
            <w:tcW w:w="5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7"/>
                <w:szCs w:val="17"/>
                <w:color w:val="auto"/>
              </w:rPr>
            </w:pP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60" w:type="dxa"/>
            <w:vAlign w:val="bottom"/>
            <w:shd w:val="clear" w:color="auto" w:fill="D4EFF3"/>
          </w:tcPr>
          <w:p>
            <w:pPr>
              <w:spacing w:after="0"/>
              <w:rPr>
                <w:sz w:val="17"/>
                <w:szCs w:val="17"/>
                <w:color w:val="auto"/>
              </w:rPr>
            </w:pPr>
          </w:p>
        </w:tc>
        <w:tc>
          <w:tcPr>
            <w:tcW w:w="80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00" w:type="dxa"/>
            <w:vAlign w:val="bottom"/>
            <w:shd w:val="clear" w:color="auto" w:fill="D4EFF3"/>
          </w:tcPr>
          <w:p>
            <w:pPr>
              <w:spacing w:after="0"/>
              <w:rPr>
                <w:sz w:val="17"/>
                <w:szCs w:val="17"/>
                <w:color w:val="auto"/>
              </w:rPr>
            </w:pPr>
          </w:p>
        </w:tc>
        <w:tc>
          <w:tcPr>
            <w:tcW w:w="102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00" w:type="dxa"/>
            <w:vAlign w:val="bottom"/>
            <w:shd w:val="clear" w:color="auto" w:fill="D4EFF3"/>
          </w:tcPr>
          <w:p>
            <w:pPr>
              <w:spacing w:after="0"/>
              <w:rPr>
                <w:sz w:val="17"/>
                <w:szCs w:val="17"/>
                <w:color w:val="auto"/>
              </w:rPr>
            </w:pPr>
          </w:p>
        </w:tc>
        <w:tc>
          <w:tcPr>
            <w:tcW w:w="118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140" w:type="dxa"/>
            <w:vAlign w:val="bottom"/>
            <w:shd w:val="clear" w:color="auto" w:fill="D4EFF3"/>
          </w:tcPr>
          <w:p>
            <w:pPr>
              <w:spacing w:after="0"/>
              <w:rPr>
                <w:sz w:val="6"/>
                <w:szCs w:val="6"/>
                <w:color w:val="auto"/>
              </w:rPr>
            </w:pPr>
          </w:p>
        </w:tc>
        <w:tc>
          <w:tcPr>
            <w:tcW w:w="98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7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4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76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94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76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tcBorders>
              <w:right w:val="single" w:sz="8" w:color="auto"/>
            </w:tcBorders>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92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80" w:type="dxa"/>
            <w:vAlign w:val="bottom"/>
            <w:shd w:val="clear" w:color="auto" w:fill="D4EFF3"/>
          </w:tcPr>
          <w:p>
            <w:pPr>
              <w:spacing w:after="0"/>
              <w:rPr>
                <w:sz w:val="6"/>
                <w:szCs w:val="6"/>
                <w:color w:val="auto"/>
              </w:rPr>
            </w:pPr>
          </w:p>
        </w:tc>
        <w:tc>
          <w:tcPr>
            <w:tcW w:w="540" w:type="dxa"/>
            <w:vAlign w:val="bottom"/>
            <w:shd w:val="clear" w:color="auto" w:fill="D4EFF3"/>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60" w:type="dxa"/>
            <w:vAlign w:val="bottom"/>
            <w:shd w:val="clear" w:color="auto" w:fill="D4EFF3"/>
          </w:tcPr>
          <w:p>
            <w:pPr>
              <w:spacing w:after="0"/>
              <w:rPr>
                <w:sz w:val="6"/>
                <w:szCs w:val="6"/>
                <w:color w:val="auto"/>
              </w:rPr>
            </w:pPr>
          </w:p>
        </w:tc>
        <w:tc>
          <w:tcPr>
            <w:tcW w:w="80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102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1180" w:type="dxa"/>
            <w:vAlign w:val="bottom"/>
            <w:shd w:val="clear" w:color="auto" w:fill="D4EFF3"/>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2,089</w:t>
            </w:r>
          </w:p>
        </w:tc>
        <w:tc>
          <w:tcPr>
            <w:tcW w:w="0" w:type="dxa"/>
            <w:vAlign w:val="bottom"/>
          </w:tcPr>
          <w:p>
            <w:pPr>
              <w:spacing w:after="0"/>
              <w:rPr>
                <w:sz w:val="1"/>
                <w:szCs w:val="1"/>
                <w:color w:val="auto"/>
              </w:rPr>
            </w:pPr>
          </w:p>
        </w:tc>
      </w:tr>
      <w:tr>
        <w:trPr>
          <w:trHeight w:val="79"/>
        </w:trPr>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140" w:type="dxa"/>
            <w:vAlign w:val="bottom"/>
            <w:shd w:val="clear" w:color="auto" w:fill="D4EFF3"/>
          </w:tcPr>
          <w:p>
            <w:pPr>
              <w:spacing w:after="0"/>
              <w:rPr>
                <w:sz w:val="23"/>
                <w:szCs w:val="23"/>
                <w:color w:val="auto"/>
              </w:rPr>
            </w:pPr>
          </w:p>
        </w:tc>
        <w:tc>
          <w:tcPr>
            <w:tcW w:w="114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3"/>
                <w:szCs w:val="23"/>
                <w:color w:val="auto"/>
              </w:rPr>
            </w:pPr>
          </w:p>
        </w:tc>
        <w:tc>
          <w:tcPr>
            <w:tcW w:w="74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2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3"/>
                <w:szCs w:val="23"/>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1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3"/>
                <w:szCs w:val="23"/>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D4EFF3"/>
          </w:tcPr>
          <w:p>
            <w:pPr>
              <w:spacing w:after="0"/>
              <w:rPr>
                <w:sz w:val="23"/>
                <w:szCs w:val="23"/>
                <w:color w:val="auto"/>
              </w:rPr>
            </w:pPr>
          </w:p>
        </w:tc>
        <w:tc>
          <w:tcPr>
            <w:tcW w:w="1080" w:type="dxa"/>
            <w:vAlign w:val="bottom"/>
            <w:gridSpan w:val="3"/>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2,336,092</w:t>
            </w: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80" w:type="dxa"/>
            <w:vAlign w:val="bottom"/>
            <w:shd w:val="clear" w:color="auto" w:fill="D4EFF3"/>
          </w:tcPr>
          <w:p>
            <w:pPr>
              <w:spacing w:after="0"/>
              <w:rPr>
                <w:sz w:val="23"/>
                <w:szCs w:val="23"/>
                <w:color w:val="auto"/>
              </w:rPr>
            </w:pPr>
          </w:p>
        </w:tc>
        <w:tc>
          <w:tcPr>
            <w:tcW w:w="5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23"/>
                <w:szCs w:val="23"/>
                <w:color w:val="auto"/>
              </w:rPr>
            </w:pPr>
          </w:p>
        </w:tc>
        <w:tc>
          <w:tcPr>
            <w:tcW w:w="12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60" w:type="dxa"/>
            <w:vAlign w:val="bottom"/>
            <w:shd w:val="clear" w:color="auto" w:fill="D4EFF3"/>
          </w:tcPr>
          <w:p>
            <w:pPr>
              <w:spacing w:after="0"/>
              <w:rPr>
                <w:sz w:val="23"/>
                <w:szCs w:val="23"/>
                <w:color w:val="auto"/>
              </w:rPr>
            </w:pPr>
          </w:p>
        </w:tc>
        <w:tc>
          <w:tcPr>
            <w:tcW w:w="80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53,500</w:t>
            </w: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0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00" w:type="dxa"/>
            <w:vAlign w:val="bottom"/>
            <w:shd w:val="clear" w:color="auto" w:fill="D4EFF3"/>
          </w:tcPr>
          <w:p>
            <w:pPr>
              <w:spacing w:after="0"/>
              <w:rPr>
                <w:sz w:val="23"/>
                <w:szCs w:val="23"/>
                <w:color w:val="auto"/>
              </w:rPr>
            </w:pPr>
          </w:p>
        </w:tc>
        <w:tc>
          <w:tcPr>
            <w:tcW w:w="118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53,500</w:t>
            </w:r>
          </w:p>
        </w:tc>
        <w:tc>
          <w:tcPr>
            <w:tcW w:w="0" w:type="dxa"/>
            <w:vAlign w:val="bottom"/>
          </w:tcPr>
          <w:p>
            <w:pPr>
              <w:spacing w:after="0"/>
              <w:rPr>
                <w:sz w:val="1"/>
                <w:szCs w:val="1"/>
                <w:color w:val="auto"/>
              </w:rPr>
            </w:pPr>
          </w:p>
        </w:tc>
      </w:tr>
      <w:tr>
        <w:trPr>
          <w:trHeight w:val="148"/>
        </w:trPr>
        <w:tc>
          <w:tcPr>
            <w:tcW w:w="140" w:type="dxa"/>
            <w:vAlign w:val="bottom"/>
            <w:shd w:val="clear" w:color="auto" w:fill="D4EFF3"/>
          </w:tcPr>
          <w:p>
            <w:pPr>
              <w:spacing w:after="0"/>
              <w:rPr>
                <w:sz w:val="12"/>
                <w:szCs w:val="12"/>
                <w:color w:val="auto"/>
              </w:rPr>
            </w:pPr>
          </w:p>
        </w:tc>
        <w:tc>
          <w:tcPr>
            <w:tcW w:w="98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72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1060" w:type="dxa"/>
            <w:vAlign w:val="bottom"/>
            <w:gridSpan w:val="2"/>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76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960" w:type="dxa"/>
            <w:vAlign w:val="bottom"/>
            <w:gridSpan w:val="2"/>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76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tcBorders>
              <w:right w:val="single" w:sz="8" w:color="auto"/>
            </w:tcBorders>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940" w:type="dxa"/>
            <w:vAlign w:val="bottom"/>
            <w:gridSpan w:val="2"/>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80" w:type="dxa"/>
            <w:vAlign w:val="bottom"/>
            <w:shd w:val="clear" w:color="auto" w:fill="D4EFF3"/>
          </w:tcPr>
          <w:p>
            <w:pPr>
              <w:spacing w:after="0"/>
              <w:rPr>
                <w:sz w:val="12"/>
                <w:szCs w:val="12"/>
                <w:color w:val="auto"/>
              </w:rPr>
            </w:pPr>
          </w:p>
        </w:tc>
        <w:tc>
          <w:tcPr>
            <w:tcW w:w="540" w:type="dxa"/>
            <w:vAlign w:val="bottom"/>
            <w:shd w:val="clear" w:color="auto" w:fill="D4EFF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60" w:type="dxa"/>
            <w:vAlign w:val="bottom"/>
            <w:shd w:val="clear" w:color="auto" w:fill="D4EFF3"/>
          </w:tcPr>
          <w:p>
            <w:pPr>
              <w:spacing w:after="0"/>
              <w:rPr>
                <w:sz w:val="12"/>
                <w:szCs w:val="12"/>
                <w:color w:val="auto"/>
              </w:rPr>
            </w:pPr>
          </w:p>
        </w:tc>
        <w:tc>
          <w:tcPr>
            <w:tcW w:w="80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102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1180" w:type="dxa"/>
            <w:vAlign w:val="bottom"/>
            <w:shd w:val="clear" w:color="auto" w:fill="D4EFF3"/>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(5,000,000)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(2,350)</w:t>
            </w:r>
          </w:p>
        </w:tc>
        <w:tc>
          <w:tcPr>
            <w:tcW w:w="20" w:type="dxa"/>
            <w:vAlign w:val="bottom"/>
          </w:tcPr>
          <w:p>
            <w:pPr>
              <w:spacing w:after="0"/>
              <w:rPr>
                <w:sz w:val="17"/>
                <w:szCs w:val="17"/>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(41,666,666)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(49,762)</w:t>
            </w:r>
          </w:p>
        </w:tc>
        <w:tc>
          <w:tcPr>
            <w:tcW w:w="20" w:type="dxa"/>
            <w:vAlign w:val="bottom"/>
          </w:tcPr>
          <w:p>
            <w:pPr>
              <w:spacing w:after="0"/>
              <w:rPr>
                <w:sz w:val="17"/>
                <w:szCs w:val="17"/>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(37,499,999)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(89,744)</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9,224,653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141,855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141,856</w:t>
            </w:r>
          </w:p>
        </w:tc>
        <w:tc>
          <w:tcPr>
            <w:tcW w:w="0" w:type="dxa"/>
            <w:vAlign w:val="bottom"/>
          </w:tcPr>
          <w:p>
            <w:pPr>
              <w:spacing w:after="0"/>
              <w:rPr>
                <w:sz w:val="1"/>
                <w:szCs w:val="1"/>
                <w:color w:val="auto"/>
              </w:rPr>
            </w:pPr>
          </w:p>
        </w:tc>
      </w:tr>
      <w:tr>
        <w:trPr>
          <w:trHeight w:val="79"/>
        </w:trPr>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140" w:type="dxa"/>
            <w:vAlign w:val="bottom"/>
            <w:shd w:val="clear" w:color="auto" w:fill="D4EFF3"/>
          </w:tcPr>
          <w:p>
            <w:pPr>
              <w:spacing w:after="0"/>
              <w:rPr>
                <w:sz w:val="23"/>
                <w:szCs w:val="23"/>
                <w:color w:val="auto"/>
              </w:rPr>
            </w:pPr>
          </w:p>
        </w:tc>
        <w:tc>
          <w:tcPr>
            <w:tcW w:w="114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3"/>
                <w:szCs w:val="23"/>
                <w:color w:val="auto"/>
              </w:rPr>
            </w:pPr>
          </w:p>
        </w:tc>
        <w:tc>
          <w:tcPr>
            <w:tcW w:w="74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2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23"/>
                <w:szCs w:val="23"/>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1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23"/>
                <w:szCs w:val="23"/>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D4EFF3"/>
          </w:tcPr>
          <w:p>
            <w:pPr>
              <w:spacing w:after="0"/>
              <w:rPr>
                <w:sz w:val="23"/>
                <w:szCs w:val="23"/>
                <w:color w:val="auto"/>
              </w:rPr>
            </w:pPr>
          </w:p>
        </w:tc>
        <w:tc>
          <w:tcPr>
            <w:tcW w:w="1080" w:type="dxa"/>
            <w:vAlign w:val="bottom"/>
            <w:gridSpan w:val="3"/>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4,389,361</w:t>
            </w: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80" w:type="dxa"/>
            <w:vAlign w:val="bottom"/>
            <w:shd w:val="clear" w:color="auto" w:fill="D4EFF3"/>
          </w:tcPr>
          <w:p>
            <w:pPr>
              <w:spacing w:after="0"/>
              <w:rPr>
                <w:sz w:val="23"/>
                <w:szCs w:val="23"/>
                <w:color w:val="auto"/>
              </w:rPr>
            </w:pPr>
          </w:p>
        </w:tc>
        <w:tc>
          <w:tcPr>
            <w:tcW w:w="5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23"/>
                <w:szCs w:val="23"/>
                <w:color w:val="auto"/>
              </w:rPr>
            </w:pPr>
          </w:p>
        </w:tc>
        <w:tc>
          <w:tcPr>
            <w:tcW w:w="12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60" w:type="dxa"/>
            <w:vAlign w:val="bottom"/>
            <w:shd w:val="clear" w:color="auto" w:fill="D4EFF3"/>
          </w:tcPr>
          <w:p>
            <w:pPr>
              <w:spacing w:after="0"/>
              <w:rPr>
                <w:sz w:val="23"/>
                <w:szCs w:val="23"/>
                <w:color w:val="auto"/>
              </w:rPr>
            </w:pPr>
          </w:p>
        </w:tc>
        <w:tc>
          <w:tcPr>
            <w:tcW w:w="80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91,390</w:t>
            </w: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0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c>
          <w:tcPr>
            <w:tcW w:w="100" w:type="dxa"/>
            <w:vAlign w:val="bottom"/>
            <w:shd w:val="clear" w:color="auto" w:fill="D4EFF3"/>
          </w:tcPr>
          <w:p>
            <w:pPr>
              <w:spacing w:after="0"/>
              <w:rPr>
                <w:sz w:val="23"/>
                <w:szCs w:val="23"/>
                <w:color w:val="auto"/>
              </w:rPr>
            </w:pPr>
          </w:p>
        </w:tc>
        <w:tc>
          <w:tcPr>
            <w:tcW w:w="118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91,391</w:t>
            </w:r>
          </w:p>
        </w:tc>
        <w:tc>
          <w:tcPr>
            <w:tcW w:w="0" w:type="dxa"/>
            <w:vAlign w:val="bottom"/>
          </w:tcPr>
          <w:p>
            <w:pPr>
              <w:spacing w:after="0"/>
              <w:rPr>
                <w:sz w:val="1"/>
                <w:szCs w:val="1"/>
                <w:color w:val="auto"/>
              </w:rPr>
            </w:pPr>
          </w:p>
        </w:tc>
      </w:tr>
      <w:tr>
        <w:trPr>
          <w:trHeight w:val="148"/>
        </w:trPr>
        <w:tc>
          <w:tcPr>
            <w:tcW w:w="140" w:type="dxa"/>
            <w:vAlign w:val="bottom"/>
            <w:shd w:val="clear" w:color="auto" w:fill="D4EFF3"/>
          </w:tcPr>
          <w:p>
            <w:pPr>
              <w:spacing w:after="0"/>
              <w:rPr>
                <w:sz w:val="12"/>
                <w:szCs w:val="12"/>
                <w:color w:val="auto"/>
              </w:rPr>
            </w:pPr>
          </w:p>
        </w:tc>
        <w:tc>
          <w:tcPr>
            <w:tcW w:w="98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72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4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76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94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76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20" w:type="dxa"/>
            <w:vAlign w:val="bottom"/>
            <w:tcBorders>
              <w:right w:val="single" w:sz="8" w:color="auto"/>
            </w:tcBorders>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92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80" w:type="dxa"/>
            <w:vAlign w:val="bottom"/>
            <w:shd w:val="clear" w:color="auto" w:fill="D4EFF3"/>
          </w:tcPr>
          <w:p>
            <w:pPr>
              <w:spacing w:after="0"/>
              <w:rPr>
                <w:sz w:val="12"/>
                <w:szCs w:val="12"/>
                <w:color w:val="auto"/>
              </w:rPr>
            </w:pPr>
          </w:p>
        </w:tc>
        <w:tc>
          <w:tcPr>
            <w:tcW w:w="540" w:type="dxa"/>
            <w:vAlign w:val="bottom"/>
            <w:shd w:val="clear" w:color="auto" w:fill="D4EFF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60" w:type="dxa"/>
            <w:vAlign w:val="bottom"/>
            <w:shd w:val="clear" w:color="auto" w:fill="D4EFF3"/>
          </w:tcPr>
          <w:p>
            <w:pPr>
              <w:spacing w:after="0"/>
              <w:rPr>
                <w:sz w:val="12"/>
                <w:szCs w:val="12"/>
                <w:color w:val="auto"/>
              </w:rPr>
            </w:pPr>
          </w:p>
        </w:tc>
        <w:tc>
          <w:tcPr>
            <w:tcW w:w="80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1020" w:type="dxa"/>
            <w:vAlign w:val="bottom"/>
            <w:shd w:val="clear" w:color="auto" w:fill="D4EFF3"/>
          </w:tcPr>
          <w:p>
            <w:pPr>
              <w:spacing w:after="0"/>
              <w:rPr>
                <w:sz w:val="12"/>
                <w:szCs w:val="12"/>
                <w:color w:val="auto"/>
              </w:rPr>
            </w:pPr>
          </w:p>
        </w:tc>
        <w:tc>
          <w:tcPr>
            <w:tcW w:w="140" w:type="dxa"/>
            <w:vAlign w:val="bottom"/>
            <w:shd w:val="clear" w:color="auto" w:fill="D4EFF3"/>
          </w:tcPr>
          <w:p>
            <w:pPr>
              <w:spacing w:after="0"/>
              <w:rPr>
                <w:sz w:val="12"/>
                <w:szCs w:val="12"/>
                <w:color w:val="auto"/>
              </w:rPr>
            </w:pPr>
          </w:p>
        </w:tc>
        <w:tc>
          <w:tcPr>
            <w:tcW w:w="20" w:type="dxa"/>
            <w:vAlign w:val="bottom"/>
            <w:shd w:val="clear" w:color="auto" w:fill="D4EFF3"/>
          </w:tcPr>
          <w:p>
            <w:pPr>
              <w:spacing w:after="0"/>
              <w:rPr>
                <w:sz w:val="12"/>
                <w:szCs w:val="12"/>
                <w:color w:val="auto"/>
              </w:rPr>
            </w:pPr>
          </w:p>
        </w:tc>
        <w:tc>
          <w:tcPr>
            <w:tcW w:w="100" w:type="dxa"/>
            <w:vAlign w:val="bottom"/>
            <w:shd w:val="clear" w:color="auto" w:fill="D4EFF3"/>
          </w:tcPr>
          <w:p>
            <w:pPr>
              <w:spacing w:after="0"/>
              <w:rPr>
                <w:sz w:val="12"/>
                <w:szCs w:val="12"/>
                <w:color w:val="auto"/>
              </w:rPr>
            </w:pPr>
          </w:p>
        </w:tc>
        <w:tc>
          <w:tcPr>
            <w:tcW w:w="1180" w:type="dxa"/>
            <w:vAlign w:val="bottom"/>
            <w:shd w:val="clear" w:color="auto" w:fill="D4EFF3"/>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(7,936)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(7,936)</w:t>
            </w:r>
          </w:p>
        </w:tc>
        <w:tc>
          <w:tcPr>
            <w:tcW w:w="0" w:type="dxa"/>
            <w:vAlign w:val="bottom"/>
          </w:tcPr>
          <w:p>
            <w:pPr>
              <w:spacing w:after="0"/>
              <w:rPr>
                <w:sz w:val="1"/>
                <w:szCs w:val="1"/>
                <w:color w:val="auto"/>
              </w:rPr>
            </w:pPr>
          </w:p>
        </w:tc>
      </w:tr>
      <w:tr>
        <w:trPr>
          <w:trHeight w:val="79"/>
        </w:trPr>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40" w:type="dxa"/>
            <w:vAlign w:val="bottom"/>
            <w:shd w:val="clear" w:color="auto" w:fill="D4EFF3"/>
          </w:tcPr>
          <w:p>
            <w:pPr>
              <w:spacing w:after="0"/>
              <w:rPr>
                <w:sz w:val="17"/>
                <w:szCs w:val="17"/>
                <w:color w:val="auto"/>
              </w:rPr>
            </w:pPr>
          </w:p>
        </w:tc>
        <w:tc>
          <w:tcPr>
            <w:tcW w:w="114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17"/>
                <w:szCs w:val="17"/>
                <w:color w:val="auto"/>
              </w:rPr>
            </w:pPr>
          </w:p>
        </w:tc>
        <w:tc>
          <w:tcPr>
            <w:tcW w:w="74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2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4EFF3"/>
          </w:tcPr>
          <w:p>
            <w:pPr>
              <w:spacing w:after="0"/>
              <w:rPr>
                <w:sz w:val="17"/>
                <w:szCs w:val="17"/>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100" w:type="dxa"/>
            <w:vAlign w:val="bottom"/>
            <w:gridSpan w:val="3"/>
            <w:shd w:val="clear" w:color="auto" w:fill="D4EFF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D4EFF3"/>
          </w:tcPr>
          <w:p>
            <w:pPr>
              <w:spacing w:after="0"/>
              <w:rPr>
                <w:sz w:val="17"/>
                <w:szCs w:val="17"/>
                <w:color w:val="auto"/>
              </w:rPr>
            </w:pPr>
          </w:p>
        </w:tc>
        <w:tc>
          <w:tcPr>
            <w:tcW w:w="780" w:type="dxa"/>
            <w:vAlign w:val="bottom"/>
            <w:gridSpan w:val="2"/>
            <w:shd w:val="clear" w:color="auto" w:fill="D4EFF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shd w:val="clear" w:color="auto" w:fill="D4EFF3"/>
          </w:tcPr>
          <w:p>
            <w:pPr>
              <w:spacing w:after="0"/>
              <w:rPr>
                <w:sz w:val="17"/>
                <w:szCs w:val="17"/>
                <w:color w:val="auto"/>
              </w:rPr>
            </w:pPr>
          </w:p>
        </w:tc>
        <w:tc>
          <w:tcPr>
            <w:tcW w:w="1080" w:type="dxa"/>
            <w:vAlign w:val="bottom"/>
            <w:gridSpan w:val="3"/>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482,313</w:t>
            </w: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80" w:type="dxa"/>
            <w:vAlign w:val="bottom"/>
            <w:shd w:val="clear" w:color="auto" w:fill="D4EFF3"/>
          </w:tcPr>
          <w:p>
            <w:pPr>
              <w:spacing w:after="0"/>
              <w:rPr>
                <w:sz w:val="17"/>
                <w:szCs w:val="17"/>
                <w:color w:val="auto"/>
              </w:rPr>
            </w:pPr>
          </w:p>
        </w:tc>
        <w:tc>
          <w:tcPr>
            <w:tcW w:w="5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7"/>
                <w:szCs w:val="17"/>
                <w:color w:val="auto"/>
              </w:rPr>
            </w:pP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60" w:type="dxa"/>
            <w:vAlign w:val="bottom"/>
            <w:shd w:val="clear" w:color="auto" w:fill="D4EFF3"/>
          </w:tcPr>
          <w:p>
            <w:pPr>
              <w:spacing w:after="0"/>
              <w:rPr>
                <w:sz w:val="17"/>
                <w:szCs w:val="17"/>
                <w:color w:val="auto"/>
              </w:rPr>
            </w:pPr>
          </w:p>
        </w:tc>
        <w:tc>
          <w:tcPr>
            <w:tcW w:w="80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6,511</w:t>
            </w: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00" w:type="dxa"/>
            <w:vAlign w:val="bottom"/>
            <w:shd w:val="clear" w:color="auto" w:fill="D4EFF3"/>
          </w:tcPr>
          <w:p>
            <w:pPr>
              <w:spacing w:after="0"/>
              <w:rPr>
                <w:sz w:val="17"/>
                <w:szCs w:val="17"/>
                <w:color w:val="auto"/>
              </w:rPr>
            </w:pPr>
          </w:p>
        </w:tc>
        <w:tc>
          <w:tcPr>
            <w:tcW w:w="102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00" w:type="dxa"/>
            <w:vAlign w:val="bottom"/>
            <w:shd w:val="clear" w:color="auto" w:fill="D4EFF3"/>
          </w:tcPr>
          <w:p>
            <w:pPr>
              <w:spacing w:after="0"/>
              <w:rPr>
                <w:sz w:val="17"/>
                <w:szCs w:val="17"/>
                <w:color w:val="auto"/>
              </w:rPr>
            </w:pPr>
          </w:p>
        </w:tc>
        <w:tc>
          <w:tcPr>
            <w:tcW w:w="118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12"/>
                <w:szCs w:val="12"/>
                <w:color w:val="auto"/>
              </w:rPr>
              <w:t>6,511</w:t>
            </w:r>
          </w:p>
        </w:tc>
        <w:tc>
          <w:tcPr>
            <w:tcW w:w="0" w:type="dxa"/>
            <w:vAlign w:val="bottom"/>
          </w:tcPr>
          <w:p>
            <w:pPr>
              <w:spacing w:after="0"/>
              <w:rPr>
                <w:sz w:val="1"/>
                <w:szCs w:val="1"/>
                <w:color w:val="auto"/>
              </w:rPr>
            </w:pPr>
          </w:p>
        </w:tc>
      </w:tr>
      <w:tr>
        <w:trPr>
          <w:trHeight w:val="79"/>
        </w:trPr>
        <w:tc>
          <w:tcPr>
            <w:tcW w:w="140" w:type="dxa"/>
            <w:vAlign w:val="bottom"/>
            <w:shd w:val="clear" w:color="auto" w:fill="D4EFF3"/>
          </w:tcPr>
          <w:p>
            <w:pPr>
              <w:spacing w:after="0"/>
              <w:rPr>
                <w:sz w:val="6"/>
                <w:szCs w:val="6"/>
                <w:color w:val="auto"/>
              </w:rPr>
            </w:pPr>
          </w:p>
        </w:tc>
        <w:tc>
          <w:tcPr>
            <w:tcW w:w="98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7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4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76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94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76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20" w:type="dxa"/>
            <w:vAlign w:val="bottom"/>
            <w:tcBorders>
              <w:right w:val="single" w:sz="8" w:color="auto"/>
            </w:tcBorders>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92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80" w:type="dxa"/>
            <w:vAlign w:val="bottom"/>
            <w:shd w:val="clear" w:color="auto" w:fill="D4EFF3"/>
          </w:tcPr>
          <w:p>
            <w:pPr>
              <w:spacing w:after="0"/>
              <w:rPr>
                <w:sz w:val="6"/>
                <w:szCs w:val="6"/>
                <w:color w:val="auto"/>
              </w:rPr>
            </w:pPr>
          </w:p>
        </w:tc>
        <w:tc>
          <w:tcPr>
            <w:tcW w:w="540" w:type="dxa"/>
            <w:vAlign w:val="bottom"/>
            <w:shd w:val="clear" w:color="auto" w:fill="D4EFF3"/>
          </w:tcPr>
          <w:p>
            <w:pPr>
              <w:spacing w:after="0"/>
              <w:rPr>
                <w:sz w:val="6"/>
                <w:szCs w:val="6"/>
                <w:color w:val="auto"/>
              </w:rPr>
            </w:pPr>
          </w:p>
        </w:tc>
        <w:tc>
          <w:tcPr>
            <w:tcW w:w="20" w:type="dxa"/>
            <w:vAlign w:val="bottom"/>
            <w:vMerge w:val="restart"/>
          </w:tcPr>
          <w:p>
            <w:pPr>
              <w:spacing w:after="0"/>
              <w:rPr>
                <w:sz w:val="6"/>
                <w:szCs w:val="6"/>
                <w:color w:val="auto"/>
              </w:rPr>
            </w:pPr>
          </w:p>
        </w:tc>
        <w:tc>
          <w:tcPr>
            <w:tcW w:w="12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60" w:type="dxa"/>
            <w:vAlign w:val="bottom"/>
            <w:shd w:val="clear" w:color="auto" w:fill="D4EFF3"/>
          </w:tcPr>
          <w:p>
            <w:pPr>
              <w:spacing w:after="0"/>
              <w:rPr>
                <w:sz w:val="6"/>
                <w:szCs w:val="6"/>
                <w:color w:val="auto"/>
              </w:rPr>
            </w:pPr>
          </w:p>
        </w:tc>
        <w:tc>
          <w:tcPr>
            <w:tcW w:w="80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1020" w:type="dxa"/>
            <w:vAlign w:val="bottom"/>
            <w:shd w:val="clear" w:color="auto" w:fill="D4EFF3"/>
          </w:tcPr>
          <w:p>
            <w:pPr>
              <w:spacing w:after="0"/>
              <w:rPr>
                <w:sz w:val="6"/>
                <w:szCs w:val="6"/>
                <w:color w:val="auto"/>
              </w:rPr>
            </w:pPr>
          </w:p>
        </w:tc>
        <w:tc>
          <w:tcPr>
            <w:tcW w:w="140" w:type="dxa"/>
            <w:vAlign w:val="bottom"/>
            <w:shd w:val="clear" w:color="auto" w:fill="D4EFF3"/>
          </w:tcPr>
          <w:p>
            <w:pPr>
              <w:spacing w:after="0"/>
              <w:rPr>
                <w:sz w:val="6"/>
                <w:szCs w:val="6"/>
                <w:color w:val="auto"/>
              </w:rPr>
            </w:pPr>
          </w:p>
        </w:tc>
        <w:tc>
          <w:tcPr>
            <w:tcW w:w="20" w:type="dxa"/>
            <w:vAlign w:val="bottom"/>
            <w:shd w:val="clear" w:color="auto" w:fill="D4EFF3"/>
          </w:tcPr>
          <w:p>
            <w:pPr>
              <w:spacing w:after="0"/>
              <w:rPr>
                <w:sz w:val="6"/>
                <w:szCs w:val="6"/>
                <w:color w:val="auto"/>
              </w:rPr>
            </w:pPr>
          </w:p>
        </w:tc>
        <w:tc>
          <w:tcPr>
            <w:tcW w:w="100" w:type="dxa"/>
            <w:vAlign w:val="bottom"/>
            <w:shd w:val="clear" w:color="auto" w:fill="D4EFF3"/>
          </w:tcPr>
          <w:p>
            <w:pPr>
              <w:spacing w:after="0"/>
              <w:rPr>
                <w:sz w:val="6"/>
                <w:szCs w:val="6"/>
                <w:color w:val="auto"/>
              </w:rPr>
            </w:pPr>
          </w:p>
        </w:tc>
        <w:tc>
          <w:tcPr>
            <w:tcW w:w="1180" w:type="dxa"/>
            <w:vAlign w:val="bottom"/>
            <w:shd w:val="clear" w:color="auto" w:fill="D4EFF3"/>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(46,827)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(46,827)</w:t>
            </w:r>
          </w:p>
        </w:tc>
        <w:tc>
          <w:tcPr>
            <w:tcW w:w="0" w:type="dxa"/>
            <w:vAlign w:val="bottom"/>
          </w:tcPr>
          <w:p>
            <w:pPr>
              <w:spacing w:after="0"/>
              <w:rPr>
                <w:sz w:val="1"/>
                <w:szCs w:val="1"/>
                <w:color w:val="auto"/>
              </w:rPr>
            </w:pPr>
          </w:p>
        </w:tc>
      </w:tr>
      <w:tr>
        <w:trPr>
          <w:trHeight w:val="128"/>
        </w:trPr>
        <w:tc>
          <w:tcPr>
            <w:tcW w:w="140" w:type="dxa"/>
            <w:vAlign w:val="bottom"/>
            <w:tcBorders>
              <w:top w:val="single" w:sz="8" w:color="D4EFF3"/>
            </w:tcBorders>
            <w:shd w:val="clear" w:color="auto" w:fill="D4EFF3"/>
          </w:tcPr>
          <w:p>
            <w:pPr>
              <w:spacing w:after="0"/>
              <w:rPr>
                <w:sz w:val="11"/>
                <w:szCs w:val="11"/>
                <w:color w:val="auto"/>
              </w:rPr>
            </w:pPr>
          </w:p>
        </w:tc>
        <w:tc>
          <w:tcPr>
            <w:tcW w:w="98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gridSpan w:val="2"/>
            <w:shd w:val="clear" w:color="auto" w:fill="D4EFF3"/>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4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gridSpan w:val="2"/>
            <w:shd w:val="clear" w:color="auto" w:fill="D4EFF3"/>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94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20" w:type="dxa"/>
            <w:vAlign w:val="bottom"/>
            <w:tcBorders>
              <w:top w:val="single" w:sz="8" w:color="auto"/>
              <w:bottom w:val="single" w:sz="8" w:color="auto"/>
            </w:tcBorders>
            <w:shd w:val="clear" w:color="auto" w:fill="D4EFF3"/>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gridSpan w:val="2"/>
            <w:shd w:val="clear" w:color="auto" w:fill="D4EFF3"/>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D4EFF3"/>
              <w:right w:val="single" w:sz="8" w:color="auto"/>
            </w:tcBorders>
            <w:shd w:val="clear" w:color="auto" w:fill="D4EFF3"/>
          </w:tcPr>
          <w:p>
            <w:pPr>
              <w:spacing w:after="0"/>
              <w:rPr>
                <w:sz w:val="11"/>
                <w:szCs w:val="11"/>
                <w:color w:val="auto"/>
              </w:rPr>
            </w:pP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92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17,403,315</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80" w:type="dxa"/>
            <w:vAlign w:val="bottom"/>
            <w:tcBorders>
              <w:top w:val="single" w:sz="8" w:color="auto"/>
              <w:bottom w:val="single" w:sz="8" w:color="auto"/>
            </w:tcBorders>
            <w:shd w:val="clear" w:color="auto" w:fill="D4EFF3"/>
          </w:tcPr>
          <w:p>
            <w:pPr>
              <w:spacing w:after="0"/>
              <w:rPr>
                <w:sz w:val="11"/>
                <w:szCs w:val="11"/>
                <w:color w:val="auto"/>
              </w:rPr>
            </w:pPr>
          </w:p>
        </w:tc>
        <w:tc>
          <w:tcPr>
            <w:tcW w:w="540" w:type="dxa"/>
            <w:vAlign w:val="bottom"/>
            <w:tcBorders>
              <w:top w:val="single" w:sz="8" w:color="auto"/>
              <w:bottom w:val="single" w:sz="8" w:color="auto"/>
            </w:tcBorders>
            <w:shd w:val="clear" w:color="auto" w:fill="D4EFF3"/>
          </w:tcPr>
          <w:p>
            <w:pPr>
              <w:jc w:val="right"/>
              <w:spacing w:after="0" w:line="128"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shd w:val="clear" w:color="auto" w:fill="D4EFF3"/>
          </w:tcPr>
          <w:p>
            <w:pPr>
              <w:spacing w:after="0"/>
              <w:rPr>
                <w:sz w:val="11"/>
                <w:szCs w:val="11"/>
                <w:color w:val="auto"/>
              </w:rPr>
            </w:pPr>
          </w:p>
        </w:tc>
        <w:tc>
          <w:tcPr>
            <w:tcW w:w="20" w:type="dxa"/>
            <w:vAlign w:val="bottom"/>
            <w:shd w:val="clear" w:color="auto" w:fill="D4EFF3"/>
          </w:tcPr>
          <w:p>
            <w:pPr>
              <w:spacing w:after="0"/>
              <w:rPr>
                <w:sz w:val="11"/>
                <w:szCs w:val="11"/>
                <w:color w:val="auto"/>
              </w:rPr>
            </w:pP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6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288,814</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D4EFF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(112,216)</w:t>
            </w:r>
          </w:p>
        </w:tc>
        <w:tc>
          <w:tcPr>
            <w:tcW w:w="140" w:type="dxa"/>
            <w:vAlign w:val="bottom"/>
            <w:tcBorders>
              <w:top w:val="single" w:sz="8" w:color="D4EFF3"/>
            </w:tcBorders>
            <w:shd w:val="clear" w:color="auto" w:fill="D4EFF3"/>
          </w:tcPr>
          <w:p>
            <w:pPr>
              <w:spacing w:after="0"/>
              <w:rPr>
                <w:sz w:val="11"/>
                <w:szCs w:val="11"/>
                <w:color w:val="auto"/>
              </w:rPr>
            </w:pPr>
          </w:p>
        </w:tc>
        <w:tc>
          <w:tcPr>
            <w:tcW w:w="20" w:type="dxa"/>
            <w:vAlign w:val="bottom"/>
            <w:tcBorders>
              <w:top w:val="single" w:sz="8" w:color="D4EFF3"/>
            </w:tcBorders>
            <w:shd w:val="clear" w:color="auto" w:fill="D4EFF3"/>
          </w:tcPr>
          <w:p>
            <w:pPr>
              <w:spacing w:after="0"/>
              <w:rPr>
                <w:sz w:val="11"/>
                <w:szCs w:val="11"/>
                <w:color w:val="auto"/>
              </w:rPr>
            </w:pPr>
          </w:p>
        </w:tc>
        <w:tc>
          <w:tcPr>
            <w:tcW w:w="100" w:type="dxa"/>
            <w:vAlign w:val="bottom"/>
            <w:tcBorders>
              <w:top w:val="single" w:sz="8" w:color="auto"/>
              <w:bottom w:val="single" w:sz="8" w:color="auto"/>
            </w:tcBorders>
            <w:shd w:val="clear" w:color="auto" w:fill="D4EFF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shd w:val="clear" w:color="auto" w:fill="D4EFF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176,600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ectPr>
          <w:pgSz w:w="15840" w:h="12240" w:orient="landscape"/>
          <w:cols w:equalWidth="0" w:num="2">
            <w:col w:w="1520" w:space="160"/>
            <w:col w:w="12360"/>
          </w:cols>
          <w:pgMar w:left="900" w:top="664" w:right="90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5840" w:h="12240" w:orient="landscape"/>
          <w:cols w:equalWidth="0" w:num="1">
            <w:col w:w="14040"/>
          </w:cols>
          <w:pgMar w:left="900" w:top="664" w:right="900" w:bottom="207"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100" w:type="dxa"/>
            <w:vAlign w:val="bottom"/>
          </w:tcPr>
          <w:p>
            <w:pPr>
              <w:spacing w:after="0"/>
              <w:rPr>
                <w:sz w:val="16"/>
                <w:szCs w:val="16"/>
                <w:color w:val="auto"/>
              </w:rPr>
            </w:pPr>
          </w:p>
        </w:tc>
      </w:tr>
      <w:tr>
        <w:trPr>
          <w:trHeight w:val="203"/>
        </w:trPr>
        <w:tc>
          <w:tcPr>
            <w:tcW w:w="7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174"/>
        </w:trPr>
        <w:tc>
          <w:tcPr>
            <w:tcW w:w="7020" w:type="dxa"/>
            <w:vAlign w:val="bottom"/>
            <w:tcBorders>
              <w:bottom w:val="single" w:sz="8" w:color="D4EFF3"/>
            </w:tcBorders>
          </w:tcPr>
          <w:p>
            <w:pPr>
              <w:spacing w:after="0"/>
              <w:rPr>
                <w:sz w:val="15"/>
                <w:szCs w:val="15"/>
                <w:color w:val="auto"/>
              </w:rPr>
            </w:pPr>
          </w:p>
        </w:tc>
        <w:tc>
          <w:tcPr>
            <w:tcW w:w="140" w:type="dxa"/>
            <w:vAlign w:val="bottom"/>
            <w:tcBorders>
              <w:bottom w:val="single" w:sz="8" w:color="D4EFF3"/>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4EFF3"/>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1"/>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0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Cash flows from operating activities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r>
      <w:tr>
        <w:trPr>
          <w:trHeight w:val="230"/>
        </w:trPr>
        <w:tc>
          <w:tcPr>
            <w:tcW w:w="7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(46,827)</w:t>
            </w:r>
          </w:p>
        </w:tc>
        <w:tc>
          <w:tcPr>
            <w:tcW w:w="180" w:type="dxa"/>
            <w:vAlign w:val="bottom"/>
          </w:tcPr>
          <w:p>
            <w:pPr>
              <w:spacing w:after="0"/>
              <w:rPr>
                <w:sz w:val="19"/>
                <w:szCs w:val="19"/>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(35,969)</w:t>
            </w:r>
          </w:p>
        </w:tc>
      </w:tr>
      <w:tr>
        <w:trPr>
          <w:trHeight w:val="230"/>
        </w:trPr>
        <w:tc>
          <w:tcPr>
            <w:tcW w:w="702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operations: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r>
      <w:tr>
        <w:trPr>
          <w:trHeight w:val="230"/>
        </w:trPr>
        <w:tc>
          <w:tcPr>
            <w:tcW w:w="7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7020" w:type="dxa"/>
            <w:vAlign w:val="bottom"/>
            <w:shd w:val="clear" w:color="auto" w:fill="D4EFF3"/>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2,089</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507</w:t>
            </w:r>
          </w:p>
        </w:tc>
      </w:tr>
      <w:tr>
        <w:trPr>
          <w:trHeight w:val="230"/>
        </w:trPr>
        <w:tc>
          <w:tcPr>
            <w:tcW w:w="7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 in fair value of derivative liability</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5,050</w:t>
            </w:r>
          </w:p>
        </w:tc>
      </w:tr>
      <w:tr>
        <w:trPr>
          <w:trHeight w:val="230"/>
        </w:trPr>
        <w:tc>
          <w:tcPr>
            <w:tcW w:w="7020" w:type="dxa"/>
            <w:vAlign w:val="bottom"/>
            <w:shd w:val="clear" w:color="auto" w:fill="D4EFF3"/>
          </w:tcPr>
          <w:p>
            <w:pPr>
              <w:ind w:left="400"/>
              <w:spacing w:after="0"/>
              <w:rPr>
                <w:sz w:val="20"/>
                <w:szCs w:val="20"/>
                <w:color w:val="auto"/>
              </w:rPr>
            </w:pPr>
            <w:r>
              <w:rPr>
                <w:rFonts w:ascii="Times New Roman" w:cs="Times New Roman" w:eastAsia="Times New Roman" w:hAnsi="Times New Roman"/>
                <w:sz w:val="20"/>
                <w:szCs w:val="20"/>
                <w:color w:val="auto"/>
              </w:rPr>
              <w:t>Noncash license expense</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1,400</w:t>
            </w:r>
          </w:p>
        </w:tc>
      </w:tr>
      <w:tr>
        <w:trPr>
          <w:trHeight w:val="230"/>
        </w:trPr>
        <w:tc>
          <w:tcPr>
            <w:tcW w:w="7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Noncash lease expense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160</w:t>
            </w:r>
          </w:p>
        </w:tc>
      </w:tr>
      <w:tr>
        <w:trPr>
          <w:trHeight w:val="230"/>
        </w:trPr>
        <w:tc>
          <w:tcPr>
            <w:tcW w:w="7020" w:type="dxa"/>
            <w:vAlign w:val="bottom"/>
            <w:shd w:val="clear" w:color="auto" w:fill="D4EFF3"/>
          </w:tcPr>
          <w:p>
            <w:pPr>
              <w:ind w:left="4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r>
      <w:tr>
        <w:trPr>
          <w:trHeight w:val="230"/>
        </w:trPr>
        <w:tc>
          <w:tcPr>
            <w:tcW w:w="70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352</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w:t>
            </w:r>
          </w:p>
        </w:tc>
      </w:tr>
      <w:tr>
        <w:trPr>
          <w:trHeight w:val="230"/>
        </w:trPr>
        <w:tc>
          <w:tcPr>
            <w:tcW w:w="7020" w:type="dxa"/>
            <w:vAlign w:val="bottom"/>
            <w:shd w:val="clear" w:color="auto" w:fill="D4EFF3"/>
          </w:tcPr>
          <w:p>
            <w:pPr>
              <w:ind w:left="600"/>
              <w:spacing w:after="0"/>
              <w:rPr>
                <w:sz w:val="20"/>
                <w:szCs w:val="20"/>
                <w:color w:val="auto"/>
              </w:rPr>
            </w:pPr>
            <w:r>
              <w:rPr>
                <w:rFonts w:ascii="Times New Roman" w:cs="Times New Roman" w:eastAsia="Times New Roman" w:hAnsi="Times New Roman"/>
                <w:sz w:val="20"/>
                <w:szCs w:val="20"/>
                <w:color w:val="auto"/>
              </w:rPr>
              <w:t>Other assets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70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1,315</w:t>
            </w:r>
          </w:p>
        </w:tc>
      </w:tr>
      <w:tr>
        <w:trPr>
          <w:trHeight w:val="230"/>
        </w:trPr>
        <w:tc>
          <w:tcPr>
            <w:tcW w:w="7020" w:type="dxa"/>
            <w:vAlign w:val="bottom"/>
            <w:shd w:val="clear" w:color="auto" w:fill="D4EFF3"/>
          </w:tcPr>
          <w:p>
            <w:pPr>
              <w:ind w:left="6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1,502</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1,542</w:t>
            </w:r>
          </w:p>
        </w:tc>
      </w:tr>
      <w:tr>
        <w:trPr>
          <w:trHeight w:val="230"/>
        </w:trPr>
        <w:tc>
          <w:tcPr>
            <w:tcW w:w="7020" w:type="dxa"/>
            <w:vAlign w:val="bottom"/>
            <w:tcBorders>
              <w:bottom w:val="single" w:sz="8" w:color="D4EFF3"/>
            </w:tcBorders>
          </w:tcPr>
          <w:p>
            <w:pPr>
              <w:ind w:left="6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40"/>
        </w:trPr>
        <w:tc>
          <w:tcPr>
            <w:tcW w:w="7020" w:type="dxa"/>
            <w:vAlign w:val="bottom"/>
            <w:tcBorders>
              <w:bottom w:val="single" w:sz="8" w:color="D4EFF3"/>
            </w:tcBorders>
            <w:shd w:val="clear" w:color="auto" w:fill="D4EFF3"/>
          </w:tcPr>
          <w:p>
            <w:pPr>
              <w:ind w:left="800"/>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40" w:type="dxa"/>
            <w:vAlign w:val="bottom"/>
            <w:tcBorders>
              <w:bottom w:val="single" w:sz="8" w:color="D4EFF3"/>
            </w:tcBorders>
            <w:shd w:val="clear" w:color="auto" w:fill="D4EFF3"/>
          </w:tcPr>
          <w:p>
            <w:pPr>
              <w:spacing w:after="0"/>
              <w:rPr>
                <w:sz w:val="20"/>
                <w:szCs w:val="20"/>
                <w:color w:val="auto"/>
              </w:rPr>
            </w:pPr>
          </w:p>
        </w:tc>
        <w:tc>
          <w:tcPr>
            <w:tcW w:w="340" w:type="dxa"/>
            <w:vAlign w:val="bottom"/>
            <w:tcBorders>
              <w:bottom w:val="single" w:sz="8" w:color="auto"/>
            </w:tcBorders>
            <w:shd w:val="clear" w:color="auto" w:fill="D4EFF3"/>
          </w:tcPr>
          <w:p>
            <w:pPr>
              <w:spacing w:after="0"/>
              <w:rPr>
                <w:sz w:val="20"/>
                <w:szCs w:val="20"/>
                <w:color w:val="auto"/>
              </w:rPr>
            </w:pPr>
          </w:p>
        </w:tc>
        <w:tc>
          <w:tcPr>
            <w:tcW w:w="122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(42,252)</w:t>
            </w:r>
          </w:p>
        </w:tc>
        <w:tc>
          <w:tcPr>
            <w:tcW w:w="180" w:type="dxa"/>
            <w:vAlign w:val="bottom"/>
            <w:tcBorders>
              <w:bottom w:val="single" w:sz="8" w:color="D4EFF3"/>
            </w:tcBorders>
            <w:shd w:val="clear" w:color="auto" w:fill="D4EFF3"/>
          </w:tcPr>
          <w:p>
            <w:pPr>
              <w:spacing w:after="0"/>
              <w:rPr>
                <w:sz w:val="20"/>
                <w:szCs w:val="20"/>
                <w:color w:val="auto"/>
              </w:rPr>
            </w:pPr>
          </w:p>
        </w:tc>
        <w:tc>
          <w:tcPr>
            <w:tcW w:w="440" w:type="dxa"/>
            <w:vAlign w:val="bottom"/>
            <w:tcBorders>
              <w:bottom w:val="single" w:sz="8" w:color="auto"/>
            </w:tcBorders>
            <w:shd w:val="clear" w:color="auto" w:fill="D4EFF3"/>
          </w:tcPr>
          <w:p>
            <w:pPr>
              <w:spacing w:after="0"/>
              <w:rPr>
                <w:sz w:val="20"/>
                <w:szCs w:val="20"/>
                <w:color w:val="auto"/>
              </w:rPr>
            </w:pPr>
          </w:p>
        </w:tc>
        <w:tc>
          <w:tcPr>
            <w:tcW w:w="110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(27,534)</w:t>
            </w:r>
          </w:p>
        </w:tc>
      </w:tr>
      <w:tr>
        <w:trPr>
          <w:trHeight w:val="200"/>
        </w:trPr>
        <w:tc>
          <w:tcPr>
            <w:tcW w:w="70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 flow from investing activities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7020" w:type="dxa"/>
            <w:vAlign w:val="bottom"/>
            <w:tcBorders>
              <w:bottom w:val="single" w:sz="8" w:color="D4EFF3"/>
            </w:tcBorders>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140" w:type="dxa"/>
            <w:vAlign w:val="bottom"/>
            <w:tcBorders>
              <w:bottom w:val="single" w:sz="8" w:color="D4EFF3"/>
            </w:tcBorders>
            <w:shd w:val="clear" w:color="auto" w:fill="D4EFF3"/>
          </w:tcPr>
          <w:p>
            <w:pPr>
              <w:spacing w:after="0"/>
              <w:rPr>
                <w:sz w:val="21"/>
                <w:szCs w:val="21"/>
                <w:color w:val="auto"/>
              </w:rPr>
            </w:pPr>
          </w:p>
        </w:tc>
        <w:tc>
          <w:tcPr>
            <w:tcW w:w="340" w:type="dxa"/>
            <w:vAlign w:val="bottom"/>
            <w:tcBorders>
              <w:bottom w:val="single" w:sz="8" w:color="auto"/>
            </w:tcBorders>
            <w:shd w:val="clear" w:color="auto" w:fill="D4EFF3"/>
          </w:tcPr>
          <w:p>
            <w:pPr>
              <w:spacing w:after="0"/>
              <w:rPr>
                <w:sz w:val="21"/>
                <w:szCs w:val="21"/>
                <w:color w:val="auto"/>
              </w:rPr>
            </w:pPr>
          </w:p>
        </w:tc>
        <w:tc>
          <w:tcPr>
            <w:tcW w:w="12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80" w:type="dxa"/>
            <w:vAlign w:val="bottom"/>
            <w:tcBorders>
              <w:bottom w:val="single" w:sz="8" w:color="D4EFF3"/>
            </w:tcBorders>
            <w:shd w:val="clear" w:color="auto" w:fill="D4EFF3"/>
          </w:tcPr>
          <w:p>
            <w:pPr>
              <w:spacing w:after="0"/>
              <w:rPr>
                <w:sz w:val="21"/>
                <w:szCs w:val="21"/>
                <w:color w:val="auto"/>
              </w:rPr>
            </w:pPr>
          </w:p>
        </w:tc>
        <w:tc>
          <w:tcPr>
            <w:tcW w:w="440" w:type="dxa"/>
            <w:vAlign w:val="bottom"/>
            <w:tcBorders>
              <w:bottom w:val="single" w:sz="8" w:color="auto"/>
            </w:tcBorders>
            <w:shd w:val="clear" w:color="auto" w:fill="D4EFF3"/>
          </w:tcPr>
          <w:p>
            <w:pPr>
              <w:spacing w:after="0"/>
              <w:rPr>
                <w:sz w:val="21"/>
                <w:szCs w:val="21"/>
                <w:color w:val="auto"/>
              </w:rPr>
            </w:pPr>
          </w:p>
        </w:tc>
        <w:tc>
          <w:tcPr>
            <w:tcW w:w="11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00"/>
        </w:trPr>
        <w:tc>
          <w:tcPr>
            <w:tcW w:w="7020" w:type="dxa"/>
            <w:vAlign w:val="bottom"/>
            <w:tcBorders>
              <w:bottom w:val="single" w:sz="8" w:color="D4EFF3"/>
            </w:tcBorders>
          </w:tcPr>
          <w:p>
            <w:pPr>
              <w:ind w:left="400"/>
              <w:spacing w:after="0" w:line="200"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140" w:type="dxa"/>
            <w:vAlign w:val="bottom"/>
            <w:tcBorders>
              <w:bottom w:val="single" w:sz="8" w:color="D4EFF3"/>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(151)</w:t>
            </w:r>
          </w:p>
        </w:tc>
        <w:tc>
          <w:tcPr>
            <w:tcW w:w="180" w:type="dxa"/>
            <w:vAlign w:val="bottom"/>
            <w:tcBorders>
              <w:bottom w:val="single" w:sz="8" w:color="D4EFF3"/>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(68)</w:t>
            </w:r>
          </w:p>
        </w:tc>
      </w:tr>
      <w:tr>
        <w:trPr>
          <w:trHeight w:val="220"/>
        </w:trPr>
        <w:tc>
          <w:tcPr>
            <w:tcW w:w="70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Cash flow from financing activities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r>
      <w:tr>
        <w:trPr>
          <w:trHeight w:val="230"/>
        </w:trPr>
        <w:tc>
          <w:tcPr>
            <w:tcW w:w="7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the issuance of common stock in pre-closing financing</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53,500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02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Cash acquired in connection with the reverse recapitalization</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97,403</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of reverse recapitalization transaction costs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02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convertible preferred stock, net of issuance costs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89,861</w:t>
            </w:r>
          </w:p>
        </w:tc>
      </w:tr>
      <w:tr>
        <w:trPr>
          <w:trHeight w:val="230"/>
        </w:trPr>
        <w:tc>
          <w:tcPr>
            <w:tcW w:w="702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Proceeds from stock option exercises</w:t>
            </w:r>
          </w:p>
        </w:tc>
        <w:tc>
          <w:tcPr>
            <w:tcW w:w="14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219</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68</w:t>
            </w:r>
          </w:p>
        </w:tc>
      </w:tr>
      <w:tr>
        <w:trPr>
          <w:trHeight w:val="240"/>
        </w:trPr>
        <w:tc>
          <w:tcPr>
            <w:tcW w:w="7020" w:type="dxa"/>
            <w:vAlign w:val="bottom"/>
            <w:tcBorders>
              <w:bottom w:val="single" w:sz="8" w:color="D4EFF3"/>
            </w:tcBorders>
            <w:shd w:val="clear" w:color="auto" w:fill="D4EFF3"/>
          </w:tcPr>
          <w:p>
            <w:pPr>
              <w:ind w:left="400"/>
              <w:spacing w:after="0" w:line="220"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140" w:type="dxa"/>
            <w:vAlign w:val="bottom"/>
            <w:tcBorders>
              <w:bottom w:val="single" w:sz="8" w:color="D4EFF3"/>
            </w:tcBorders>
            <w:shd w:val="clear" w:color="auto" w:fill="D4EFF3"/>
          </w:tcPr>
          <w:p>
            <w:pPr>
              <w:spacing w:after="0"/>
              <w:rPr>
                <w:sz w:val="20"/>
                <w:szCs w:val="20"/>
                <w:color w:val="auto"/>
              </w:rPr>
            </w:pPr>
          </w:p>
        </w:tc>
        <w:tc>
          <w:tcPr>
            <w:tcW w:w="340" w:type="dxa"/>
            <w:vAlign w:val="bottom"/>
            <w:tcBorders>
              <w:bottom w:val="single" w:sz="8" w:color="auto"/>
            </w:tcBorders>
            <w:shd w:val="clear" w:color="auto" w:fill="D4EFF3"/>
          </w:tcPr>
          <w:p>
            <w:pPr>
              <w:spacing w:after="0"/>
              <w:rPr>
                <w:sz w:val="20"/>
                <w:szCs w:val="20"/>
                <w:color w:val="auto"/>
              </w:rPr>
            </w:pPr>
          </w:p>
        </w:tc>
        <w:tc>
          <w:tcPr>
            <w:tcW w:w="1220" w:type="dxa"/>
            <w:vAlign w:val="bottom"/>
            <w:tcBorders>
              <w:bottom w:val="single" w:sz="8" w:color="auto"/>
            </w:tcBorders>
            <w:shd w:val="clear" w:color="auto" w:fill="D4EFF3"/>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rPr>
              <w:t>148,978</w:t>
            </w:r>
          </w:p>
        </w:tc>
        <w:tc>
          <w:tcPr>
            <w:tcW w:w="180" w:type="dxa"/>
            <w:vAlign w:val="bottom"/>
            <w:tcBorders>
              <w:bottom w:val="single" w:sz="8" w:color="D4EFF3"/>
            </w:tcBorders>
            <w:shd w:val="clear" w:color="auto" w:fill="D4EFF3"/>
          </w:tcPr>
          <w:p>
            <w:pPr>
              <w:spacing w:after="0"/>
              <w:rPr>
                <w:sz w:val="20"/>
                <w:szCs w:val="20"/>
                <w:color w:val="auto"/>
              </w:rPr>
            </w:pPr>
          </w:p>
        </w:tc>
        <w:tc>
          <w:tcPr>
            <w:tcW w:w="440" w:type="dxa"/>
            <w:vAlign w:val="bottom"/>
            <w:tcBorders>
              <w:bottom w:val="single" w:sz="8" w:color="auto"/>
            </w:tcBorders>
            <w:shd w:val="clear" w:color="auto" w:fill="D4EFF3"/>
          </w:tcPr>
          <w:p>
            <w:pPr>
              <w:spacing w:after="0"/>
              <w:rPr>
                <w:sz w:val="20"/>
                <w:szCs w:val="20"/>
                <w:color w:val="auto"/>
              </w:rPr>
            </w:pPr>
          </w:p>
        </w:tc>
        <w:tc>
          <w:tcPr>
            <w:tcW w:w="1100" w:type="dxa"/>
            <w:vAlign w:val="bottom"/>
            <w:tcBorders>
              <w:bottom w:val="single" w:sz="8" w:color="auto"/>
            </w:tcBorders>
            <w:shd w:val="clear" w:color="auto" w:fill="D4EFF3"/>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89,929</w:t>
            </w:r>
          </w:p>
        </w:tc>
      </w:tr>
      <w:tr>
        <w:trPr>
          <w:trHeight w:val="200"/>
        </w:trPr>
        <w:tc>
          <w:tcPr>
            <w:tcW w:w="702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auto"/>
              </w:rPr>
              <w:t>Net increase in cash, cash equivalents and restricted cash</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2"/>
              <w:spacing w:after="0" w:line="200" w:lineRule="exact"/>
              <w:rPr>
                <w:sz w:val="20"/>
                <w:szCs w:val="20"/>
                <w:color w:val="auto"/>
              </w:rPr>
            </w:pPr>
            <w:r>
              <w:rPr>
                <w:rFonts w:ascii="Times New Roman" w:cs="Times New Roman" w:eastAsia="Times New Roman" w:hAnsi="Times New Roman"/>
                <w:sz w:val="20"/>
                <w:szCs w:val="20"/>
                <w:color w:val="auto"/>
              </w:rPr>
              <w:t>106,575</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62,327</w:t>
            </w:r>
          </w:p>
        </w:tc>
      </w:tr>
      <w:tr>
        <w:trPr>
          <w:trHeight w:val="250"/>
        </w:trPr>
        <w:tc>
          <w:tcPr>
            <w:tcW w:w="7020" w:type="dxa"/>
            <w:vAlign w:val="bottom"/>
            <w:tcBorders>
              <w:bottom w:val="single" w:sz="8" w:color="D4EFF3"/>
            </w:tcBorders>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Cash, cash equivalents and restricted cash, beginning of period</w:t>
            </w:r>
          </w:p>
        </w:tc>
        <w:tc>
          <w:tcPr>
            <w:tcW w:w="140" w:type="dxa"/>
            <w:vAlign w:val="bottom"/>
            <w:tcBorders>
              <w:bottom w:val="single" w:sz="8" w:color="D4EFF3"/>
            </w:tcBorders>
            <w:shd w:val="clear" w:color="auto" w:fill="D4EFF3"/>
          </w:tcPr>
          <w:p>
            <w:pPr>
              <w:spacing w:after="0"/>
              <w:rPr>
                <w:sz w:val="21"/>
                <w:szCs w:val="21"/>
                <w:color w:val="auto"/>
              </w:rPr>
            </w:pPr>
          </w:p>
        </w:tc>
        <w:tc>
          <w:tcPr>
            <w:tcW w:w="340" w:type="dxa"/>
            <w:vAlign w:val="bottom"/>
            <w:tcBorders>
              <w:bottom w:val="single" w:sz="8" w:color="auto"/>
            </w:tcBorders>
            <w:shd w:val="clear" w:color="auto" w:fill="D4EFF3"/>
          </w:tcPr>
          <w:p>
            <w:pPr>
              <w:spacing w:after="0"/>
              <w:rPr>
                <w:sz w:val="21"/>
                <w:szCs w:val="21"/>
                <w:color w:val="auto"/>
              </w:rPr>
            </w:pPr>
          </w:p>
        </w:tc>
        <w:tc>
          <w:tcPr>
            <w:tcW w:w="1220" w:type="dxa"/>
            <w:vAlign w:val="bottom"/>
            <w:tcBorders>
              <w:bottom w:val="single" w:sz="8" w:color="auto"/>
            </w:tcBorders>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88,213</w:t>
            </w:r>
          </w:p>
        </w:tc>
        <w:tc>
          <w:tcPr>
            <w:tcW w:w="180" w:type="dxa"/>
            <w:vAlign w:val="bottom"/>
            <w:tcBorders>
              <w:bottom w:val="single" w:sz="8" w:color="D4EFF3"/>
            </w:tcBorders>
            <w:shd w:val="clear" w:color="auto" w:fill="D4EFF3"/>
          </w:tcPr>
          <w:p>
            <w:pPr>
              <w:spacing w:after="0"/>
              <w:rPr>
                <w:sz w:val="21"/>
                <w:szCs w:val="21"/>
                <w:color w:val="auto"/>
              </w:rPr>
            </w:pPr>
          </w:p>
        </w:tc>
        <w:tc>
          <w:tcPr>
            <w:tcW w:w="440" w:type="dxa"/>
            <w:vAlign w:val="bottom"/>
            <w:tcBorders>
              <w:bottom w:val="single" w:sz="8" w:color="auto"/>
            </w:tcBorders>
            <w:shd w:val="clear" w:color="auto" w:fill="D4EFF3"/>
          </w:tcPr>
          <w:p>
            <w:pPr>
              <w:spacing w:after="0"/>
              <w:rPr>
                <w:sz w:val="21"/>
                <w:szCs w:val="21"/>
                <w:color w:val="auto"/>
              </w:rPr>
            </w:pPr>
          </w:p>
        </w:tc>
        <w:tc>
          <w:tcPr>
            <w:tcW w:w="1100" w:type="dxa"/>
            <w:vAlign w:val="bottom"/>
            <w:tcBorders>
              <w:bottom w:val="single" w:sz="8" w:color="auto"/>
            </w:tcBorders>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25,886</w:t>
            </w:r>
          </w:p>
        </w:tc>
      </w:tr>
      <w:tr>
        <w:trPr>
          <w:trHeight w:val="240"/>
        </w:trPr>
        <w:tc>
          <w:tcPr>
            <w:tcW w:w="7020" w:type="dxa"/>
            <w:vAlign w:val="bottom"/>
            <w:tcBorders>
              <w:bottom w:val="single" w:sz="8" w:color="D4EFF3"/>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Cash, cash equivalents and restricted cash, end of period</w:t>
            </w:r>
          </w:p>
        </w:tc>
        <w:tc>
          <w:tcPr>
            <w:tcW w:w="140" w:type="dxa"/>
            <w:vAlign w:val="bottom"/>
            <w:tcBorders>
              <w:bottom w:val="single" w:sz="8" w:color="D4EFF3"/>
            </w:tcBorders>
          </w:tcPr>
          <w:p>
            <w:pPr>
              <w:spacing w:after="0"/>
              <w:rPr>
                <w:sz w:val="20"/>
                <w:szCs w:val="20"/>
                <w:color w:val="auto"/>
              </w:rPr>
            </w:pPr>
          </w:p>
        </w:tc>
        <w:tc>
          <w:tcPr>
            <w:tcW w:w="340" w:type="dxa"/>
            <w:vAlign w:val="bottom"/>
            <w:tcBorders>
              <w:bottom w:val="single" w:sz="8" w:color="auto"/>
            </w:tcBorders>
          </w:tcPr>
          <w:p>
            <w:pPr>
              <w:jc w:val="right"/>
              <w:ind w:right="1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ind w:right="2"/>
              <w:spacing w:after="0" w:line="200" w:lineRule="exact"/>
              <w:rPr>
                <w:sz w:val="20"/>
                <w:szCs w:val="20"/>
                <w:color w:val="auto"/>
              </w:rPr>
            </w:pPr>
            <w:r>
              <w:rPr>
                <w:rFonts w:ascii="Times New Roman" w:cs="Times New Roman" w:eastAsia="Times New Roman" w:hAnsi="Times New Roman"/>
                <w:sz w:val="20"/>
                <w:szCs w:val="20"/>
                <w:color w:val="auto"/>
              </w:rPr>
              <w:t>194,788</w:t>
            </w:r>
          </w:p>
        </w:tc>
        <w:tc>
          <w:tcPr>
            <w:tcW w:w="180" w:type="dxa"/>
            <w:vAlign w:val="bottom"/>
            <w:tcBorders>
              <w:bottom w:val="single" w:sz="8" w:color="D4EFF3"/>
            </w:tcBorders>
          </w:tcPr>
          <w:p>
            <w:pPr>
              <w:spacing w:after="0"/>
              <w:rPr>
                <w:sz w:val="20"/>
                <w:szCs w:val="20"/>
                <w:color w:val="auto"/>
              </w:rPr>
            </w:pPr>
          </w:p>
        </w:tc>
        <w:tc>
          <w:tcPr>
            <w:tcW w:w="440" w:type="dxa"/>
            <w:vAlign w:val="bottom"/>
            <w:tcBorders>
              <w:bottom w:val="single" w:sz="8" w:color="auto"/>
            </w:tcBorders>
          </w:tcPr>
          <w:p>
            <w:pPr>
              <w:jc w:val="right"/>
              <w:ind w:right="2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88,213</w:t>
            </w:r>
          </w:p>
        </w:tc>
      </w:tr>
      <w:tr>
        <w:trPr>
          <w:trHeight w:val="215"/>
        </w:trPr>
        <w:tc>
          <w:tcPr>
            <w:tcW w:w="7020" w:type="dxa"/>
            <w:vAlign w:val="bottom"/>
            <w:shd w:val="clear" w:color="auto" w:fill="D4EFF3"/>
          </w:tcPr>
          <w:p>
            <w:pPr>
              <w:spacing w:after="0" w:line="215" w:lineRule="exact"/>
              <w:rPr>
                <w:sz w:val="20"/>
                <w:szCs w:val="20"/>
                <w:color w:val="auto"/>
              </w:rPr>
            </w:pPr>
            <w:r>
              <w:rPr>
                <w:rFonts w:ascii="Times New Roman" w:cs="Times New Roman" w:eastAsia="Times New Roman" w:hAnsi="Times New Roman"/>
                <w:sz w:val="20"/>
                <w:szCs w:val="20"/>
                <w:color w:val="auto"/>
              </w:rPr>
              <w:t>Supplemental cash flow information</w:t>
            </w:r>
          </w:p>
        </w:tc>
        <w:tc>
          <w:tcPr>
            <w:tcW w:w="140" w:type="dxa"/>
            <w:vAlign w:val="bottom"/>
            <w:shd w:val="clear" w:color="auto" w:fill="D4EFF3"/>
          </w:tcPr>
          <w:p>
            <w:pPr>
              <w:spacing w:after="0"/>
              <w:rPr>
                <w:sz w:val="18"/>
                <w:szCs w:val="18"/>
                <w:color w:val="auto"/>
              </w:rPr>
            </w:pPr>
          </w:p>
        </w:tc>
        <w:tc>
          <w:tcPr>
            <w:tcW w:w="340" w:type="dxa"/>
            <w:vAlign w:val="bottom"/>
            <w:shd w:val="clear" w:color="auto" w:fill="D4EFF3"/>
          </w:tcPr>
          <w:p>
            <w:pPr>
              <w:spacing w:after="0"/>
              <w:rPr>
                <w:sz w:val="18"/>
                <w:szCs w:val="18"/>
                <w:color w:val="auto"/>
              </w:rPr>
            </w:pPr>
          </w:p>
        </w:tc>
        <w:tc>
          <w:tcPr>
            <w:tcW w:w="1220" w:type="dxa"/>
            <w:vAlign w:val="bottom"/>
            <w:shd w:val="clear" w:color="auto" w:fill="D4EFF3"/>
          </w:tcPr>
          <w:p>
            <w:pPr>
              <w:spacing w:after="0"/>
              <w:rPr>
                <w:sz w:val="18"/>
                <w:szCs w:val="18"/>
                <w:color w:val="auto"/>
              </w:rPr>
            </w:pPr>
          </w:p>
        </w:tc>
        <w:tc>
          <w:tcPr>
            <w:tcW w:w="180" w:type="dxa"/>
            <w:vAlign w:val="bottom"/>
            <w:shd w:val="clear" w:color="auto" w:fill="D4EFF3"/>
          </w:tcPr>
          <w:p>
            <w:pPr>
              <w:spacing w:after="0"/>
              <w:rPr>
                <w:sz w:val="18"/>
                <w:szCs w:val="18"/>
                <w:color w:val="auto"/>
              </w:rPr>
            </w:pPr>
          </w:p>
        </w:tc>
        <w:tc>
          <w:tcPr>
            <w:tcW w:w="440" w:type="dxa"/>
            <w:vAlign w:val="bottom"/>
            <w:shd w:val="clear" w:color="auto" w:fill="D4EFF3"/>
          </w:tcPr>
          <w:p>
            <w:pPr>
              <w:spacing w:after="0"/>
              <w:rPr>
                <w:sz w:val="18"/>
                <w:szCs w:val="18"/>
                <w:color w:val="auto"/>
              </w:rPr>
            </w:pPr>
          </w:p>
        </w:tc>
        <w:tc>
          <w:tcPr>
            <w:tcW w:w="1100" w:type="dxa"/>
            <w:vAlign w:val="bottom"/>
            <w:shd w:val="clear" w:color="auto" w:fill="D4EFF3"/>
          </w:tcPr>
          <w:p>
            <w:pPr>
              <w:spacing w:after="0"/>
              <w:rPr>
                <w:sz w:val="18"/>
                <w:szCs w:val="18"/>
                <w:color w:val="auto"/>
              </w:rPr>
            </w:pPr>
          </w:p>
        </w:tc>
      </w:tr>
      <w:tr>
        <w:trPr>
          <w:trHeight w:val="230"/>
        </w:trPr>
        <w:tc>
          <w:tcPr>
            <w:tcW w:w="7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14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0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Supplemental disclosure of non-cash activities</w:t>
            </w:r>
          </w:p>
        </w:tc>
        <w:tc>
          <w:tcPr>
            <w:tcW w:w="14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r>
      <w:tr>
        <w:trPr>
          <w:trHeight w:val="211"/>
        </w:trPr>
        <w:tc>
          <w:tcPr>
            <w:tcW w:w="702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Purchases of property and equipment included in accounts payable and accrued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7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expenses</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702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480" w:type="dxa"/>
            <w:vAlign w:val="bottom"/>
            <w:gridSpan w:val="2"/>
            <w:shd w:val="clear" w:color="auto" w:fill="D4EFF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shd w:val="clear" w:color="auto" w:fill="D4EFF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1,670</w:t>
            </w:r>
          </w:p>
        </w:tc>
      </w:tr>
      <w:tr>
        <w:trPr>
          <w:trHeight w:val="230"/>
        </w:trPr>
        <w:tc>
          <w:tcPr>
            <w:tcW w:w="7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Decrease in right-of-use assets related to lease modification</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896</w:t>
            </w:r>
          </w:p>
        </w:tc>
      </w:tr>
      <w:tr>
        <w:trPr>
          <w:trHeight w:val="230"/>
        </w:trPr>
        <w:tc>
          <w:tcPr>
            <w:tcW w:w="702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Decrease in operating lease liabilities due to lease modification</w:t>
            </w:r>
          </w:p>
        </w:tc>
        <w:tc>
          <w:tcPr>
            <w:tcW w:w="480" w:type="dxa"/>
            <w:vAlign w:val="bottom"/>
            <w:gridSpan w:val="2"/>
            <w:shd w:val="clear" w:color="auto" w:fill="D4EFF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shd w:val="clear" w:color="auto" w:fill="D4EFF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896</w:t>
            </w:r>
          </w:p>
        </w:tc>
      </w:tr>
      <w:tr>
        <w:trPr>
          <w:trHeight w:val="211"/>
        </w:trPr>
        <w:tc>
          <w:tcPr>
            <w:tcW w:w="702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Deferred issuance costs on Series B convertible preferred stock in accounts payable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7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and accruals</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702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Deferred offering costs included in accounts payable and accruals at end of period</w:t>
            </w:r>
          </w:p>
        </w:tc>
        <w:tc>
          <w:tcPr>
            <w:tcW w:w="480" w:type="dxa"/>
            <w:vAlign w:val="bottom"/>
            <w:gridSpan w:val="2"/>
            <w:shd w:val="clear" w:color="auto" w:fill="D4EFF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5,792</w:t>
            </w:r>
          </w:p>
        </w:tc>
        <w:tc>
          <w:tcPr>
            <w:tcW w:w="620" w:type="dxa"/>
            <w:vAlign w:val="bottom"/>
            <w:gridSpan w:val="2"/>
            <w:shd w:val="clear" w:color="auto" w:fill="D4EFF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656</w:t>
            </w:r>
          </w:p>
        </w:tc>
      </w:tr>
      <w:tr>
        <w:trPr>
          <w:trHeight w:val="266"/>
        </w:trPr>
        <w:tc>
          <w:tcPr>
            <w:tcW w:w="7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Settlement of derivative liability upon issuance of common stock to Roche</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6,511</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bl>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440"/>
          </w:cols>
          <w:pgMar w:left="900" w:top="93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440"/>
          </w:cols>
          <w:pgMar w:left="900" w:top="936" w:right="900" w:bottom="175"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Nature of the Business</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MWTX-003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8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the COVID-19 pandemic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Merger with Gemini</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202" w:lineRule="exact"/>
        <w:rPr>
          <w:sz w:val="20"/>
          <w:szCs w:val="20"/>
          <w:color w:val="auto"/>
        </w:rPr>
      </w:pPr>
    </w:p>
    <w:p>
      <w:pPr>
        <w:ind w:right="320" w:firstLine="490"/>
        <w:spacing w:after="0" w:line="278" w:lineRule="auto"/>
        <w:rPr>
          <w:sz w:val="20"/>
          <w:szCs w:val="20"/>
          <w:color w:val="auto"/>
        </w:rPr>
      </w:pPr>
      <w:r>
        <w:rPr>
          <w:rFonts w:ascii="Times New Roman" w:cs="Times New Roman" w:eastAsia="Times New Roman" w:hAnsi="Times New Roman"/>
          <w:sz w:val="19"/>
          <w:szCs w:val="19"/>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17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Pursuant to the terms of the Merger Agreement, at the effective time of the merger (the “Effective Time”), each then outstanding share of Private Disc common stock (including shares of common stock issued upon conversion of the Company's preferred stock (see Note 9) and shares of the Company's common stock issued in the Private Disc pre-closing financing defined below) was exchanged for 0.1096 shares of Gemini's common stock (the “Exchange Ratio”), after taking into account the Reverse Stock Split, as defined below. In addition, each option to purchase Private Disc shares that was outstanding and unexercised immediately prior to the Effective Time was converted into an option to purchase shares of Gemini based on the Exchange Ratio. Immediately following the merger, stockholders of Private Disc owned approximately 74% of the outstanding common stock of the combined company. The merger was intended to qualify for federal income tax purposes as a tax-free reorganization under the provisions of Section 368(a) of the Internal Revenue Code of 1986, as amended.</w:t>
      </w:r>
    </w:p>
    <w:p>
      <w:pPr>
        <w:spacing w:after="0" w:line="206" w:lineRule="exact"/>
        <w:rPr>
          <w:sz w:val="20"/>
          <w:szCs w:val="20"/>
          <w:color w:val="auto"/>
        </w:rPr>
      </w:pPr>
    </w:p>
    <w:p>
      <w:pPr>
        <w:ind w:right="80" w:firstLine="490"/>
        <w:spacing w:after="0" w:line="263" w:lineRule="auto"/>
        <w:rPr>
          <w:sz w:val="20"/>
          <w:szCs w:val="20"/>
          <w:color w:val="auto"/>
        </w:rPr>
      </w:pPr>
      <w:r>
        <w:rPr>
          <w:rFonts w:ascii="Times New Roman" w:cs="Times New Roman" w:eastAsia="Times New Roman" w:hAnsi="Times New Roman"/>
          <w:sz w:val="19"/>
          <w:szCs w:val="19"/>
          <w:color w:val="auto"/>
        </w:rPr>
        <w:t>At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during the period that is one year after the closing of the merger, calculated in accordance with the CVR Agreement.</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440"/>
          </w:cols>
          <w:pgMar w:left="900" w:top="696" w:right="900" w:bottom="175" w:gutter="0" w:footer="0" w:header="0"/>
          <w:type w:val="continuous"/>
        </w:sectPr>
      </w:pPr>
    </w:p>
    <w:bookmarkStart w:id="119" w:name="page120"/>
    <w:bookmarkEnd w:id="119"/>
    <w:p>
      <w:pPr>
        <w:ind w:left="7" w:right="140" w:firstLine="490"/>
        <w:spacing w:after="0" w:line="252" w:lineRule="auto"/>
        <w:rPr>
          <w:sz w:val="20"/>
          <w:szCs w:val="20"/>
          <w:color w:val="auto"/>
        </w:rPr>
      </w:pPr>
      <w:r>
        <w:rPr>
          <w:rFonts w:ascii="Times New Roman" w:cs="Times New Roman" w:eastAsia="Times New Roman" w:hAnsi="Times New Roman"/>
          <w:sz w:val="20"/>
          <w:szCs w:val="20"/>
          <w:color w:val="auto"/>
        </w:rPr>
        <w:t>In connection with the Merger Agreement, certain third parties entered into a subscription agreement with Private Disc to purchase shares of Private Disc's common stock for an aggregate purchase price of $53.5 million (the “pre-closing financing”). Shares of Private Disc's common stock issued pursuant to the pre-closing financing were converted into shares of the Company's common stock based on the Exchange Ratio.</w:t>
      </w:r>
    </w:p>
    <w:p>
      <w:pPr>
        <w:spacing w:after="0" w:line="194" w:lineRule="exact"/>
        <w:rPr>
          <w:sz w:val="20"/>
          <w:szCs w:val="20"/>
          <w:color w:val="auto"/>
        </w:rPr>
      </w:pPr>
    </w:p>
    <w:p>
      <w:pPr>
        <w:ind w:left="7" w:right="20" w:firstLine="490"/>
        <w:spacing w:after="0" w:line="243" w:lineRule="auto"/>
        <w:rPr>
          <w:sz w:val="20"/>
          <w:szCs w:val="20"/>
          <w:color w:val="auto"/>
        </w:rPr>
      </w:pPr>
      <w:r>
        <w:rPr>
          <w:rFonts w:ascii="Times New Roman" w:cs="Times New Roman" w:eastAsia="Times New Roman" w:hAnsi="Times New Roman"/>
          <w:sz w:val="20"/>
          <w:szCs w:val="20"/>
          <w:color w:val="auto"/>
        </w:rPr>
        <w:t>The merger was accounted for as a reverse recapitalization in accordance with U.S. GAAP. For accounting purposes, Private Disc was considered to be acquiring the assets and liabilities of Gemini in the merger based on the terms of the Merger Agreement and other factors, including: (i) Private Disc’s stockholders own a majority of the voting rights in the combined company; (ii) Private Disc designated a majority (eight of nine) of the initial members of the board of directors of the combined company; (iii) Private Disc’s executive management team became the management of the combined company; (iv) the pre-combination assets of Gemini were primarily cash and cash equivalents and other non-operating assets (the in-process research and development assets potentially remaining as of the combination were considered to be of de minimis value); and (v) the combined company was named Disc Medicine, Inc. and is headquartered in Private Disc's office in Watertown, Massachusetts. Accordingly, the merger was treated as the equivalent of Private Disc issuing stock to acquire the net assets of Gemini. As a result of the merger, the net assets of Gemini were recorded at their acquisition-date fair value in the financial statements of the Company and the reported operating results prior to the merger are those of Private Disc.</w:t>
      </w:r>
    </w:p>
    <w:p>
      <w:pPr>
        <w:spacing w:after="0" w:line="208" w:lineRule="exact"/>
        <w:rPr>
          <w:sz w:val="20"/>
          <w:szCs w:val="20"/>
          <w:color w:val="auto"/>
        </w:rPr>
      </w:pPr>
    </w:p>
    <w:p>
      <w:pPr>
        <w:ind w:left="7" w:right="20" w:firstLine="490"/>
        <w:spacing w:after="0" w:line="277" w:lineRule="auto"/>
        <w:rPr>
          <w:sz w:val="20"/>
          <w:szCs w:val="20"/>
          <w:color w:val="auto"/>
        </w:rPr>
      </w:pPr>
      <w:r>
        <w:rPr>
          <w:rFonts w:ascii="Times New Roman" w:cs="Times New Roman" w:eastAsia="Times New Roman" w:hAnsi="Times New Roman"/>
          <w:sz w:val="20"/>
          <w:szCs w:val="20"/>
          <w:color w:val="auto"/>
        </w:rPr>
        <w:t>Pursuant to the terms of the Roche Agreement (see Note 8), immediately following the Effective Time, the Company issued 482,313 shares of the combined company to Roche for no consideration.</w:t>
      </w:r>
    </w:p>
    <w:p>
      <w:pPr>
        <w:spacing w:after="0" w:line="2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 and Exchange Ratio</w:t>
      </w:r>
    </w:p>
    <w:p>
      <w:pPr>
        <w:spacing w:after="0" w:line="240" w:lineRule="exact"/>
        <w:rPr>
          <w:sz w:val="20"/>
          <w:szCs w:val="20"/>
          <w:color w:val="auto"/>
        </w:rPr>
      </w:pPr>
    </w:p>
    <w:p>
      <w:pPr>
        <w:ind w:left="7" w:right="60" w:firstLine="490"/>
        <w:spacing w:after="0" w:line="252" w:lineRule="auto"/>
        <w:rPr>
          <w:sz w:val="20"/>
          <w:szCs w:val="20"/>
          <w:color w:val="auto"/>
        </w:rPr>
      </w:pPr>
      <w:r>
        <w:rPr>
          <w:rFonts w:ascii="Times New Roman" w:cs="Times New Roman" w:eastAsia="Times New Roman" w:hAnsi="Times New Roman"/>
          <w:sz w:val="20"/>
          <w:szCs w:val="20"/>
          <w:color w:val="auto"/>
        </w:rPr>
        <w:t>On December 29, 2022, in connection with, and prior to the completion of, the merger, Gemini effected a one-for-ten reverse stock split of its then outstanding common stock (the “Reverse Stock Split”). The par value and the authorized shares of the common stock were not adjusted as a result of the Reverse Stock Split. All of Gemini’s issued and outstanding common stock have been retroactively adjusted to reflect this Reverse Stock Split for all periods presented.</w:t>
      </w:r>
    </w:p>
    <w:p>
      <w:pPr>
        <w:spacing w:after="0" w:line="194" w:lineRule="exact"/>
        <w:rPr>
          <w:sz w:val="20"/>
          <w:szCs w:val="20"/>
          <w:color w:val="auto"/>
        </w:rPr>
      </w:pPr>
    </w:p>
    <w:p>
      <w:pPr>
        <w:ind w:left="7" w:right="60" w:firstLine="490"/>
        <w:spacing w:after="0" w:line="258" w:lineRule="auto"/>
        <w:rPr>
          <w:sz w:val="20"/>
          <w:szCs w:val="20"/>
          <w:color w:val="auto"/>
        </w:rPr>
      </w:pPr>
      <w:r>
        <w:rPr>
          <w:rFonts w:ascii="Times New Roman" w:cs="Times New Roman" w:eastAsia="Times New Roman" w:hAnsi="Times New Roman"/>
          <w:sz w:val="20"/>
          <w:szCs w:val="20"/>
          <w:color w:val="auto"/>
        </w:rPr>
        <w:t>All issued and outstanding Private Disc common stock, convertible preferred stock and options prior to the effective date of the merger have been retroactively adjusted to reflect the 0.1096 Exchange Ratio, which reflects the impact of the reverse stock split, for all periods presented.</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20" w:lineRule="exact"/>
        <w:rPr>
          <w:sz w:val="20"/>
          <w:szCs w:val="20"/>
          <w:color w:val="auto"/>
        </w:rPr>
      </w:pPr>
    </w:p>
    <w:p>
      <w:pPr>
        <w:ind w:left="7" w:right="80" w:firstLine="490"/>
        <w:spacing w:after="0" w:line="243"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on the basis of the Company continuing as a going concern. The Company expects that its existing cash and cash equivalents as of December 31, 2022 of $194.6 million 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2022, the Company had an accumulated deficit of $112.2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204" w:lineRule="exact"/>
        <w:rPr>
          <w:sz w:val="20"/>
          <w:szCs w:val="20"/>
          <w:color w:val="auto"/>
        </w:rPr>
      </w:pPr>
    </w:p>
    <w:p>
      <w:pPr>
        <w:ind w:left="7" w:right="6020" w:hanging="7"/>
        <w:spacing w:after="0" w:line="386" w:lineRule="auto"/>
        <w:tabs>
          <w:tab w:leader="none" w:pos="207"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Summary of Significant Accounting Policies </w:t>
      </w:r>
      <w:r>
        <w:rPr>
          <w:rFonts w:ascii="Times New Roman" w:cs="Times New Roman" w:eastAsia="Times New Roman" w:hAnsi="Times New Roman"/>
          <w:sz w:val="19"/>
          <w:szCs w:val="19"/>
          <w:b w:val="1"/>
          <w:bCs w:val="1"/>
          <w:i w:val="1"/>
          <w:iCs w:val="1"/>
          <w:color w:val="auto"/>
        </w:rPr>
        <w:t>Basis of Presentation and Principles of Consolidation</w:t>
      </w:r>
    </w:p>
    <w:p>
      <w:pPr>
        <w:spacing w:after="0" w:line="1" w:lineRule="exact"/>
        <w:rPr>
          <w:sz w:val="20"/>
          <w:szCs w:val="20"/>
          <w:color w:val="auto"/>
        </w:rPr>
      </w:pPr>
    </w:p>
    <w:p>
      <w:pPr>
        <w:ind w:left="7" w:right="400" w:firstLine="490"/>
        <w:spacing w:after="0" w:line="25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74"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9"/>
          <w:szCs w:val="19"/>
          <w:color w:val="auto"/>
        </w:rPr>
        <w:t>The accompanying consolidated financial statements include the accounts of the Company and its wholly-owned subsidiaries.</w:t>
      </w:r>
    </w:p>
    <w:p>
      <w:pPr>
        <w:spacing w:after="0" w:line="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All intercompany transactions and balances have been eliminated in consolidation.</w:t>
      </w:r>
    </w:p>
    <w:p>
      <w:pPr>
        <w:spacing w:after="0" w:line="2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ind w:left="7" w:right="160" w:firstLine="490"/>
        <w:spacing w:after="0" w:line="278" w:lineRule="auto"/>
        <w:rPr>
          <w:sz w:val="20"/>
          <w:szCs w:val="20"/>
          <w:color w:val="auto"/>
        </w:rPr>
      </w:pPr>
      <w:r>
        <w:rPr>
          <w:rFonts w:ascii="Times New Roman" w:cs="Times New Roman" w:eastAsia="Times New Roman" w:hAnsi="Times New Roman"/>
          <w:sz w:val="19"/>
          <w:szCs w:val="19"/>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w:t>
      </w:r>
    </w:p>
    <w:p>
      <w:pPr>
        <w:sectPr>
          <w:pgSz w:w="12240" w:h="15840" w:orient="portrait"/>
          <w:cols w:equalWidth="0" w:num="1">
            <w:col w:w="10447"/>
          </w:cols>
          <w:pgMar w:left="893" w:top="700" w:right="900" w:bottom="175" w:gutter="0" w:footer="0" w:header="0"/>
        </w:sectPr>
      </w:pPr>
    </w:p>
    <w:p>
      <w:pPr>
        <w:spacing w:after="0" w:line="19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447"/>
          </w:cols>
          <w:pgMar w:left="893" w:top="700" w:right="900" w:bottom="175" w:gutter="0" w:footer="0" w:header="0"/>
          <w:type w:val="continuous"/>
        </w:sectPr>
      </w:pPr>
    </w:p>
    <w:bookmarkStart w:id="120" w:name="page121"/>
    <w:bookmarkEnd w:id="120"/>
    <w:p>
      <w:pPr>
        <w:spacing w:after="0" w:line="244" w:lineRule="auto"/>
        <w:rPr>
          <w:sz w:val="20"/>
          <w:szCs w:val="20"/>
          <w:color w:val="auto"/>
        </w:rPr>
      </w:pPr>
      <w:r>
        <w:rPr>
          <w:rFonts w:ascii="Times New Roman" w:cs="Times New Roman" w:eastAsia="Times New Roman" w:hAnsi="Times New Roman"/>
          <w:sz w:val="20"/>
          <w:szCs w:val="20"/>
          <w:color w:val="auto"/>
        </w:rPr>
        <w:t>and assumptions reflected in these consolidated financial statements include, but are not limited to accrued research and development expenses; stock-based compensation expense; the fair value of the common stock prior to the effective date of the merger; the fair value determinations for instruments accounted for at fair value including contingent amounts payable to third parties upon the consummation of specified transactions, including a Roche Qualified Transaction (see Note 8); the fair value of Gemini’s development programs underlying the CVR;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Company manages its operations as a single operating segment for the purposes of assessing performance and making operating decisions, resulting in a single reportable segment. The Company has assembled a portfolio of clinical and preclinical product candidates that aim to modify fundamental biological pathways associated with the formation and function of red blood cells, specifically heme biosynthesis and iron homeostasis.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of Significant Suppliers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primarily of cash and cash equivalents. The Company maintains deposits in a federally insured financial institution in excess of federally insured limits and limits its exposure to cash risk by placing its cash with a high credit quality accredited financial institution. The Company has concluded that it is not subject to unusual credit risk beyond the normal credit risk associated with commercial banking relationships.</w:t>
      </w:r>
    </w:p>
    <w:p>
      <w:pPr>
        <w:spacing w:after="0" w:line="77"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at the date of purchase to be cash equivalents. Cash and cash equivalents include cash in readily available checking and money market accounts. Cash equivalents are reflected at fair value based on quoted market prices as further described in Note 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2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The Company maintained letters of credit for the benefit of its landlords related to its leased office space in Cambridge, Massachusetts and Watertown, Massachusetts. The Company was required to maintain separate cash balances to secure its letters of credit.</w:t>
      </w:r>
    </w:p>
    <w:p>
      <w:pPr>
        <w:spacing w:after="0" w:line="68" w:lineRule="exact"/>
        <w:rPr>
          <w:sz w:val="20"/>
          <w:szCs w:val="20"/>
          <w:color w:val="auto"/>
        </w:rPr>
      </w:pPr>
    </w:p>
    <w:p>
      <w:pPr>
        <w:ind w:right="760" w:firstLine="490"/>
        <w:spacing w:after="0" w:line="305" w:lineRule="auto"/>
        <w:rPr>
          <w:sz w:val="20"/>
          <w:szCs w:val="20"/>
          <w:color w:val="auto"/>
        </w:rPr>
      </w:pPr>
      <w:r>
        <w:rPr>
          <w:rFonts w:ascii="Times New Roman" w:cs="Times New Roman" w:eastAsia="Times New Roman" w:hAnsi="Times New Roman"/>
          <w:sz w:val="19"/>
          <w:szCs w:val="19"/>
          <w:color w:val="auto"/>
        </w:rPr>
        <w:t>Due to the lease termination in September 2021, the letter of credit related to the leased office space in Cambridge, Massachusetts is classified within prepaid expenses and other current assets as of December 31, 2022 (see Note 15).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Transaction Costs</w:t>
      </w:r>
    </w:p>
    <w:p>
      <w:pPr>
        <w:spacing w:after="0" w:line="24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(deficit)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20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 xml:space="preserve">As of December 31, 2021, Private Disc had capitalized deferred transaction costs of $1.7 million related to a planned equity financing. During </w:t>
      </w:r>
      <w:r>
        <w:rPr>
          <w:rFonts w:ascii="Times New Roman" w:cs="Times New Roman" w:eastAsia="Times New Roman" w:hAnsi="Times New Roman"/>
          <w:sz w:val="20"/>
          <w:szCs w:val="20"/>
          <w:color w:val="242424"/>
        </w:rPr>
        <w:t>2022, Private Disc</w:t>
      </w:r>
      <w:r>
        <w:rPr>
          <w:rFonts w:ascii="Times New Roman" w:cs="Times New Roman" w:eastAsia="Times New Roman" w:hAnsi="Times New Roman"/>
          <w:sz w:val="20"/>
          <w:szCs w:val="20"/>
          <w:color w:val="auto"/>
        </w:rPr>
        <w:t xml:space="preserve"> concluded not to proceed with the planned equity financing and expensed the related deferred transaction costs of $2.2 million to general and administrative expenses</w:t>
      </w:r>
      <w:r>
        <w:rPr>
          <w:rFonts w:ascii="Times New Roman" w:cs="Times New Roman" w:eastAsia="Times New Roman" w:hAnsi="Times New Roman"/>
          <w:sz w:val="20"/>
          <w:szCs w:val="20"/>
          <w:color w:val="242424"/>
        </w:rPr>
        <w:t>. During 2022, the Company capitalized deferred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transaction costs related to the merger of $7.9 million. At the Effective Time, the Company reclassified the capitalized deferred transaction costs to reduce additional paid-in capital generated as a result of the merger.</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440"/>
          </w:cols>
          <w:pgMar w:left="900" w:top="700" w:right="900" w:bottom="175"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20" w:lineRule="exact"/>
        <w:rPr>
          <w:sz w:val="20"/>
          <w:szCs w:val="20"/>
          <w:color w:val="auto"/>
        </w:rPr>
      </w:pPr>
    </w:p>
    <w:p>
      <w:pPr>
        <w:ind w:right="320" w:firstLine="490"/>
        <w:spacing w:after="0" w:line="246" w:lineRule="auto"/>
        <w:rPr>
          <w:sz w:val="20"/>
          <w:szCs w:val="20"/>
          <w:color w:val="auto"/>
        </w:rPr>
      </w:pPr>
      <w:r>
        <w:rPr>
          <w:rFonts w:ascii="Times New Roman" w:cs="Times New Roman" w:eastAsia="Times New Roman" w:hAnsi="Times New Roman"/>
          <w:sz w:val="20"/>
          <w:szCs w:val="20"/>
          <w:color w:val="auto"/>
        </w:rPr>
        <w:t>The Company categorizes its assets and liabilities measured at fair value in accordance with the authoritative accounting guidance that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94" w:lineRule="exact"/>
        <w:rPr>
          <w:sz w:val="20"/>
          <w:szCs w:val="20"/>
          <w:color w:val="auto"/>
        </w:rPr>
      </w:pPr>
    </w:p>
    <w:p>
      <w:pPr>
        <w:ind w:left="720" w:hanging="367"/>
        <w:spacing w:after="0"/>
        <w:tabs>
          <w:tab w:leader="none" w:pos="7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Level 1—Quoted prices (unadjusted) in active markets for identical assets or liabilities;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Level 2—Inputs other than quoted prices included within Level 1 that are either directly or indirectly observable; and</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Level 3—Unobservable inputs in which little or no market activity exists, therefore requiring an entity to develop its own assumptions about the assumptions that market participants would use in pricing.</w:t>
      </w:r>
    </w:p>
    <w:p>
      <w:pPr>
        <w:spacing w:after="0" w:line="50"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auto"/>
        </w:rPr>
        <w:t>The fair value of the Company’s cash equivalents are determined according to the fair value hierarchy described above (see Note 4). The carrying values of the Company’s prepaid expenses and other current assets, accounts payable and accrued expenses approximate their fair values due to the short-term nature of these assets and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2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is calculated using the straight-line method over the estimated useful lives of the assets.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w:t>
            </w:r>
          </w:p>
        </w:tc>
      </w:tr>
      <w:tr>
        <w:trPr>
          <w:trHeight w:val="203"/>
        </w:trPr>
        <w:tc>
          <w:tcPr>
            <w:tcW w:w="8480" w:type="dxa"/>
            <w:vAlign w:val="bottom"/>
            <w:tcBorders>
              <w:bottom w:val="single" w:sz="8" w:color="D4EFF3"/>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20"/>
        </w:trPr>
        <w:tc>
          <w:tcPr>
            <w:tcW w:w="848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Computer equipment</w:t>
            </w:r>
          </w:p>
        </w:tc>
        <w:tc>
          <w:tcPr>
            <w:tcW w:w="1960" w:type="dxa"/>
            <w:vAlign w:val="bottom"/>
            <w:shd w:val="clear" w:color="auto" w:fill="D4EFF3"/>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3.0 years</w:t>
            </w:r>
          </w:p>
        </w:tc>
      </w:tr>
      <w:tr>
        <w:trPr>
          <w:trHeight w:val="26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 years</w:t>
            </w:r>
          </w:p>
        </w:tc>
      </w:tr>
    </w:tbl>
    <w:p>
      <w:pPr>
        <w:spacing w:after="0" w:line="6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spacing w:after="0" w:line="7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in depreciation expense over the estimated useful life of the related asset of 3.0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As required under the applicable accounting guidance, the Company periodically reevaluates the original assumptions and rationale used in the establishment of the carrying value and estimated lives of all of its long-lived assets, including property and equipment. 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twelve months ended December 31,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Effective January 1, 2020, Private Disc adopted and accounts for its leases under ASC 842, using the modified retrospective transition approach. 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The Company has made an accounting policy election, known as the short-term lease recognition exemption, which allows the Company to not recognize ROU assets and lease liabilities that arise from short-term leases (12 months or less) for any class of underlying asset.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p>
    <w:p>
      <w:pPr>
        <w:spacing w:after="0" w:line="86" w:lineRule="exact"/>
        <w:rPr>
          <w:sz w:val="20"/>
          <w:szCs w:val="20"/>
          <w:color w:val="auto"/>
        </w:rPr>
      </w:pPr>
    </w:p>
    <w:p>
      <w:pPr>
        <w:ind w:right="520" w:firstLine="490"/>
        <w:spacing w:after="0" w:line="305" w:lineRule="auto"/>
        <w:rPr>
          <w:sz w:val="20"/>
          <w:szCs w:val="20"/>
          <w:color w:val="auto"/>
        </w:rPr>
      </w:pPr>
      <w:r>
        <w:rPr>
          <w:rFonts w:ascii="Times New Roman" w:cs="Times New Roman" w:eastAsia="Times New Roman" w:hAnsi="Times New Roman"/>
          <w:sz w:val="19"/>
          <w:szCs w:val="19"/>
          <w:color w:val="auto"/>
        </w:rPr>
        <w:t>Leases are classified at their lease commencement date, which is defined as the date on which the lessor makes the underlying asset available for use by the lessee, as either operating or finance leases based on the economic substance of the</w:t>
      </w:r>
    </w:p>
    <w:p>
      <w:pPr>
        <w:sectPr>
          <w:pgSz w:w="12240" w:h="15840" w:orient="portrait"/>
          <w:cols w:equalWidth="0" w:num="1">
            <w:col w:w="10440"/>
          </w:cols>
          <w:pgMar w:left="900" w:top="700" w:right="900" w:bottom="175"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440"/>
          </w:cols>
          <w:pgMar w:left="900" w:top="700" w:right="900" w:bottom="175" w:gutter="0" w:footer="0" w:header="0"/>
          <w:type w:val="continuous"/>
        </w:sectPr>
      </w:pPr>
    </w:p>
    <w:bookmarkStart w:id="122" w:name="page123"/>
    <w:bookmarkEnd w:id="122"/>
    <w:p>
      <w:pPr>
        <w:spacing w:after="0" w:line="245" w:lineRule="auto"/>
        <w:rPr>
          <w:sz w:val="20"/>
          <w:szCs w:val="20"/>
          <w:color w:val="auto"/>
        </w:rPr>
      </w:pPr>
      <w:r>
        <w:rPr>
          <w:rFonts w:ascii="Times New Roman" w:cs="Times New Roman" w:eastAsia="Times New Roman" w:hAnsi="Times New Roman"/>
          <w:sz w:val="20"/>
          <w:szCs w:val="20"/>
          <w:color w:val="auto"/>
        </w:rPr>
        <w:t>agreement. All of the Company’s leases are classified as operating leases. Operating lease liabilities and their corresponding ROU assets are recorded based on the present value of future lease payments over the expected remaining lease term. Fixed lease cost for operating leases is recognized on a straight-line basis over the lease term as an operating expense. Variable lease costs, such as common area maintenance expenses, are recognized in the period incurred. Certain adjustments to the ROU asset may be required for items such as lease prepayments or incentives received. The interest rate implicit in lease contracts is typically not readily determinable. As a result, the Company utilizes its estimated incremental borrowing rate, which reflects the estimated fixed rate at which the Company could borrow on a collateralized basis the amount of the lease payments in the same currency, for a similar term, in a similar economic environment.</w:t>
      </w:r>
    </w:p>
    <w:p>
      <w:pPr>
        <w:spacing w:after="0" w:line="82"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The Company has elected to account for the lease and non-lease components together for existing classes of underlying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12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 xml:space="preserve">The Company applies the guidance of ASC Topic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(“ASC 480”), when determining the classification and measurement of its preferred stock. Preferred stock subject to mandatory redemption (if any) are classified as liability instruments and are measured at fair value. The Company classifies contingently redeemable preferred stock (if any),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equity (deficit).</w:t>
      </w:r>
    </w:p>
    <w:p>
      <w:pPr>
        <w:spacing w:after="0" w:line="8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Prior to the merger, Private Disc classified its convertible preferred stock as temporary equity due to terms that allowed for redemption of the shares upon the occurrence of a contingent event that was not solely within the Private Disc's control. Private Disc did not accrete the carrying values of the preferred stock to the redemption values since the contingent event was not considered probable as of December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7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and the acquired in-process research and development does not have an alternative future use, any related upfront license payment is expensed as incurred in accordance with guidance in ASC Topic 730, </w:t>
      </w:r>
      <w:r>
        <w:rPr>
          <w:rFonts w:ascii="Times New Roman" w:cs="Times New Roman" w:eastAsia="Times New Roman" w:hAnsi="Times New Roman"/>
          <w:sz w:val="20"/>
          <w:szCs w:val="20"/>
          <w:i w:val="1"/>
          <w:iCs w:val="1"/>
          <w:color w:val="auto"/>
        </w:rPr>
        <w:t>Research and Development</w:t>
      </w:r>
      <w:r>
        <w:rPr>
          <w:rFonts w:ascii="Times New Roman" w:cs="Times New Roman" w:eastAsia="Times New Roman" w:hAnsi="Times New Roman"/>
          <w:sz w:val="20"/>
          <w:szCs w:val="20"/>
          <w:color w:val="auto"/>
        </w:rPr>
        <w:t>. In general, contingent payments are recognized when it becomes probable the payment will be required.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p>
    <w:p>
      <w:pPr>
        <w:spacing w:after="0" w:line="8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420"/>
          </w:cols>
          <w:pgMar w:left="900" w:top="700" w:right="920" w:bottom="175"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general and administrative expenses within the Company’s consolidated statements of operations and comprehensive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The Company accounts for all stock-based awards granted to employees and non-employees as stock-based compensation expense at fair value.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The fair value of each restricted stock award is estimated on the date of grant based on the fair value of the Company’s common stock on that same date.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91"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pacing w:after="0" w:line="7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The Company classifies stock-based compensation expense in the consolidated statements of operations and comprehensive loss in the same manner in which the award recipient’s payroll costs are classified or in which the award recipient’s service payments are classified.</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See Note 11 for a summary of the stock-based award activity under the Company’s stock-based compensation plan.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Fair Value of Common Stock on Grant Dates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 xml:space="preserve">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w:t>
      </w:r>
      <w:r>
        <w:rPr>
          <w:rFonts w:ascii="Times New Roman" w:cs="Times New Roman" w:eastAsia="Times New Roman" w:hAnsi="Times New Roman"/>
          <w:sz w:val="20"/>
          <w:szCs w:val="20"/>
          <w:i w:val="1"/>
          <w:iCs w:val="1"/>
          <w:color w:val="auto"/>
        </w:rPr>
        <w:t>Valuation of Privately-Held Company Equity Securities Issued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as Compensation</w:t>
      </w:r>
      <w:r>
        <w:rPr>
          <w:rFonts w:ascii="Times New Roman" w:cs="Times New Roman" w:eastAsia="Times New Roman" w:hAnsi="Times New Roman"/>
          <w:sz w:val="20"/>
          <w:szCs w:val="20"/>
          <w:color w:val="auto"/>
        </w:rPr>
        <w:t>. In determining the exercise prices for options granted, Private Disc considered the estimated fair value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as of the 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8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80"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9"/>
          <w:szCs w:val="19"/>
          <w:color w:val="auto"/>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w:t>
      </w:r>
    </w:p>
    <w:p>
      <w:pPr>
        <w:sectPr>
          <w:pgSz w:w="12240" w:h="15840" w:orient="portrait"/>
          <w:cols w:equalWidth="0" w:num="1">
            <w:col w:w="10440"/>
          </w:cols>
          <w:pgMar w:left="900" w:top="700" w:right="900" w:bottom="175"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440"/>
          </w:cols>
          <w:pgMar w:left="900" w:top="700" w:right="900" w:bottom="175" w:gutter="0" w:footer="0" w:header="0"/>
          <w:type w:val="continuous"/>
        </w:sectPr>
      </w:pPr>
    </w:p>
    <w:bookmarkStart w:id="124" w:name="page125"/>
    <w:bookmarkEnd w:id="124"/>
    <w:p>
      <w:pPr>
        <w:spacing w:after="0" w:line="247" w:lineRule="auto"/>
        <w:rPr>
          <w:sz w:val="20"/>
          <w:szCs w:val="20"/>
          <w:color w:val="auto"/>
        </w:rPr>
      </w:pPr>
      <w:r>
        <w:rPr>
          <w:rFonts w:ascii="Times New Roman" w:cs="Times New Roman" w:eastAsia="Times New Roman" w:hAnsi="Times New Roman"/>
          <w:sz w:val="20"/>
          <w:szCs w:val="20"/>
          <w:color w:val="auto"/>
        </w:rPr>
        <w:t>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p>
    <w:p>
      <w:pPr>
        <w:spacing w:after="0" w:line="20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20"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auto"/>
        </w:rPr>
        <w:t>Comprehensive loss includes net loss, as well as other changes in stockholders’ equity (deficit) that result from transactions and economic events other than those with stockholders. The Company’s comprehensive loss was equal to net loss for the twelve months ended December 31, 2022 and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86"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at December 31, 2022 or 2021.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p>
    <w:p>
      <w:pPr>
        <w:spacing w:after="0" w:line="80"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auto"/>
        </w:rPr>
        <w:t>The Company files income tax returns in the United States and in Massachusetts. The Company’s income tax returns are subject to review and tax assessment from an income tax examination. As of December 31, 2022, the Company was not under examination by the Internal Revenue Service or other jurisdictions for any tax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Net loss per share attributable to common stockholders is calculated using the two-class method, which is an earnings allocation formula that determines net loss per share for the holders of the Company’s common shares and participating securities. The Company’s Preferred Stock contains participation rights in any dividend paid by the Company and is deemed to be a participating security. Net income attributable to common stockholders and participating preferred shares are allocated to each share as if all of the earnings for the period had been distributed. The participating securities do not include a contractual obligation to share in losses of the Company and are not included in the calculation of net loss per share in the periods in which a net loss is recorded. Net loss attributable to common stockholders is equal to the net loss for the period.</w:t>
      </w:r>
    </w:p>
    <w:p>
      <w:pPr>
        <w:spacing w:after="0" w:line="80" w:lineRule="exact"/>
        <w:rPr>
          <w:sz w:val="20"/>
          <w:szCs w:val="20"/>
          <w:color w:val="auto"/>
        </w:rPr>
      </w:pPr>
    </w:p>
    <w:p>
      <w:pPr>
        <w:ind w:right="140" w:firstLine="490"/>
        <w:spacing w:after="0" w:line="260" w:lineRule="auto"/>
        <w:rPr>
          <w:sz w:val="20"/>
          <w:szCs w:val="20"/>
          <w:color w:val="auto"/>
        </w:rPr>
      </w:pPr>
      <w:r>
        <w:rPr>
          <w:rFonts w:ascii="Times New Roman" w:cs="Times New Roman" w:eastAsia="Times New Roman" w:hAnsi="Times New Roman"/>
          <w:sz w:val="19"/>
          <w:szCs w:val="19"/>
          <w:color w:val="auto"/>
        </w:rPr>
        <w:t>Diluted net loss per share is computed using the more dilutive of (a) the two-class method or (b) the treasury stock method and if-converted method. The Company allocates earnings first to preferred stockholders based on dividend rights and then to common and preferred stockholders based on ownership interests. The weighted-average number of common shares included in the computation of diluted net loss gives effect to all potentially dilutive common equivalent shares, including outstanding stock options and Preferred Stock. 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420"/>
          </w:cols>
          <w:pgMar w:left="900" w:top="700" w:right="920" w:bottom="175"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Company considers events or transactions that occur after the consolidated balance sheet date but prior to the issuance of the consolidated financial statements to provide additional evidence for certain estimates or to identify matters that require additional disclosure. The Company has evaluated events occurring after the date of its consolidated balance sheet, through March 31, 2023, the date these consolidated financial statements were available to be issued. See Note 16.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 xml:space="preserve">In August 2018, the FASB issued ASU No. 2018-15, </w:t>
      </w:r>
      <w:r>
        <w:rPr>
          <w:rFonts w:ascii="Times New Roman" w:cs="Times New Roman" w:eastAsia="Times New Roman" w:hAnsi="Times New Roman"/>
          <w:sz w:val="20"/>
          <w:szCs w:val="20"/>
          <w:i w:val="1"/>
          <w:iCs w:val="1"/>
          <w:color w:val="auto"/>
        </w:rPr>
        <w:t>Intangibles-Goodwill and Other-Internal-Use Software (Topic 350):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Customer’s Accounting for Implementation Costs Incurred in a Cloud Computing Arrangement That Is a Service Contract</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standard requires capitalizing implementation costs incurred to develop or obtain internal-use software (and hosting arrangements that include an internal-use software license). The Company adopted ASU 2018-15 on January 1, 2021 using the prospective method. The adoption of this standard did not have a material effect on the Company’s financial position, results of operations or disclosures.</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 xml:space="preserve">In December 2019, the FASB issued ASU No. 2019-12, </w:t>
      </w:r>
      <w:r>
        <w:rPr>
          <w:rFonts w:ascii="Times New Roman" w:cs="Times New Roman" w:eastAsia="Times New Roman" w:hAnsi="Times New Roman"/>
          <w:sz w:val="20"/>
          <w:szCs w:val="20"/>
          <w:i w:val="1"/>
          <w:iCs w:val="1"/>
          <w:color w:val="auto"/>
        </w:rPr>
        <w:t>Income Taxes (Topic 740): Simplifying the Accounting for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 This standard removes certain exceptions for investments, intra-period allocations and interim calculations, and adds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guidance to reduce complexity in accounting for income taxes. The Company adopted ASU 2019-12 on January 1, 2021 using the prospective method. The adoption of this standard did not have a material effect on the Company’s financial position, results of operations or disclosures.</w:t>
      </w:r>
    </w:p>
    <w:p>
      <w:pPr>
        <w:spacing w:after="0" w:line="7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 xml:space="preserve">In August 2020, the FASB issued ASU No. 2020-06, </w:t>
      </w:r>
      <w:r>
        <w:rPr>
          <w:rFonts w:ascii="Times New Roman" w:cs="Times New Roman" w:eastAsia="Times New Roman" w:hAnsi="Times New Roman"/>
          <w:sz w:val="20"/>
          <w:szCs w:val="20"/>
          <w:i w:val="1"/>
          <w:iCs w:val="1"/>
          <w:color w:val="auto"/>
        </w:rPr>
        <w:t>Debt-Debt with Conversion and Other Options (Subtopic 470-20)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Derivatives and Hedging-Contracts in Entity’s Own Equity (Subtopic 815-40): Accounting for Convertible Instruments and Contracts in an Entity’s Own Equity</w:t>
      </w:r>
      <w:r>
        <w:rPr>
          <w:rFonts w:ascii="Times New Roman" w:cs="Times New Roman" w:eastAsia="Times New Roman" w:hAnsi="Times New Roman"/>
          <w:sz w:val="20"/>
          <w:szCs w:val="20"/>
          <w:color w:val="auto"/>
        </w:rPr>
        <w:t>. This standard amends the guidance on convertible instruments and the derivatives scope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exception for contracts in an entity’s own equity and improves and amends the related earnings per share guidance for both subtopics. The Company early adopted ASU 2020-06 on January 1, 2021 using a modified retrospective approach. The adoption of this standard did not have a material effect on the Company’s financial position, results of operations or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 xml:space="preserve">In June 2016, the FASB issued ASU No. 2016-13, </w:t>
      </w:r>
      <w:r>
        <w:rPr>
          <w:rFonts w:ascii="Times New Roman" w:cs="Times New Roman" w:eastAsia="Times New Roman" w:hAnsi="Times New Roman"/>
          <w:sz w:val="20"/>
          <w:szCs w:val="20"/>
          <w:i w:val="1"/>
          <w:iCs w:val="1"/>
          <w:color w:val="auto"/>
        </w:rPr>
        <w:t>Financial Instruments - Credit Losses (Topic 326): Measurement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Credit Losses on Financial Instruments</w:t>
      </w:r>
      <w:r>
        <w:rPr>
          <w:rFonts w:ascii="Times New Roman" w:cs="Times New Roman" w:eastAsia="Times New Roman" w:hAnsi="Times New Roman"/>
          <w:sz w:val="20"/>
          <w:szCs w:val="20"/>
          <w:color w:val="auto"/>
        </w:rPr>
        <w:t>, which has been subsequently amended by ASU 2018-19, ASU 2019-04, ASU 2019-05,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ASU 2019-10, ASU 2019-11, ASU 2020-03, and ASU 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 to all periods presented. For public business entities that meet the definition of a U.S. Securities and Exchange Commission (“SEC”) filer, excluding entities eligible to be smaller reporting companies as defined by the SEC, the standard is effective for fiscal calendar years beginning January 1, 2020, including interim periods within those fiscal years. For all other entities, the standard is effective for fiscal calendar years beginning January 1, 2023. Early adoption is permitted. The Company does not expect that this standard will have a material impact on its consolidated financial statements and disclosures.</w:t>
      </w:r>
    </w:p>
    <w:p>
      <w:pPr>
        <w:sectPr>
          <w:pgSz w:w="12240" w:h="15840" w:orient="portrait"/>
          <w:cols w:equalWidth="0" w:num="1">
            <w:col w:w="10420"/>
          </w:cols>
          <w:pgMar w:left="900" w:top="70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420"/>
          </w:cols>
          <w:pgMar w:left="900" w:top="700" w:right="920" w:bottom="175"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3. Reverse Merger with Gemini</w:t>
      </w:r>
    </w:p>
    <w:p>
      <w:pPr>
        <w:spacing w:after="0" w:line="244" w:lineRule="exact"/>
        <w:rPr>
          <w:sz w:val="20"/>
          <w:szCs w:val="20"/>
          <w:color w:val="auto"/>
        </w:rPr>
      </w:pPr>
    </w:p>
    <w:p>
      <w:pPr>
        <w:ind w:right="320" w:firstLine="490"/>
        <w:spacing w:after="0" w:line="246" w:lineRule="auto"/>
        <w:rPr>
          <w:sz w:val="20"/>
          <w:szCs w:val="20"/>
          <w:color w:val="auto"/>
        </w:rPr>
      </w:pPr>
      <w:r>
        <w:rPr>
          <w:rFonts w:ascii="Times New Roman" w:cs="Times New Roman" w:eastAsia="Times New Roman" w:hAnsi="Times New Roman"/>
          <w:sz w:val="20"/>
          <w:szCs w:val="20"/>
          <w:color w:val="auto"/>
        </w:rPr>
        <w:t>As described in Note 1, Private Disc merged with Gemini on December 29, 2022. The merger was accounted for as a reverse recapitalization with Private Disc as the accounting acquirer. The primary pre-combination assets of Gemini were cash and cash equivalents. Under reverse recapitalization accounting, the assets and liabilities of Gemini were recorded at their fair value which approximated book value due to the short-term nature of the accounts. No goodwill or intangible assets were recognized. Consequently, the consolidated financial statements of the Company reflect the operations of Private Disc for accounting purposes, together with a deemed issuance of shares equivalent to the shares held by the former stockholders of Gemini, the legal acquirer, and a recapitalization of the equity of Private Disc, the accounting acquirer.</w:t>
      </w:r>
    </w:p>
    <w:p>
      <w:pPr>
        <w:spacing w:after="0" w:line="200"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As part of the reverse recapitalization, the Company acquired $97.4 million of cash and cash equivalents. The Company also obtained prepaids and other assets of $1.8 million and assumed accounts payable and accrued expenses of $7.8 million. Gemini's development programs had ceased prior to the merger and were deemed to be de minimis in value at the transaction date.</w:t>
      </w:r>
    </w:p>
    <w:p>
      <w:pPr>
        <w:spacing w:after="0" w:line="194"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auto"/>
        </w:rPr>
        <w:t>In addition, the Company recognized $0.6 million in share-based compensation expense as a result of the acceleration of vesting of stock options, performance stock units and restricted stock units at the time of merger. This amount was recorded in general and administrative expense in the accompanying consolidated statements of operations and comprehensive loss for the year ended December 31, 2022. The Company also incurred transaction costs of $7.9 million and this amount is recorded in additional paid-in capital in the accompanying consolidated statements of convertible preferred stock and stockholders’ equity (deficit) for the year ended December 31,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12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Financial assets and liabilities measured at fair value on a recurring basis are summarized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40" w:type="dxa"/>
            <w:vAlign w:val="bottom"/>
            <w:tcBorders>
              <w:bottom w:val="single" w:sz="8" w:color="D4EFF3"/>
            </w:tcBorders>
          </w:tcPr>
          <w:p>
            <w:pPr>
              <w:spacing w:after="0"/>
              <w:rPr>
                <w:sz w:val="15"/>
                <w:szCs w:val="15"/>
                <w:color w:val="auto"/>
              </w:rPr>
            </w:pPr>
          </w:p>
        </w:tc>
        <w:tc>
          <w:tcPr>
            <w:tcW w:w="20" w:type="dxa"/>
            <w:vAlign w:val="bottom"/>
            <w:tcBorders>
              <w:bottom w:val="single" w:sz="8" w:color="D4EFF3"/>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4"/>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Borders>
              <w:bottom w:val="single" w:sz="8" w:color="D4EFF3"/>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4"/>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Borders>
              <w:bottom w:val="single" w:sz="8" w:color="D4EFF3"/>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4"/>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0"/>
        </w:trPr>
        <w:tc>
          <w:tcPr>
            <w:tcW w:w="61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Money market funds in cash and cash equivalents</w:t>
            </w:r>
          </w:p>
        </w:tc>
        <w:tc>
          <w:tcPr>
            <w:tcW w:w="2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40,783</w:t>
            </w:r>
          </w:p>
        </w:tc>
        <w:tc>
          <w:tcPr>
            <w:tcW w:w="16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140" w:type="dxa"/>
            <w:vAlign w:val="bottom"/>
            <w:shd w:val="clear" w:color="auto" w:fill="D4EFF3"/>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40,783</w:t>
            </w:r>
          </w:p>
        </w:tc>
        <w:tc>
          <w:tcPr>
            <w:tcW w:w="16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3"/>
          </w:tcPr>
          <w:p>
            <w:pPr>
              <w:ind w:left="8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Derivative liability</w:t>
            </w:r>
          </w:p>
        </w:tc>
        <w:tc>
          <w:tcPr>
            <w:tcW w:w="240" w:type="dxa"/>
            <w:vAlign w:val="bottom"/>
            <w:gridSpan w:val="2"/>
            <w:shd w:val="clear" w:color="auto" w:fill="D4EFF3"/>
          </w:tcPr>
          <w:p>
            <w:pPr>
              <w:jc w:val="right"/>
              <w:ind w:right="5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D4EFF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3"/>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D4EFF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ind w:left="8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140" w:type="dxa"/>
            <w:vAlign w:val="bottom"/>
            <w:tcBorders>
              <w:bottom w:val="single" w:sz="8" w:color="D4EFF3"/>
            </w:tcBorders>
          </w:tcPr>
          <w:p>
            <w:pPr>
              <w:spacing w:after="0"/>
              <w:rPr>
                <w:sz w:val="15"/>
                <w:szCs w:val="15"/>
                <w:color w:val="auto"/>
              </w:rPr>
            </w:pPr>
          </w:p>
        </w:tc>
        <w:tc>
          <w:tcPr>
            <w:tcW w:w="20" w:type="dxa"/>
            <w:vAlign w:val="bottom"/>
            <w:tcBorders>
              <w:bottom w:val="single" w:sz="8" w:color="D4EFF3"/>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4"/>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Borders>
              <w:bottom w:val="single" w:sz="8" w:color="D4EFF3"/>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4"/>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Borders>
              <w:bottom w:val="single" w:sz="8" w:color="D4EFF3"/>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4"/>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0"/>
        </w:trPr>
        <w:tc>
          <w:tcPr>
            <w:tcW w:w="61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Money market funds in cash and cash equivalents</w:t>
            </w:r>
          </w:p>
        </w:tc>
        <w:tc>
          <w:tcPr>
            <w:tcW w:w="2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86,119</w:t>
            </w:r>
          </w:p>
        </w:tc>
        <w:tc>
          <w:tcPr>
            <w:tcW w:w="16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140" w:type="dxa"/>
            <w:vAlign w:val="bottom"/>
            <w:shd w:val="clear" w:color="auto" w:fill="D4EFF3"/>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86,119</w:t>
            </w:r>
          </w:p>
        </w:tc>
        <w:tc>
          <w:tcPr>
            <w:tcW w:w="16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3"/>
          </w:tcPr>
          <w:p>
            <w:pPr>
              <w:ind w:left="8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Derivative liability</w:t>
            </w:r>
          </w:p>
        </w:tc>
        <w:tc>
          <w:tcPr>
            <w:tcW w:w="240" w:type="dxa"/>
            <w:vAlign w:val="bottom"/>
            <w:gridSpan w:val="2"/>
            <w:shd w:val="clear" w:color="auto" w:fill="D4EFF3"/>
          </w:tcPr>
          <w:p>
            <w:pPr>
              <w:jc w:val="right"/>
              <w:ind w:right="5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D4EFF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3"/>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D4EFF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6,450</w:t>
            </w:r>
          </w:p>
        </w:tc>
        <w:tc>
          <w:tcPr>
            <w:tcW w:w="0" w:type="dxa"/>
            <w:vAlign w:val="bottom"/>
          </w:tcPr>
          <w:p>
            <w:pPr>
              <w:spacing w:after="0"/>
              <w:rPr>
                <w:sz w:val="1"/>
                <w:szCs w:val="1"/>
                <w:color w:val="auto"/>
              </w:rPr>
            </w:pPr>
          </w:p>
        </w:tc>
      </w:tr>
      <w:tr>
        <w:trPr>
          <w:trHeight w:val="220"/>
        </w:trPr>
        <w:tc>
          <w:tcPr>
            <w:tcW w:w="6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ind w:left="8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6,450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fair value of the Company’s cash equivalents, consisting of money market funds, is based on quoted market prices in active markets with no valuation adjustment. There have been no impairments of the Company’s assets measured and carried at fair value during the twelve months ended December 31, 2022 and 2021. In addition, there were no changes in valuation techniques or transfers between Level 1 and Level 2 financial assets during the twelve months ended December 31, 2022 and 2021. The Company did not have any non-recurring fair value measurements on any assets or liabilities during the twelve months ended December 31, 2022 and 2021.</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May 2021, Private Disc entered into a license agreement (the “Roche Agreement”) with F. Hoffmann-La Roche Ltd. and Hoffmann-La Roche Inc. (together, “Roche”) pursuant to which Roche granted Private Disc an exclusive and sublicensable worldwide license under certain patent rights and know-how to develop, manufacture and commercialize certain compounds (the “Compounds”) as further described in Note 8. Private Disc recognized a liability in connection with the Roche Agreement which included an obligation to issue a variable number of shares of the Company's common stock to Roche for no additional consideration upon Private Disc’s completion of an initial public offering or certain merger transactions, a “Roche Qualified</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440"/>
          </w:cols>
          <w:pgMar w:left="900" w:top="696" w:right="900" w:bottom="175" w:gutter="0" w:footer="0" w:header="0"/>
          <w:type w:val="continuous"/>
        </w:sectPr>
      </w:pPr>
    </w:p>
    <w:bookmarkStart w:id="127" w:name="page128"/>
    <w:bookmarkEnd w:id="127"/>
    <w:p>
      <w:pPr>
        <w:ind w:right="100"/>
        <w:spacing w:after="0" w:line="242" w:lineRule="auto"/>
        <w:rPr>
          <w:sz w:val="20"/>
          <w:szCs w:val="20"/>
          <w:color w:val="auto"/>
        </w:rPr>
      </w:pPr>
      <w:r>
        <w:rPr>
          <w:rFonts w:ascii="Times New Roman" w:cs="Times New Roman" w:eastAsia="Times New Roman" w:hAnsi="Times New Roman"/>
          <w:sz w:val="20"/>
          <w:szCs w:val="20"/>
          <w:color w:val="auto"/>
        </w:rPr>
        <w:t>Transaction.” The number of shares of common stock to be issued to Roche was estimated to be approximately 2.85% of the outstanding shares of common stock of the combined company as of immediately after the completion of a Roche Qualified Transaction. Private Disc determined that the obligation to issue common stock upon completion of a Roche Qualified Transaction represented a liability classified financial instrument. The liability was measured at fair value as of each reporting date and the change in the fair value for the period is recorded in the consolidated statements of operations and comprehensive loss in the change in fair value of derivative liability. Prior to settlement in Q4 2022, the fair value measurement of the derivative liability was classified as Level 3 under the fair value hierarchy as it was valued using certain unobservable inputs. These inputs included: (1) the Company’s estimated shares outstanding and fair value per share upon completion of a Roche Qualified Transaction and (2) the probability of the Company completing a Roche Qualified Transaction. The Company settled the derivative liability by issuing common stock to Roche immediately following the completion of the merger. The Company remeasured the derivative liability based on the stock price of its publicly-traded common stock on December 29, 2022. The change in the fair value for the period was recorded in the consolidated statements of operations and comprehensive loss in the change in fair value of derivative liability. The Company then reclassified the resulting amount of the derivative liability to additional paid-in capital.</w:t>
      </w:r>
    </w:p>
    <w:p>
      <w:pPr>
        <w:spacing w:after="0" w:line="93"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provides a summary of changes in fair value of the Level 3 liabilities related to the Roche Agreement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D4EFF3"/>
            </w:tcBorders>
          </w:tcPr>
          <w:p>
            <w:pPr>
              <w:spacing w:after="0"/>
              <w:rPr>
                <w:sz w:val="17"/>
                <w:szCs w:val="17"/>
                <w:color w:val="auto"/>
              </w:rPr>
            </w:pPr>
          </w:p>
        </w:tc>
        <w:tc>
          <w:tcPr>
            <w:tcW w:w="500" w:type="dxa"/>
            <w:vAlign w:val="bottom"/>
            <w:tcBorders>
              <w:bottom w:val="single" w:sz="8" w:color="D4EFF3"/>
            </w:tcBorders>
          </w:tcPr>
          <w:p>
            <w:pPr>
              <w:spacing w:after="0"/>
              <w:rPr>
                <w:sz w:val="17"/>
                <w:szCs w:val="17"/>
                <w:color w:val="auto"/>
              </w:rPr>
            </w:pPr>
          </w:p>
        </w:tc>
        <w:tc>
          <w:tcPr>
            <w:tcW w:w="340" w:type="dxa"/>
            <w:vAlign w:val="bottom"/>
            <w:tcBorders>
              <w:bottom w:val="single" w:sz="8" w:color="D4EFF3"/>
            </w:tcBorders>
          </w:tcPr>
          <w:p>
            <w:pPr>
              <w:spacing w:after="0"/>
              <w:rPr>
                <w:sz w:val="17"/>
                <w:szCs w:val="17"/>
                <w:color w:val="auto"/>
              </w:rPr>
            </w:pPr>
          </w:p>
        </w:tc>
        <w:tc>
          <w:tcPr>
            <w:tcW w:w="1080" w:type="dxa"/>
            <w:vAlign w:val="bottom"/>
            <w:tcBorders>
              <w:bottom w:val="single" w:sz="8" w:color="D4EFF3"/>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Rollforward</w:t>
            </w:r>
          </w:p>
        </w:tc>
        <w:tc>
          <w:tcPr>
            <w:tcW w:w="0" w:type="dxa"/>
            <w:vAlign w:val="bottom"/>
          </w:tcPr>
          <w:p>
            <w:pPr>
              <w:spacing w:after="0"/>
              <w:rPr>
                <w:sz w:val="1"/>
                <w:szCs w:val="1"/>
                <w:color w:val="auto"/>
              </w:rPr>
            </w:pPr>
          </w:p>
        </w:tc>
      </w:tr>
      <w:tr>
        <w:trPr>
          <w:trHeight w:val="220"/>
        </w:trPr>
        <w:tc>
          <w:tcPr>
            <w:tcW w:w="66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2021</w:t>
            </w:r>
          </w:p>
        </w:tc>
        <w:tc>
          <w:tcPr>
            <w:tcW w:w="50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080" w:type="dxa"/>
            <w:vAlign w:val="bottom"/>
            <w:shd w:val="clear" w:color="auto" w:fill="D4EFF3"/>
          </w:tcPr>
          <w:p>
            <w:pPr>
              <w:spacing w:after="0"/>
              <w:rPr>
                <w:sz w:val="19"/>
                <w:szCs w:val="19"/>
                <w:color w:val="auto"/>
              </w:rPr>
            </w:pPr>
          </w:p>
        </w:tc>
        <w:tc>
          <w:tcPr>
            <w:tcW w:w="14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6,450</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derivative liability</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30"/>
        </w:trPr>
        <w:tc>
          <w:tcPr>
            <w:tcW w:w="6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Settlement of derivative liability upon issuance of common stock to Roche</w:t>
            </w:r>
          </w:p>
        </w:tc>
        <w:tc>
          <w:tcPr>
            <w:tcW w:w="50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080" w:type="dxa"/>
            <w:vAlign w:val="bottom"/>
            <w:shd w:val="clear" w:color="auto" w:fill="D4EFF3"/>
          </w:tcPr>
          <w:p>
            <w:pPr>
              <w:spacing w:after="0"/>
              <w:rPr>
                <w:sz w:val="19"/>
                <w:szCs w:val="19"/>
                <w:color w:val="auto"/>
              </w:rPr>
            </w:pPr>
          </w:p>
        </w:tc>
        <w:tc>
          <w:tcPr>
            <w:tcW w:w="140" w:type="dxa"/>
            <w:vAlign w:val="bottom"/>
            <w:tcBorders>
              <w:bottom w:val="single" w:sz="8" w:color="auto"/>
            </w:tcBorders>
            <w:shd w:val="clear" w:color="auto" w:fill="D4EFF3"/>
          </w:tcPr>
          <w:p>
            <w:pPr>
              <w:spacing w:after="0"/>
              <w:rPr>
                <w:sz w:val="19"/>
                <w:szCs w:val="19"/>
                <w:color w:val="auto"/>
              </w:rPr>
            </w:pPr>
          </w:p>
        </w:tc>
        <w:tc>
          <w:tcPr>
            <w:tcW w:w="180" w:type="dxa"/>
            <w:vAlign w:val="bottom"/>
            <w:tcBorders>
              <w:bottom w:val="single" w:sz="8" w:color="auto"/>
            </w:tcBorders>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spacing w:after="0"/>
              <w:rPr>
                <w:sz w:val="19"/>
                <w:szCs w:val="19"/>
                <w:color w:val="auto"/>
              </w:rPr>
            </w:pPr>
          </w:p>
        </w:tc>
        <w:tc>
          <w:tcPr>
            <w:tcW w:w="11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(6,511)</w:t>
            </w:r>
          </w:p>
        </w:tc>
        <w:tc>
          <w:tcPr>
            <w:tcW w:w="0" w:type="dxa"/>
            <w:vAlign w:val="bottom"/>
          </w:tcPr>
          <w:p>
            <w:pPr>
              <w:spacing w:after="0"/>
              <w:rPr>
                <w:sz w:val="1"/>
                <w:szCs w:val="1"/>
                <w:color w:val="auto"/>
              </w:rPr>
            </w:pPr>
          </w:p>
        </w:tc>
      </w:tr>
      <w:tr>
        <w:trPr>
          <w:trHeight w:val="220"/>
        </w:trPr>
        <w:tc>
          <w:tcPr>
            <w:tcW w:w="66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5. Cash, Cash Equivalents and Restricted Cash</w:t>
            </w: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5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Cash, cash equivalents and restricted cash consisted of the following (in thousands):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60" w:type="dxa"/>
            <w:vAlign w:val="bottom"/>
            <w:tcBorders>
              <w:bottom w:val="single" w:sz="8" w:color="D4EFF3"/>
            </w:tcBorders>
          </w:tcPr>
          <w:p>
            <w:pPr>
              <w:spacing w:after="0"/>
              <w:rPr>
                <w:sz w:val="15"/>
                <w:szCs w:val="15"/>
                <w:color w:val="auto"/>
              </w:rPr>
            </w:pPr>
          </w:p>
        </w:tc>
        <w:tc>
          <w:tcPr>
            <w:tcW w:w="500" w:type="dxa"/>
            <w:vAlign w:val="bottom"/>
            <w:tcBorders>
              <w:bottom w:val="single" w:sz="8" w:color="D4EFF3"/>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7"/>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D4EFF3"/>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3"/>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0"/>
        </w:trPr>
        <w:tc>
          <w:tcPr>
            <w:tcW w:w="66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Cash and cash equivalents</w:t>
            </w:r>
          </w:p>
        </w:tc>
        <w:tc>
          <w:tcPr>
            <w:tcW w:w="500" w:type="dxa"/>
            <w:vAlign w:val="bottom"/>
            <w:shd w:val="clear" w:color="auto" w:fill="D4EFF3"/>
          </w:tcPr>
          <w:p>
            <w:pPr>
              <w:spacing w:after="0"/>
              <w:rPr>
                <w:sz w:val="19"/>
                <w:szCs w:val="19"/>
                <w:color w:val="auto"/>
              </w:rPr>
            </w:pPr>
          </w:p>
        </w:tc>
        <w:tc>
          <w:tcPr>
            <w:tcW w:w="340" w:type="dxa"/>
            <w:vAlign w:val="bottom"/>
            <w:shd w:val="clear" w:color="auto" w:fill="D4EFF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194,611</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jc w:val="right"/>
              <w:ind w:right="2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88,036</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50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00"/>
        </w:trPr>
        <w:tc>
          <w:tcPr>
            <w:tcW w:w="6660" w:type="dxa"/>
            <w:vAlign w:val="bottom"/>
            <w:shd w:val="clear" w:color="auto" w:fill="D4EFF3"/>
          </w:tcPr>
          <w:p>
            <w:pPr>
              <w:spacing w:after="0" w:line="201" w:lineRule="exact"/>
              <w:rPr>
                <w:sz w:val="20"/>
                <w:szCs w:val="20"/>
                <w:color w:val="auto"/>
              </w:rPr>
            </w:pPr>
            <w:r>
              <w:rPr>
                <w:rFonts w:ascii="Times New Roman" w:cs="Times New Roman" w:eastAsia="Times New Roman" w:hAnsi="Times New Roman"/>
                <w:sz w:val="20"/>
                <w:szCs w:val="20"/>
                <w:color w:val="auto"/>
              </w:rPr>
              <w:t>Total cash, cash equivalents and restricted cash as shown on the consolidated</w:t>
            </w:r>
          </w:p>
        </w:tc>
        <w:tc>
          <w:tcPr>
            <w:tcW w:w="500" w:type="dxa"/>
            <w:vAlign w:val="bottom"/>
            <w:shd w:val="clear" w:color="auto" w:fill="D4EFF3"/>
          </w:tcPr>
          <w:p>
            <w:pPr>
              <w:spacing w:after="0"/>
              <w:rPr>
                <w:sz w:val="17"/>
                <w:szCs w:val="17"/>
                <w:color w:val="auto"/>
              </w:rPr>
            </w:pPr>
          </w:p>
        </w:tc>
        <w:tc>
          <w:tcPr>
            <w:tcW w:w="340" w:type="dxa"/>
            <w:vAlign w:val="bottom"/>
            <w:shd w:val="clear" w:color="auto" w:fill="D4EFF3"/>
          </w:tcPr>
          <w:p>
            <w:pPr>
              <w:spacing w:after="0"/>
              <w:rPr>
                <w:sz w:val="17"/>
                <w:szCs w:val="17"/>
                <w:color w:val="auto"/>
              </w:rPr>
            </w:pPr>
          </w:p>
        </w:tc>
        <w:tc>
          <w:tcPr>
            <w:tcW w:w="1080" w:type="dxa"/>
            <w:vAlign w:val="bottom"/>
            <w:shd w:val="clear" w:color="auto" w:fill="D4EFF3"/>
          </w:tcPr>
          <w:p>
            <w:pPr>
              <w:spacing w:after="0"/>
              <w:rPr>
                <w:sz w:val="17"/>
                <w:szCs w:val="17"/>
                <w:color w:val="auto"/>
              </w:rPr>
            </w:pPr>
          </w:p>
        </w:tc>
        <w:tc>
          <w:tcPr>
            <w:tcW w:w="140" w:type="dxa"/>
            <w:vAlign w:val="bottom"/>
            <w:shd w:val="clear" w:color="auto" w:fill="D4EFF3"/>
          </w:tcPr>
          <w:p>
            <w:pPr>
              <w:spacing w:after="0"/>
              <w:rPr>
                <w:sz w:val="17"/>
                <w:szCs w:val="17"/>
                <w:color w:val="auto"/>
              </w:rPr>
            </w:pPr>
          </w:p>
        </w:tc>
        <w:tc>
          <w:tcPr>
            <w:tcW w:w="180" w:type="dxa"/>
            <w:vAlign w:val="bottom"/>
            <w:shd w:val="clear" w:color="auto" w:fill="D4EFF3"/>
          </w:tcPr>
          <w:p>
            <w:pPr>
              <w:spacing w:after="0"/>
              <w:rPr>
                <w:sz w:val="17"/>
                <w:szCs w:val="17"/>
                <w:color w:val="auto"/>
              </w:rPr>
            </w:pPr>
          </w:p>
        </w:tc>
        <w:tc>
          <w:tcPr>
            <w:tcW w:w="440" w:type="dxa"/>
            <w:vAlign w:val="bottom"/>
            <w:shd w:val="clear" w:color="auto" w:fill="D4EFF3"/>
          </w:tcPr>
          <w:p>
            <w:pPr>
              <w:spacing w:after="0"/>
              <w:rPr>
                <w:sz w:val="17"/>
                <w:szCs w:val="17"/>
                <w:color w:val="auto"/>
              </w:rPr>
            </w:pPr>
          </w:p>
        </w:tc>
        <w:tc>
          <w:tcPr>
            <w:tcW w:w="1100" w:type="dxa"/>
            <w:vAlign w:val="bottom"/>
            <w:shd w:val="clear" w:color="auto" w:fill="D4EFF3"/>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660" w:type="dxa"/>
            <w:vAlign w:val="bottom"/>
            <w:shd w:val="clear" w:color="auto" w:fill="D4EFF3"/>
          </w:tcPr>
          <w:p>
            <w:pPr>
              <w:ind w:left="140"/>
              <w:spacing w:after="0"/>
              <w:rPr>
                <w:sz w:val="20"/>
                <w:szCs w:val="20"/>
                <w:color w:val="auto"/>
              </w:rPr>
            </w:pPr>
            <w:r>
              <w:rPr>
                <w:rFonts w:ascii="Times New Roman" w:cs="Times New Roman" w:eastAsia="Times New Roman" w:hAnsi="Times New Roman"/>
                <w:sz w:val="20"/>
                <w:szCs w:val="20"/>
                <w:color w:val="auto"/>
              </w:rPr>
              <w:t>statements of cash flows</w:t>
            </w:r>
          </w:p>
        </w:tc>
        <w:tc>
          <w:tcPr>
            <w:tcW w:w="500" w:type="dxa"/>
            <w:vAlign w:val="bottom"/>
            <w:shd w:val="clear" w:color="auto" w:fill="D4EFF3"/>
          </w:tcPr>
          <w:p>
            <w:pPr>
              <w:spacing w:after="0"/>
              <w:rPr>
                <w:sz w:val="21"/>
                <w:szCs w:val="21"/>
                <w:color w:val="auto"/>
              </w:rPr>
            </w:pPr>
          </w:p>
        </w:tc>
        <w:tc>
          <w:tcPr>
            <w:tcW w:w="340" w:type="dxa"/>
            <w:vAlign w:val="bottom"/>
            <w:tcBorders>
              <w:bottom w:val="single" w:sz="8" w:color="auto"/>
            </w:tcBorders>
            <w:shd w:val="clear" w:color="auto" w:fill="D4EFF3"/>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194,788</w:t>
            </w:r>
          </w:p>
        </w:tc>
        <w:tc>
          <w:tcPr>
            <w:tcW w:w="180" w:type="dxa"/>
            <w:vAlign w:val="bottom"/>
            <w:shd w:val="clear" w:color="auto" w:fill="D4EFF3"/>
          </w:tcPr>
          <w:p>
            <w:pPr>
              <w:spacing w:after="0"/>
              <w:rPr>
                <w:sz w:val="21"/>
                <w:szCs w:val="21"/>
                <w:color w:val="auto"/>
              </w:rPr>
            </w:pPr>
          </w:p>
        </w:tc>
        <w:tc>
          <w:tcPr>
            <w:tcW w:w="440" w:type="dxa"/>
            <w:vAlign w:val="bottom"/>
            <w:tcBorders>
              <w:bottom w:val="single" w:sz="8" w:color="auto"/>
            </w:tcBorders>
            <w:shd w:val="clear" w:color="auto" w:fill="D4EFF3"/>
          </w:tcPr>
          <w:p>
            <w:pPr>
              <w:jc w:val="right"/>
              <w:ind w:right="24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88,213</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6. Property and Equipment, Net</w:t>
            </w: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6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7"/>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3"/>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0"/>
        </w:trPr>
        <w:tc>
          <w:tcPr>
            <w:tcW w:w="66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19"/>
                <w:szCs w:val="19"/>
                <w:color w:val="auto"/>
              </w:rPr>
            </w:pPr>
          </w:p>
        </w:tc>
        <w:tc>
          <w:tcPr>
            <w:tcW w:w="440" w:type="dxa"/>
            <w:vAlign w:val="bottom"/>
          </w:tcPr>
          <w:p>
            <w:pPr>
              <w:jc w:val="right"/>
              <w:ind w:right="2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30"/>
        </w:trPr>
        <w:tc>
          <w:tcPr>
            <w:tcW w:w="6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50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50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20"/>
        </w:trPr>
        <w:tc>
          <w:tcPr>
            <w:tcW w:w="66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Property and equipment, net</w:t>
            </w:r>
          </w:p>
        </w:tc>
        <w:tc>
          <w:tcPr>
            <w:tcW w:w="500" w:type="dxa"/>
            <w:vAlign w:val="bottom"/>
            <w:shd w:val="clear" w:color="auto" w:fill="D4EFF3"/>
          </w:tcPr>
          <w:p>
            <w:pPr>
              <w:spacing w:after="0"/>
              <w:rPr>
                <w:sz w:val="19"/>
                <w:szCs w:val="19"/>
                <w:color w:val="auto"/>
              </w:rPr>
            </w:pPr>
          </w:p>
        </w:tc>
        <w:tc>
          <w:tcPr>
            <w:tcW w:w="340" w:type="dxa"/>
            <w:vAlign w:val="bottom"/>
            <w:tcBorders>
              <w:bottom w:val="single" w:sz="8" w:color="auto"/>
            </w:tcBorders>
            <w:shd w:val="clear" w:color="auto" w:fill="D4EFF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gridSpan w:val="2"/>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168</w:t>
            </w:r>
          </w:p>
        </w:tc>
        <w:tc>
          <w:tcPr>
            <w:tcW w:w="180" w:type="dxa"/>
            <w:vAlign w:val="bottom"/>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jc w:val="right"/>
              <w:ind w:right="2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7. Accrued Expenses</w:t>
            </w: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6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Accrued expenses consisted of the following (in thousands):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60" w:type="dxa"/>
            <w:vAlign w:val="bottom"/>
            <w:tcBorders>
              <w:bottom w:val="single" w:sz="8" w:color="D4EFF3"/>
            </w:tcBorders>
          </w:tcPr>
          <w:p>
            <w:pPr>
              <w:spacing w:after="0"/>
              <w:rPr>
                <w:sz w:val="15"/>
                <w:szCs w:val="15"/>
                <w:color w:val="auto"/>
              </w:rPr>
            </w:pPr>
          </w:p>
        </w:tc>
        <w:tc>
          <w:tcPr>
            <w:tcW w:w="500" w:type="dxa"/>
            <w:vAlign w:val="bottom"/>
            <w:tcBorders>
              <w:bottom w:val="single" w:sz="8" w:color="D4EFF3"/>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7"/>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D4EFF3"/>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3"/>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0"/>
        </w:trPr>
        <w:tc>
          <w:tcPr>
            <w:tcW w:w="66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Accrued employee-related expenses</w:t>
            </w:r>
          </w:p>
        </w:tc>
        <w:tc>
          <w:tcPr>
            <w:tcW w:w="500" w:type="dxa"/>
            <w:vAlign w:val="bottom"/>
            <w:shd w:val="clear" w:color="auto" w:fill="D4EFF3"/>
          </w:tcPr>
          <w:p>
            <w:pPr>
              <w:spacing w:after="0"/>
              <w:rPr>
                <w:sz w:val="19"/>
                <w:szCs w:val="19"/>
                <w:color w:val="auto"/>
              </w:rPr>
            </w:pPr>
          </w:p>
        </w:tc>
        <w:tc>
          <w:tcPr>
            <w:tcW w:w="340" w:type="dxa"/>
            <w:vAlign w:val="bottom"/>
            <w:shd w:val="clear" w:color="auto" w:fill="D4EFF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3,623</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jc w:val="right"/>
              <w:ind w:right="2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1,177</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Accrued research and development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2,297</w:t>
            </w:r>
          </w:p>
        </w:tc>
        <w:tc>
          <w:tcPr>
            <w:tcW w:w="0" w:type="dxa"/>
            <w:vAlign w:val="bottom"/>
          </w:tcPr>
          <w:p>
            <w:pPr>
              <w:spacing w:after="0"/>
              <w:rPr>
                <w:sz w:val="1"/>
                <w:szCs w:val="1"/>
                <w:color w:val="auto"/>
              </w:rPr>
            </w:pPr>
          </w:p>
        </w:tc>
      </w:tr>
      <w:tr>
        <w:trPr>
          <w:trHeight w:val="230"/>
        </w:trPr>
        <w:tc>
          <w:tcPr>
            <w:tcW w:w="6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Accrued professional fees</w:t>
            </w:r>
          </w:p>
        </w:tc>
        <w:tc>
          <w:tcPr>
            <w:tcW w:w="50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601</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500" w:type="dxa"/>
            <w:vAlign w:val="bottom"/>
            <w:tcBorders>
              <w:bottom w:val="single" w:sz="8" w:color="D4EFF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20"/>
        </w:trPr>
        <w:tc>
          <w:tcPr>
            <w:tcW w:w="66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Total accrued expenses</w:t>
            </w:r>
          </w:p>
        </w:tc>
        <w:tc>
          <w:tcPr>
            <w:tcW w:w="500" w:type="dxa"/>
            <w:vAlign w:val="bottom"/>
            <w:shd w:val="clear" w:color="auto" w:fill="D4EFF3"/>
          </w:tcPr>
          <w:p>
            <w:pPr>
              <w:spacing w:after="0"/>
              <w:rPr>
                <w:sz w:val="19"/>
                <w:szCs w:val="19"/>
                <w:color w:val="auto"/>
              </w:rPr>
            </w:pPr>
          </w:p>
        </w:tc>
        <w:tc>
          <w:tcPr>
            <w:tcW w:w="340" w:type="dxa"/>
            <w:vAlign w:val="bottom"/>
            <w:tcBorders>
              <w:bottom w:val="single" w:sz="8" w:color="auto"/>
            </w:tcBorders>
            <w:shd w:val="clear" w:color="auto" w:fill="D4EFF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gridSpan w:val="2"/>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6,109</w:t>
            </w:r>
          </w:p>
        </w:tc>
        <w:tc>
          <w:tcPr>
            <w:tcW w:w="180" w:type="dxa"/>
            <w:vAlign w:val="bottom"/>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jc w:val="right"/>
              <w:ind w:right="2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4,096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440"/>
          </w:cols>
          <w:pgMar w:left="900" w:top="700" w:right="900" w:bottom="175"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8. Development and License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and Master Service Agreement with Aurigene Discoveries Technology Limited (“Aurigene”)</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February 2018, Private Disc entered into a license agreement with Aurigene, pursuant to which Aurigene granted Private Disc an exclusive worldwide license, with the right to grant sublicenses, to certain Aurigene intellectual property. Concurrent with the execution of the Aurigene license agreement, the parties entered into a master services agreement, which provided for Aurigene to provide future development services to the Company on a full-time equivalent cost basis and consumable costs incurred basis. In December 2022, the master service agreement was terminated.</w:t>
      </w:r>
    </w:p>
    <w:p>
      <w:pPr>
        <w:spacing w:after="0" w:line="7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Pursuant to the license agreement, Private Disc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8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During the twelve months ended December 31, 2022 and 2021, the Company recorded research and development expense of $0.8 million and $1.7 million, respectively, related to its arrangements with Aurigene.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Stock Purchase Agreement with AbbVie Deutschland GmbH &amp; Co. KG (“AbbVie”)</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In September 2019, Private Disc entered into an agreement with AbbVie, pursuant to which AbbVie granted Private Disc an exclusive license, with the right to grant sublicenses, to certain AbbVie intellectual property.</w:t>
      </w:r>
    </w:p>
    <w:p>
      <w:pPr>
        <w:spacing w:after="0" w:line="4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Under this agreement, Private Disc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December 31, 2022, none of the milestones had been achieved.</w:t>
      </w:r>
    </w:p>
    <w:p>
      <w:pPr>
        <w:spacing w:after="0" w:line="7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Roche</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In connection with the Roche Agreement, Private Disc paid Roche an upfront, non-refundable exclusivity payment of $0.5 million in March 2021. Upon execution of the Roche Agreement in May 2021, Private Disc paid Roche an additional upfront, non-refundable payment of $4.0 million.</w:t>
      </w:r>
    </w:p>
    <w:p>
      <w:pPr>
        <w:spacing w:after="0" w:line="6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Company is obligated to make contingent payments to Roche totaling up to $205.0 million upon achievement of certain development, regulatory and commercial milestones. Roche is also eligible to receive tiered royalties on net sales of commercialized products, at rates ranging from high single-digits to high teens.</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Private Disc was obligated to issue shares of the Company to Roche in connection with the completion of a Roche Qualified Transaction as defined by the Roche Agreement.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Private Disc had determined that the obligation to issue common stock upon completion of a Roche Qualified Transaction represented a liability classified financial instrument. The resulting liability was initially recorded at fair value in research and development expense, with gains and losses arising from changes in fair value recognized in other income (expense), net in the consolidated statement of operations and comprehensive loss at each period while the instrument was outstanding.</w:t>
      </w:r>
    </w:p>
    <w:p>
      <w:pPr>
        <w:spacing w:after="0" w:line="8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During the twelve months ended December 31, 2022, the Company recorded research and development expense of $0.3 million for a material transfer per the Roche Agreement. During the twelve months ended December 31, 2021, Private Disc recorded research and development expense of $5.9 million related to the Roche Agreement, comprised of the upfront payment of $4.5 million and the initial fair value of the derivative liability of $1.4 million. During the twelve months ended December 31, 2022 and 2021, the Company recorded expense of less than $0.1 million and $5.1 million, respectively, within other income (expense), net, related to the change in fair value of the derivative liability.</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440"/>
          </w:cols>
          <w:pgMar w:left="900" w:top="696" w:right="900" w:bottom="175" w:gutter="0" w:footer="0" w:header="0"/>
          <w:type w:val="continuous"/>
        </w:sectPr>
      </w:pPr>
    </w:p>
    <w:bookmarkStart w:id="129" w:name="page130"/>
    <w:bookmarkEnd w:id="129"/>
    <w:p>
      <w:pPr>
        <w:ind w:right="620" w:firstLine="490"/>
        <w:spacing w:after="0" w:line="305" w:lineRule="auto"/>
        <w:rPr>
          <w:sz w:val="20"/>
          <w:szCs w:val="20"/>
          <w:color w:val="auto"/>
        </w:rPr>
      </w:pPr>
      <w:r>
        <w:rPr>
          <w:rFonts w:ascii="Times New Roman" w:cs="Times New Roman" w:eastAsia="Times New Roman" w:hAnsi="Times New Roman"/>
          <w:sz w:val="19"/>
          <w:szCs w:val="19"/>
          <w:color w:val="auto"/>
        </w:rPr>
        <w:t>Upon completion of the merger, the Company issued 482,313 shares of common stock to Roche, thereby settling the derivative liability, with the fair value of the common stock at the time of issuance recorded as additional paid-in capital.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Convertible Preferred Stock</w:t>
      </w:r>
    </w:p>
    <w:p>
      <w:pPr>
        <w:spacing w:after="0" w:line="24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2022, the Company was authorized to issue up to 10,000,000 shares of preferred stock at a par value of $0.0001, with no shares issued or outstanding.</w:t>
      </w:r>
    </w:p>
    <w:p>
      <w:pPr>
        <w:spacing w:after="0" w:line="169"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Immediately prior to the Effective Time, each share of Private Disc’s preferred stock was converted into a share of Private Disc’s common stock. At the closing of the merger, the shares of Private Disc's common stock were converted into shares of the Company's common stock based on the Exchange Ratio.</w:t>
      </w:r>
    </w:p>
    <w:p>
      <w:pPr>
        <w:spacing w:after="0" w:line="18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2021, the Preferred Stock authorized, issued and outstanding consisted of the following (in thousands, except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1360" w:type="dxa"/>
            <w:vAlign w:val="bottom"/>
            <w:vMerge w:val="restart"/>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0" w:type="dxa"/>
            <w:vAlign w:val="bottom"/>
          </w:tcPr>
          <w:p>
            <w:pPr>
              <w:spacing w:after="0"/>
              <w:rPr>
                <w:sz w:val="13"/>
                <w:szCs w:val="13"/>
                <w:color w:val="auto"/>
              </w:rPr>
            </w:pPr>
          </w:p>
        </w:tc>
        <w:tc>
          <w:tcPr>
            <w:tcW w:w="1220" w:type="dxa"/>
            <w:vAlign w:val="bottom"/>
          </w:tcPr>
          <w:p>
            <w:pPr>
              <w:jc w:val="center"/>
              <w:ind w:right="13"/>
              <w:spacing w:after="0" w:line="155"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7"/>
              </w:rPr>
              <w:t>Stock Issued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36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5"/>
                <w:szCs w:val="15"/>
                <w:color w:val="auto"/>
              </w:rPr>
            </w:pPr>
          </w:p>
        </w:tc>
        <w:tc>
          <w:tcPr>
            <w:tcW w:w="122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2"/>
              </w:rPr>
              <w:t>and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Issuable Upon</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D4EFF3"/>
            </w:tcBorders>
          </w:tcPr>
          <w:p>
            <w:pPr>
              <w:spacing w:after="0"/>
              <w:rPr>
                <w:sz w:val="17"/>
                <w:szCs w:val="17"/>
                <w:color w:val="auto"/>
              </w:rPr>
            </w:pPr>
          </w:p>
        </w:tc>
        <w:tc>
          <w:tcPr>
            <w:tcW w:w="136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00" w:type="dxa"/>
            <w:vAlign w:val="bottom"/>
            <w:tcBorders>
              <w:bottom w:val="single" w:sz="8" w:color="D4EFF3"/>
            </w:tcBorders>
          </w:tcPr>
          <w:p>
            <w:pPr>
              <w:spacing w:after="0"/>
              <w:rPr>
                <w:sz w:val="17"/>
                <w:szCs w:val="17"/>
                <w:color w:val="auto"/>
              </w:rPr>
            </w:pPr>
          </w:p>
        </w:tc>
        <w:tc>
          <w:tcPr>
            <w:tcW w:w="12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 w:type="dxa"/>
            <w:vAlign w:val="bottom"/>
            <w:tcBorders>
              <w:bottom w:val="single" w:sz="8" w:color="D4EFF3"/>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D4EFF3"/>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D4EFF3"/>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Conversion</w:t>
            </w:r>
          </w:p>
        </w:tc>
        <w:tc>
          <w:tcPr>
            <w:tcW w:w="0" w:type="dxa"/>
            <w:vAlign w:val="bottom"/>
          </w:tcPr>
          <w:p>
            <w:pPr>
              <w:spacing w:after="0"/>
              <w:rPr>
                <w:sz w:val="1"/>
                <w:szCs w:val="1"/>
                <w:color w:val="auto"/>
              </w:rPr>
            </w:pPr>
          </w:p>
        </w:tc>
      </w:tr>
      <w:tr>
        <w:trPr>
          <w:trHeight w:val="220"/>
        </w:trPr>
        <w:tc>
          <w:tcPr>
            <w:tcW w:w="428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Series Seed</w:t>
            </w:r>
          </w:p>
        </w:tc>
        <w:tc>
          <w:tcPr>
            <w:tcW w:w="1360" w:type="dxa"/>
            <w:vAlign w:val="bottom"/>
            <w:shd w:val="clear" w:color="auto" w:fill="D4EFF3"/>
          </w:tcPr>
          <w:p>
            <w:pPr>
              <w:jc w:val="right"/>
              <w:ind w:right="9"/>
              <w:spacing w:after="0" w:line="220" w:lineRule="exact"/>
              <w:rPr>
                <w:sz w:val="20"/>
                <w:szCs w:val="20"/>
                <w:color w:val="auto"/>
              </w:rPr>
            </w:pPr>
            <w:r>
              <w:rPr>
                <w:rFonts w:ascii="Times New Roman" w:cs="Times New Roman" w:eastAsia="Times New Roman" w:hAnsi="Times New Roman"/>
                <w:sz w:val="20"/>
                <w:szCs w:val="20"/>
                <w:color w:val="auto"/>
              </w:rPr>
              <w:t>5,000,000</w:t>
            </w:r>
          </w:p>
        </w:tc>
        <w:tc>
          <w:tcPr>
            <w:tcW w:w="10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13"/>
              <w:spacing w:after="0" w:line="220" w:lineRule="exact"/>
              <w:rPr>
                <w:sz w:val="20"/>
                <w:szCs w:val="20"/>
                <w:color w:val="auto"/>
              </w:rPr>
            </w:pPr>
            <w:r>
              <w:rPr>
                <w:rFonts w:ascii="Times New Roman" w:cs="Times New Roman" w:eastAsia="Times New Roman" w:hAnsi="Times New Roman"/>
                <w:sz w:val="20"/>
                <w:szCs w:val="20"/>
                <w:color w:val="auto"/>
              </w:rPr>
              <w:t>5,000,000</w:t>
            </w:r>
          </w:p>
        </w:tc>
        <w:tc>
          <w:tcPr>
            <w:tcW w:w="120" w:type="dxa"/>
            <w:vAlign w:val="bottom"/>
            <w:shd w:val="clear" w:color="auto" w:fill="D4EFF3"/>
          </w:tcPr>
          <w:p>
            <w:pPr>
              <w:spacing w:after="0"/>
              <w:rPr>
                <w:sz w:val="19"/>
                <w:szCs w:val="19"/>
                <w:color w:val="auto"/>
              </w:rPr>
            </w:pPr>
          </w:p>
        </w:tc>
        <w:tc>
          <w:tcPr>
            <w:tcW w:w="12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4EFF3"/>
          </w:tcPr>
          <w:p>
            <w:pPr>
              <w:jc w:val="right"/>
              <w:ind w:right="27"/>
              <w:spacing w:after="0" w:line="220" w:lineRule="exact"/>
              <w:rPr>
                <w:sz w:val="20"/>
                <w:szCs w:val="20"/>
                <w:color w:val="auto"/>
              </w:rPr>
            </w:pPr>
            <w:r>
              <w:rPr>
                <w:rFonts w:ascii="Times New Roman" w:cs="Times New Roman" w:eastAsia="Times New Roman" w:hAnsi="Times New Roman"/>
                <w:sz w:val="20"/>
                <w:szCs w:val="20"/>
                <w:color w:val="auto"/>
              </w:rPr>
              <w:t>2,350</w:t>
            </w:r>
          </w:p>
        </w:tc>
        <w:tc>
          <w:tcPr>
            <w:tcW w:w="10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5,000</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11"/>
              <w:spacing w:after="0" w:line="220" w:lineRule="exact"/>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Series A</w:t>
            </w: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41,666,666</w:t>
            </w:r>
          </w:p>
        </w:tc>
        <w:tc>
          <w:tcPr>
            <w:tcW w:w="10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41,666,666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49,762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50,000</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41,666,666</w:t>
            </w:r>
          </w:p>
        </w:tc>
        <w:tc>
          <w:tcPr>
            <w:tcW w:w="0" w:type="dxa"/>
            <w:vAlign w:val="bottom"/>
          </w:tcPr>
          <w:p>
            <w:pPr>
              <w:spacing w:after="0"/>
              <w:rPr>
                <w:sz w:val="1"/>
                <w:szCs w:val="1"/>
                <w:color w:val="auto"/>
              </w:rPr>
            </w:pPr>
          </w:p>
        </w:tc>
      </w:tr>
      <w:tr>
        <w:trPr>
          <w:trHeight w:val="250"/>
        </w:trPr>
        <w:tc>
          <w:tcPr>
            <w:tcW w:w="42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Series B</w:t>
            </w:r>
          </w:p>
        </w:tc>
        <w:tc>
          <w:tcPr>
            <w:tcW w:w="1360" w:type="dxa"/>
            <w:vAlign w:val="bottom"/>
            <w:shd w:val="clear" w:color="auto" w:fill="D4EFF3"/>
          </w:tcPr>
          <w:p>
            <w:pPr>
              <w:jc w:val="right"/>
              <w:ind w:right="9"/>
              <w:spacing w:after="0"/>
              <w:rPr>
                <w:sz w:val="20"/>
                <w:szCs w:val="20"/>
                <w:color w:val="auto"/>
              </w:rPr>
            </w:pPr>
            <w:r>
              <w:rPr>
                <w:rFonts w:ascii="Times New Roman" w:cs="Times New Roman" w:eastAsia="Times New Roman" w:hAnsi="Times New Roman"/>
                <w:sz w:val="20"/>
                <w:szCs w:val="20"/>
                <w:color w:val="auto"/>
              </w:rPr>
              <w:t>37,499,999</w:t>
            </w:r>
          </w:p>
        </w:tc>
        <w:tc>
          <w:tcPr>
            <w:tcW w:w="1320" w:type="dxa"/>
            <w:vAlign w:val="bottom"/>
            <w:gridSpan w:val="2"/>
            <w:shd w:val="clear" w:color="auto" w:fill="D4EFF3"/>
          </w:tcPr>
          <w:p>
            <w:pPr>
              <w:jc w:val="right"/>
              <w:ind w:right="13"/>
              <w:spacing w:after="0"/>
              <w:rPr>
                <w:sz w:val="20"/>
                <w:szCs w:val="20"/>
                <w:color w:val="auto"/>
              </w:rPr>
            </w:pPr>
            <w:r>
              <w:rPr>
                <w:rFonts w:ascii="Times New Roman" w:cs="Times New Roman" w:eastAsia="Times New Roman" w:hAnsi="Times New Roman"/>
                <w:sz w:val="20"/>
                <w:szCs w:val="20"/>
                <w:color w:val="auto"/>
              </w:rPr>
              <w:t>37,499,999</w:t>
            </w:r>
          </w:p>
        </w:tc>
        <w:tc>
          <w:tcPr>
            <w:tcW w:w="120" w:type="dxa"/>
            <w:vAlign w:val="bottom"/>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40" w:type="dxa"/>
            <w:vAlign w:val="bottom"/>
            <w:shd w:val="clear" w:color="auto" w:fill="D4EFF3"/>
          </w:tcPr>
          <w:p>
            <w:pPr>
              <w:jc w:val="right"/>
              <w:ind w:right="27"/>
              <w:spacing w:after="0"/>
              <w:rPr>
                <w:sz w:val="20"/>
                <w:szCs w:val="20"/>
                <w:color w:val="auto"/>
              </w:rPr>
            </w:pPr>
            <w:r>
              <w:rPr>
                <w:rFonts w:ascii="Times New Roman" w:cs="Times New Roman" w:eastAsia="Times New Roman" w:hAnsi="Times New Roman"/>
                <w:sz w:val="20"/>
                <w:szCs w:val="20"/>
                <w:color w:val="auto"/>
              </w:rPr>
              <w:t>89,744</w:t>
            </w: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80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90,000</w:t>
            </w:r>
          </w:p>
        </w:tc>
        <w:tc>
          <w:tcPr>
            <w:tcW w:w="1240" w:type="dxa"/>
            <w:vAlign w:val="bottom"/>
            <w:gridSpan w:val="2"/>
            <w:shd w:val="clear" w:color="auto" w:fill="D4EFF3"/>
          </w:tcPr>
          <w:p>
            <w:pPr>
              <w:jc w:val="right"/>
              <w:ind w:right="11"/>
              <w:spacing w:after="0"/>
              <w:rPr>
                <w:sz w:val="20"/>
                <w:szCs w:val="20"/>
                <w:color w:val="auto"/>
              </w:rPr>
            </w:pPr>
            <w:r>
              <w:rPr>
                <w:rFonts w:ascii="Times New Roman" w:cs="Times New Roman" w:eastAsia="Times New Roman" w:hAnsi="Times New Roman"/>
                <w:sz w:val="20"/>
                <w:szCs w:val="20"/>
                <w:color w:val="auto"/>
              </w:rPr>
              <w:t>37,499,999</w:t>
            </w:r>
          </w:p>
        </w:tc>
        <w:tc>
          <w:tcPr>
            <w:tcW w:w="0" w:type="dxa"/>
            <w:vAlign w:val="bottom"/>
          </w:tcPr>
          <w:p>
            <w:pPr>
              <w:spacing w:after="0"/>
              <w:rPr>
                <w:sz w:val="1"/>
                <w:szCs w:val="1"/>
                <w:color w:val="auto"/>
              </w:rPr>
            </w:pPr>
          </w:p>
        </w:tc>
      </w:tr>
      <w:tr>
        <w:trPr>
          <w:trHeight w:val="200"/>
        </w:trPr>
        <w:tc>
          <w:tcPr>
            <w:tcW w:w="4280" w:type="dxa"/>
            <w:vAlign w:val="bottom"/>
            <w:tcBorders>
              <w:top w:val="single" w:sz="8" w:color="D4EFF3"/>
            </w:tcBorders>
          </w:tcPr>
          <w:p>
            <w:pPr>
              <w:ind w:left="200"/>
              <w:spacing w:after="0" w:line="200" w:lineRule="exact"/>
              <w:rPr>
                <w:sz w:val="20"/>
                <w:szCs w:val="20"/>
                <w:color w:val="auto"/>
              </w:rPr>
            </w:pPr>
            <w:r>
              <w:rPr>
                <w:rFonts w:ascii="Times New Roman" w:cs="Times New Roman" w:eastAsia="Times New Roman" w:hAnsi="Times New Roman"/>
                <w:sz w:val="20"/>
                <w:szCs w:val="20"/>
                <w:color w:val="auto"/>
              </w:rPr>
              <w:t>Total</w:t>
            </w:r>
          </w:p>
        </w:tc>
        <w:tc>
          <w:tcPr>
            <w:tcW w:w="1360" w:type="dxa"/>
            <w:vAlign w:val="bottom"/>
            <w:tcBorders>
              <w:top w:val="single" w:sz="8" w:color="auto"/>
              <w:bottom w:val="single" w:sz="8" w:color="auto"/>
            </w:tcBorders>
          </w:tcPr>
          <w:p>
            <w:pPr>
              <w:jc w:val="right"/>
              <w:ind w:right="9"/>
              <w:spacing w:after="0" w:line="200" w:lineRule="exact"/>
              <w:rPr>
                <w:sz w:val="20"/>
                <w:szCs w:val="20"/>
                <w:color w:val="auto"/>
              </w:rPr>
            </w:pPr>
            <w:r>
              <w:rPr>
                <w:rFonts w:ascii="Times New Roman" w:cs="Times New Roman" w:eastAsia="Times New Roman" w:hAnsi="Times New Roman"/>
                <w:sz w:val="20"/>
                <w:szCs w:val="20"/>
                <w:color w:val="auto"/>
              </w:rPr>
              <w:t>84,166,665</w:t>
            </w:r>
          </w:p>
        </w:tc>
        <w:tc>
          <w:tcPr>
            <w:tcW w:w="100" w:type="dxa"/>
            <w:vAlign w:val="bottom"/>
            <w:tcBorders>
              <w:top w:val="single" w:sz="8" w:color="D4EFF3"/>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3"/>
              <w:spacing w:after="0" w:line="200" w:lineRule="exact"/>
              <w:rPr>
                <w:sz w:val="20"/>
                <w:szCs w:val="20"/>
                <w:color w:val="auto"/>
              </w:rPr>
            </w:pPr>
            <w:r>
              <w:rPr>
                <w:rFonts w:ascii="Times New Roman" w:cs="Times New Roman" w:eastAsia="Times New Roman" w:hAnsi="Times New Roman"/>
                <w:sz w:val="20"/>
                <w:szCs w:val="20"/>
                <w:color w:val="auto"/>
              </w:rPr>
              <w:t>84,166,665</w:t>
            </w:r>
          </w:p>
        </w:tc>
        <w:tc>
          <w:tcPr>
            <w:tcW w:w="120" w:type="dxa"/>
            <w:vAlign w:val="bottom"/>
            <w:tcBorders>
              <w:top w:val="single" w:sz="8" w:color="D4EFF3"/>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ind w:right="27"/>
              <w:spacing w:after="0" w:line="200" w:lineRule="exact"/>
              <w:rPr>
                <w:sz w:val="20"/>
                <w:szCs w:val="20"/>
                <w:color w:val="auto"/>
              </w:rPr>
            </w:pPr>
            <w:r>
              <w:rPr>
                <w:rFonts w:ascii="Times New Roman" w:cs="Times New Roman" w:eastAsia="Times New Roman" w:hAnsi="Times New Roman"/>
                <w:sz w:val="20"/>
                <w:szCs w:val="20"/>
                <w:color w:val="auto"/>
              </w:rPr>
              <w:t>141,856</w:t>
            </w:r>
          </w:p>
        </w:tc>
        <w:tc>
          <w:tcPr>
            <w:tcW w:w="100" w:type="dxa"/>
            <w:vAlign w:val="bottom"/>
            <w:tcBorders>
              <w:top w:val="single" w:sz="8" w:color="D4EFF3"/>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tcPr>
          <w:p>
            <w:pPr>
              <w:jc w:val="right"/>
              <w:ind w:right="4"/>
              <w:spacing w:after="0" w:line="200" w:lineRule="exact"/>
              <w:rPr>
                <w:sz w:val="20"/>
                <w:szCs w:val="20"/>
                <w:color w:val="auto"/>
              </w:rPr>
            </w:pPr>
            <w:r>
              <w:rPr>
                <w:rFonts w:ascii="Times New Roman" w:cs="Times New Roman" w:eastAsia="Times New Roman" w:hAnsi="Times New Roman"/>
                <w:sz w:val="20"/>
                <w:szCs w:val="20"/>
                <w:color w:val="auto"/>
              </w:rPr>
              <w:t>145,000</w:t>
            </w:r>
          </w:p>
        </w:tc>
        <w:tc>
          <w:tcPr>
            <w:tcW w:w="100" w:type="dxa"/>
            <w:vAlign w:val="bottom"/>
            <w:tcBorders>
              <w:top w:val="single" w:sz="8" w:color="D4EFF3"/>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1"/>
              <w:spacing w:after="0" w:line="200" w:lineRule="exact"/>
              <w:rPr>
                <w:sz w:val="20"/>
                <w:szCs w:val="20"/>
                <w:color w:val="auto"/>
              </w:rPr>
            </w:pPr>
            <w:r>
              <w:rPr>
                <w:rFonts w:ascii="Times New Roman" w:cs="Times New Roman" w:eastAsia="Times New Roman" w:hAnsi="Times New Roman"/>
                <w:sz w:val="20"/>
                <w:szCs w:val="20"/>
                <w:color w:val="auto"/>
              </w:rPr>
              <w:t>84,166,665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Preferred Stock as of December 31, 2021 had the following rights and preferences: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1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holders of the Preferred Stock were entitled to receive noncumulative dividends when and if declared by the Board at the rate per annum of eight percent (8%) of the applicable Original Issue Price, which is $1.00 per share for the Series Seed Preferred Stock, $1.20 per share for the Series A Preferred Stock, and $2.40 per share for the Series B Preferred Stock. Preferred Stock dividends would have been paid in preference and in priority to any dividends on common stock. If Private Disc had declared, paid or set aside, on the same date, a dividend on shares of more than one class or series of capital stock of Private Disc, the dividend payable to the holders of the Preferred Stock would have been based on the number of common shares the Preferred Stock would convert into. There have been no dividends declared by the Board to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Liquidation Preference</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In the event of any liquidation, dissolution, or winding up of Private Disc (“Liquidation Event”), the holders of Series A and Series B Preferred Stock were entitled to receive prior and in preference to the holders of common stock and Series Seed Preferred Stock, an amount equal to the Original Issue Price plus all declared and unpaid dividends on the Series A and Series B Preferred Stock. If the assets and funds available to be distributed to all holders of Series A and Series B Preferred Stock were insufficient to permit the payment, in full, of any of the liquidation preferences, then the entire assets and funds legally available for distribution to the Series A and Series B Preferred Stock would have been distributed ratably among the holders of Series A and Series B Preferred Stock at the time outstanding, ratably in proportion to the full amounts to which they would otherwise be respectively entitled.</w:t>
      </w:r>
    </w:p>
    <w:p>
      <w:pPr>
        <w:spacing w:after="0" w:line="8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After the payment of the full liquidation preference of the Series A and Series B Preferred Stock as set forth above, the holders of shares of Series Seed Preferred Stock were entitled to receive an amount per share of Series Seed Preferred Stock equal to the Original Issue Price plus all declared and unpaid dividends on the Series Seed Preferred Stock. If the assets and funds available to be distributed to all holders of Series Seed Preferred Stock were insufficient to permit the payment, in full, of any of the liquidation preferences, then the entire assets and funds legally available for distribution to the Series Seed Preferred Stock would have been distributed ratably among the holders of Series Seed Preferred Stock at the time outstanding, ratably in proportion to the full amounts to which they would otherwise be respectively entitled or when the remaining capital is distributed.</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After the payment of all preferential amounts related to the holders of Preferred Stock, the remaining assets of Private Disc would have been distributed pro rata to the holders of the Preferred Stock and common stock as if the Preferred Stock had converted at the time of the Liquidation Event. Preferential amounts to the holders of Preferred Stock were capped at 2.5 times the applicable Original Issue Price per share plus any dividends declared but unpaid or the amount such holder would have received if all shares had been converted to common stock immediately prior to the Liquidation Event.</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440"/>
          </w:cols>
          <w:pgMar w:left="900" w:top="700" w:right="900" w:bottom="175" w:gutter="0" w:footer="0" w:header="0"/>
          <w:type w:val="continuous"/>
        </w:sectPr>
      </w:pPr>
    </w:p>
    <w:bookmarkStart w:id="130" w:name="page131"/>
    <w:bookmarkEnd w:id="130"/>
    <w:p>
      <w:pPr>
        <w:ind w:left="7"/>
        <w:spacing w:after="0"/>
        <w:rPr>
          <w:sz w:val="20"/>
          <w:szCs w:val="20"/>
          <w:color w:val="auto"/>
        </w:rPr>
      </w:pPr>
      <w:r>
        <w:rPr>
          <w:rFonts w:ascii="Times New Roman" w:cs="Times New Roman" w:eastAsia="Times New Roman" w:hAnsi="Times New Roman"/>
          <w:sz w:val="20"/>
          <w:szCs w:val="20"/>
          <w:i w:val="1"/>
          <w:iCs w:val="1"/>
          <w:color w:val="auto"/>
        </w:rPr>
        <w:t>Conversion</w:t>
      </w:r>
    </w:p>
    <w:p>
      <w:pPr>
        <w:spacing w:after="0" w:line="118" w:lineRule="exact"/>
        <w:rPr>
          <w:sz w:val="20"/>
          <w:szCs w:val="20"/>
          <w:color w:val="auto"/>
        </w:rPr>
      </w:pPr>
    </w:p>
    <w:p>
      <w:pPr>
        <w:ind w:left="7" w:right="220" w:firstLine="490"/>
        <w:spacing w:after="0" w:line="246" w:lineRule="auto"/>
        <w:rPr>
          <w:sz w:val="20"/>
          <w:szCs w:val="20"/>
          <w:color w:val="auto"/>
        </w:rPr>
      </w:pPr>
      <w:r>
        <w:rPr>
          <w:rFonts w:ascii="Times New Roman" w:cs="Times New Roman" w:eastAsia="Times New Roman" w:hAnsi="Times New Roman"/>
          <w:sz w:val="20"/>
          <w:szCs w:val="20"/>
          <w:color w:val="auto"/>
        </w:rPr>
        <w:t>As of December 31, 2021, the shares of Preferred Stock were convertible into equal shares of common stock, at the conversion price in effect at the time of such conversion, (a) at any time upon the written consent of the holders of a majority of the outstanding shares of the Preferred Stock and at least one holder of Series B Preferred Stock that owned at least 4,166,666 shares of Series B Preferred Stock and that had not purchased any shares of Series A Preferred Stock as part of the Series A Agreement or (b) immediately upon the closing of a Qualified Public Offering. The conversion ratio for the shares of Preferred Stock was 1:1, subject to appropriate adjustment in the event of any stock dividend, stock split, combination or other similar recapitalization.</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118" w:lineRule="exact"/>
        <w:rPr>
          <w:sz w:val="20"/>
          <w:szCs w:val="20"/>
          <w:color w:val="auto"/>
        </w:rPr>
      </w:pPr>
    </w:p>
    <w:p>
      <w:pPr>
        <w:ind w:left="7" w:right="140" w:firstLine="490"/>
        <w:spacing w:after="0" w:line="247" w:lineRule="auto"/>
        <w:rPr>
          <w:sz w:val="20"/>
          <w:szCs w:val="20"/>
          <w:color w:val="auto"/>
        </w:rPr>
      </w:pPr>
      <w:r>
        <w:rPr>
          <w:rFonts w:ascii="Times New Roman" w:cs="Times New Roman" w:eastAsia="Times New Roman" w:hAnsi="Times New Roman"/>
          <w:sz w:val="20"/>
          <w:szCs w:val="20"/>
          <w:color w:val="auto"/>
        </w:rPr>
        <w:t>The Preferred Stock vote together with the common stock on an as-converted basis, and not as a separate class, except for matters as defined by the Certificate of Incorporation which required the written consent or affirmative votes of the holders of a majority of the outstanding shares of the Preferred Stock and at least one holder of Series B Preferred Stock that owned at least 4,166,666 shares of Series B Preferred Stock and that had not purchased any shares of Series A Preferred Stock as part of the Series A Agreement. For any transactions that affect the priority of the Series A or Series B Preferred Stock, a majority of Series A or Series B Preferred Stock was required, respectively.</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Redemption</w:t>
      </w:r>
    </w:p>
    <w:p>
      <w:pPr>
        <w:spacing w:after="0" w:line="118" w:lineRule="exact"/>
        <w:rPr>
          <w:sz w:val="20"/>
          <w:szCs w:val="20"/>
          <w:color w:val="auto"/>
        </w:rPr>
      </w:pPr>
    </w:p>
    <w:p>
      <w:pPr>
        <w:ind w:left="7" w:right="80" w:firstLine="490"/>
        <w:spacing w:after="0" w:line="277" w:lineRule="auto"/>
        <w:rPr>
          <w:sz w:val="20"/>
          <w:szCs w:val="20"/>
          <w:color w:val="auto"/>
        </w:rPr>
      </w:pPr>
      <w:r>
        <w:rPr>
          <w:rFonts w:ascii="Times New Roman" w:cs="Times New Roman" w:eastAsia="Times New Roman" w:hAnsi="Times New Roman"/>
          <w:sz w:val="20"/>
          <w:szCs w:val="20"/>
          <w:color w:val="auto"/>
        </w:rPr>
        <w:t>The Preferred Stock was not redeemable at the option of the holders thereof. However, the Preferred Stock was redeemable upon the occurrence of certain contingent events, unless otherwise determined by the holders.</w:t>
      </w:r>
    </w:p>
    <w:p>
      <w:pPr>
        <w:spacing w:after="0" w:line="49" w:lineRule="exact"/>
        <w:rPr>
          <w:sz w:val="20"/>
          <w:szCs w:val="20"/>
          <w:color w:val="auto"/>
        </w:rPr>
      </w:pPr>
    </w:p>
    <w:p>
      <w:pPr>
        <w:ind w:left="7" w:right="120" w:firstLine="490"/>
        <w:spacing w:after="0" w:line="249" w:lineRule="auto"/>
        <w:rPr>
          <w:sz w:val="20"/>
          <w:szCs w:val="20"/>
          <w:color w:val="auto"/>
        </w:rPr>
      </w:pPr>
      <w:r>
        <w:rPr>
          <w:rFonts w:ascii="Times New Roman" w:cs="Times New Roman" w:eastAsia="Times New Roman" w:hAnsi="Times New Roman"/>
          <w:sz w:val="20"/>
          <w:szCs w:val="20"/>
          <w:color w:val="auto"/>
        </w:rPr>
        <w:t>As it relates to the redemption upon the occurrence of a contingent event, Private Disc evaluated the Preferred Stock in accordance with the guidance in ASC 480 and determined that the redemption upon the occurrence of a contingent event was not solely within Private Disc’s control and accordingly classified the Preferred Stock in temporary equity. The Preferred Stock was not currently redeemable, nor was it probable that the instruments would have become redeemable, and therefore the instruments were not being accreted to redemption value.</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10. Common Stock</w:t>
      </w:r>
    </w:p>
    <w:p>
      <w:pPr>
        <w:spacing w:after="0" w:line="244" w:lineRule="exact"/>
        <w:rPr>
          <w:sz w:val="20"/>
          <w:szCs w:val="20"/>
          <w:color w:val="auto"/>
        </w:rPr>
      </w:pPr>
    </w:p>
    <w:p>
      <w:pPr>
        <w:ind w:left="7" w:right="580" w:firstLine="490"/>
        <w:spacing w:after="0" w:line="277" w:lineRule="auto"/>
        <w:rPr>
          <w:sz w:val="20"/>
          <w:szCs w:val="20"/>
          <w:color w:val="auto"/>
        </w:rPr>
      </w:pPr>
      <w:r>
        <w:rPr>
          <w:rFonts w:ascii="Times New Roman" w:cs="Times New Roman" w:eastAsia="Times New Roman" w:hAnsi="Times New Roman"/>
          <w:sz w:val="20"/>
          <w:szCs w:val="20"/>
          <w:color w:val="auto"/>
        </w:rPr>
        <w:t>At the closing of the merger, the shares of Private Disc's common stock were converted into shares of the Company's common stock based on the Exchange Ratio.</w:t>
      </w:r>
    </w:p>
    <w:p>
      <w:pPr>
        <w:spacing w:after="0" w:line="4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As of December 31, 2022, the authorized capital stock of the Company included 100,000,000 shares of common stock,</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$0.0001 par value per share. Prior to the merger, the holders of Private Disc's common stock were subject to and qualified by the</w:t>
      </w:r>
    </w:p>
    <w:p>
      <w:pPr>
        <w:ind w:left="7"/>
        <w:spacing w:after="0"/>
        <w:rPr>
          <w:sz w:val="20"/>
          <w:szCs w:val="20"/>
          <w:color w:val="auto"/>
        </w:rPr>
      </w:pPr>
      <w:r>
        <w:rPr>
          <w:rFonts w:ascii="Times New Roman" w:cs="Times New Roman" w:eastAsia="Times New Roman" w:hAnsi="Times New Roman"/>
          <w:sz w:val="20"/>
          <w:szCs w:val="20"/>
          <w:color w:val="auto"/>
        </w:rPr>
        <w:t>rights, powers and preferences of the holders of the Preferred Stock set forth above. Each share of common stock entitles the</w:t>
      </w:r>
    </w:p>
    <w:p>
      <w:pPr>
        <w:ind w:left="7"/>
        <w:spacing w:after="0"/>
        <w:rPr>
          <w:sz w:val="20"/>
          <w:szCs w:val="20"/>
          <w:color w:val="auto"/>
        </w:rPr>
      </w:pPr>
      <w:r>
        <w:rPr>
          <w:rFonts w:ascii="Times New Roman" w:cs="Times New Roman" w:eastAsia="Times New Roman" w:hAnsi="Times New Roman"/>
          <w:sz w:val="20"/>
          <w:szCs w:val="20"/>
          <w:color w:val="auto"/>
        </w:rPr>
        <w:t>holder to one vote on all matters submitted to the stockholders for a vote.</w:t>
      </w:r>
    </w:p>
    <w:p>
      <w:pPr>
        <w:spacing w:after="0" w:line="92" w:lineRule="exact"/>
        <w:rPr>
          <w:sz w:val="20"/>
          <w:szCs w:val="20"/>
          <w:color w:val="auto"/>
        </w:rPr>
      </w:pPr>
    </w:p>
    <w:p>
      <w:pPr>
        <w:ind w:left="7" w:right="44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2022 the Company has reserved the following shares of common stock for potential conversion of outstanding Preferred Stock and exercise of stock options:</w:t>
      </w:r>
    </w:p>
    <w:p>
      <w:pPr>
        <w:spacing w:after="0" w:line="15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22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74"/>
        </w:trPr>
        <w:tc>
          <w:tcPr>
            <w:tcW w:w="7120" w:type="dxa"/>
            <w:vAlign w:val="bottom"/>
            <w:tcBorders>
              <w:bottom w:val="single" w:sz="8" w:color="D4EFF3"/>
            </w:tcBorders>
          </w:tcPr>
          <w:p>
            <w:pPr>
              <w:spacing w:after="0"/>
              <w:rPr>
                <w:sz w:val="15"/>
                <w:szCs w:val="15"/>
                <w:color w:val="auto"/>
              </w:rPr>
            </w:pPr>
          </w:p>
        </w:tc>
        <w:tc>
          <w:tcPr>
            <w:tcW w:w="1600" w:type="dxa"/>
            <w:vAlign w:val="bottom"/>
            <w:tcBorders>
              <w:bottom w:val="single" w:sz="8" w:color="auto"/>
            </w:tcBorders>
          </w:tcPr>
          <w:p>
            <w:pPr>
              <w:jc w:val="right"/>
              <w:ind w:right="606"/>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D4EFF3"/>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3"/>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1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Series Seed convertible preferred stock</w:t>
            </w:r>
          </w:p>
        </w:tc>
        <w:tc>
          <w:tcPr>
            <w:tcW w:w="1600" w:type="dxa"/>
            <w:vAlign w:val="bottom"/>
            <w:shd w:val="clear" w:color="auto" w:fill="D4EFF3"/>
          </w:tcPr>
          <w:p>
            <w:pPr>
              <w:jc w:val="right"/>
              <w:ind w:right="6"/>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spacing w:after="0"/>
              <w:rPr>
                <w:sz w:val="19"/>
                <w:szCs w:val="19"/>
                <w:color w:val="auto"/>
              </w:rPr>
            </w:pPr>
          </w:p>
        </w:tc>
        <w:tc>
          <w:tcPr>
            <w:tcW w:w="480" w:type="dxa"/>
            <w:vAlign w:val="bottom"/>
            <w:shd w:val="clear" w:color="auto" w:fill="D4EFF3"/>
          </w:tcPr>
          <w:p>
            <w:pPr>
              <w:spacing w:after="0"/>
              <w:rPr>
                <w:sz w:val="19"/>
                <w:szCs w:val="19"/>
                <w:color w:val="auto"/>
              </w:rPr>
            </w:pPr>
          </w:p>
        </w:tc>
        <w:tc>
          <w:tcPr>
            <w:tcW w:w="112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5,000,000</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Series A convertible preferred stock</w:t>
            </w: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41,666,666</w:t>
            </w:r>
          </w:p>
        </w:tc>
      </w:tr>
      <w:tr>
        <w:trPr>
          <w:trHeight w:val="230"/>
        </w:trPr>
        <w:tc>
          <w:tcPr>
            <w:tcW w:w="71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Series B convertible preferred stock</w:t>
            </w:r>
          </w:p>
        </w:tc>
        <w:tc>
          <w:tcPr>
            <w:tcW w:w="2200" w:type="dxa"/>
            <w:vAlign w:val="bottom"/>
            <w:gridSpan w:val="3"/>
            <w:shd w:val="clear" w:color="auto" w:fill="D4EFF3"/>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37,499,999</w:t>
            </w:r>
          </w:p>
        </w:tc>
      </w:tr>
      <w:tr>
        <w:trPr>
          <w:trHeight w:val="230"/>
        </w:trPr>
        <w:tc>
          <w:tcPr>
            <w:tcW w:w="71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2,640,590</w:t>
            </w:r>
          </w:p>
        </w:tc>
        <w:tc>
          <w:tcPr>
            <w:tcW w:w="120" w:type="dxa"/>
            <w:vAlign w:val="bottom"/>
            <w:tcBorders>
              <w:bottom w:val="single" w:sz="8" w:color="D4EF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1,456,551</w:t>
            </w:r>
          </w:p>
        </w:tc>
      </w:tr>
      <w:tr>
        <w:trPr>
          <w:trHeight w:val="220"/>
        </w:trPr>
        <w:tc>
          <w:tcPr>
            <w:tcW w:w="71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600" w:type="dxa"/>
            <w:vAlign w:val="bottom"/>
            <w:shd w:val="clear" w:color="auto" w:fill="D4EFF3"/>
          </w:tcPr>
          <w:p>
            <w:pPr>
              <w:jc w:val="right"/>
              <w:ind w:right="6"/>
              <w:spacing w:after="0" w:line="220" w:lineRule="exact"/>
              <w:rPr>
                <w:sz w:val="20"/>
                <w:szCs w:val="20"/>
                <w:color w:val="auto"/>
              </w:rPr>
            </w:pPr>
            <w:r>
              <w:rPr>
                <w:rFonts w:ascii="Times New Roman" w:cs="Times New Roman" w:eastAsia="Times New Roman" w:hAnsi="Times New Roman"/>
                <w:sz w:val="20"/>
                <w:szCs w:val="20"/>
                <w:color w:val="auto"/>
              </w:rPr>
              <w:t>2,640,590</w:t>
            </w:r>
          </w:p>
        </w:tc>
        <w:tc>
          <w:tcPr>
            <w:tcW w:w="120" w:type="dxa"/>
            <w:vAlign w:val="bottom"/>
            <w:shd w:val="clear" w:color="auto" w:fill="D4EFF3"/>
          </w:tcPr>
          <w:p>
            <w:pPr>
              <w:spacing w:after="0"/>
              <w:rPr>
                <w:sz w:val="19"/>
                <w:szCs w:val="19"/>
                <w:color w:val="auto"/>
              </w:rPr>
            </w:pPr>
          </w:p>
        </w:tc>
        <w:tc>
          <w:tcPr>
            <w:tcW w:w="480" w:type="dxa"/>
            <w:vAlign w:val="bottom"/>
            <w:shd w:val="clear" w:color="auto" w:fill="D4EFF3"/>
          </w:tcPr>
          <w:p>
            <w:pPr>
              <w:spacing w:after="0"/>
              <w:rPr>
                <w:sz w:val="19"/>
                <w:szCs w:val="19"/>
                <w:color w:val="auto"/>
              </w:rPr>
            </w:pPr>
          </w:p>
        </w:tc>
        <w:tc>
          <w:tcPr>
            <w:tcW w:w="112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85,623,216</w:t>
            </w:r>
          </w:p>
        </w:tc>
      </w:tr>
    </w:tbl>
    <w:p>
      <w:pPr>
        <w:spacing w:after="0" w:line="355" w:lineRule="exact"/>
        <w:rPr>
          <w:sz w:val="20"/>
          <w:szCs w:val="20"/>
          <w:color w:val="auto"/>
        </w:rPr>
      </w:pPr>
    </w:p>
    <w:p>
      <w:pPr>
        <w:ind w:left="7" w:right="7580" w:hanging="7"/>
        <w:spacing w:after="0" w:line="386" w:lineRule="auto"/>
        <w:tabs>
          <w:tab w:leader="none" w:pos="307" w:val="left"/>
        </w:tabs>
        <w:numPr>
          <w:ilvl w:val="0"/>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Stock-Based Compensation </w:t>
      </w:r>
      <w:r>
        <w:rPr>
          <w:rFonts w:ascii="Times New Roman" w:cs="Times New Roman" w:eastAsia="Times New Roman" w:hAnsi="Times New Roman"/>
          <w:sz w:val="19"/>
          <w:szCs w:val="19"/>
          <w:b w:val="1"/>
          <w:bCs w:val="1"/>
          <w:i w:val="1"/>
          <w:iCs w:val="1"/>
          <w:color w:val="auto"/>
        </w:rPr>
        <w:t>2017 Stock Option and Grant Plan</w:t>
      </w:r>
    </w:p>
    <w:p>
      <w:pPr>
        <w:spacing w:after="0" w:line="1" w:lineRule="exact"/>
        <w:rPr>
          <w:sz w:val="20"/>
          <w:szCs w:val="20"/>
          <w:color w:val="auto"/>
        </w:rPr>
      </w:pPr>
    </w:p>
    <w:p>
      <w:pPr>
        <w:ind w:left="7" w:right="20" w:firstLine="490"/>
        <w:spacing w:after="0" w:line="260" w:lineRule="auto"/>
        <w:rPr>
          <w:sz w:val="20"/>
          <w:szCs w:val="20"/>
          <w:color w:val="auto"/>
        </w:rPr>
      </w:pPr>
      <w:r>
        <w:rPr>
          <w:rFonts w:ascii="Times New Roman" w:cs="Times New Roman" w:eastAsia="Times New Roman" w:hAnsi="Times New Roman"/>
          <w:sz w:val="19"/>
          <w:szCs w:val="19"/>
          <w:color w:val="auto"/>
        </w:rPr>
        <w:t>Private Disc adopted the 2017 Stock Option and Grant Plan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w:t>
      </w:r>
    </w:p>
    <w:p>
      <w:pPr>
        <w:sectPr>
          <w:pgSz w:w="12240" w:h="15840" w:orient="portrait"/>
          <w:cols w:equalWidth="0" w:num="1">
            <w:col w:w="10447"/>
          </w:cols>
          <w:pgMar w:left="893" w:top="702" w:right="900" w:bottom="175" w:gutter="0" w:footer="0" w:header="0"/>
        </w:sectPr>
      </w:pPr>
    </w:p>
    <w:p>
      <w:pPr>
        <w:spacing w:after="0" w:line="38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447"/>
          </w:cols>
          <w:pgMar w:left="893" w:top="702" w:right="900" w:bottom="175" w:gutter="0" w:footer="0" w:header="0"/>
          <w:type w:val="continuous"/>
        </w:sectPr>
      </w:pPr>
    </w:p>
    <w:bookmarkStart w:id="131" w:name="page132"/>
    <w:bookmarkEnd w:id="131"/>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w:t>
      </w:r>
    </w:p>
    <w:p>
      <w:pPr>
        <w:spacing w:after="0" w:line="77"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The number of shares of common stock reserved for issuance as of December 31, 2022 and 2021 was 1,672,599 and 1,777,309 shares, respectively. Options available for grant were no options and 247,896 options at December 31, 2022 and 2021, respectively. Upon completion of the merger, the Company ceased granting awards under the Private Disc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Stock Option and Incentive Plan</w:t>
      </w:r>
    </w:p>
    <w:p>
      <w:pPr>
        <w:spacing w:after="0" w:line="12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In February 2021,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December 31, 2022, 1,031,615 shares remained available for future issuance under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w:t>
      </w:r>
    </w:p>
    <w:p>
      <w:pPr>
        <w:spacing w:after="0" w:line="91"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Employee Stock Purchase Plan</w:t>
      </w:r>
    </w:p>
    <w:p>
      <w:pPr>
        <w:spacing w:after="0" w:line="12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In July 2021, Gemini’s board of directors approved the 2021 Employee Stock Purchase Plan (the "2021 ESPP"). The first offering period under the 2021 ESPP began on December 1, 2021. As of December 31, 2022, 179,898 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Company’s 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Inducement Plan</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Upon completion of the merger, the Company ceased granting awards under the 2021 Inducement Plan.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Merger with Gemini</w:t>
      </w:r>
    </w:p>
    <w:p>
      <w:pPr>
        <w:spacing w:after="0" w:line="12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In connection with the merger, each option to purchase shares of Private Disc common stock that was outstanding and unexercised under the Private Disc Plan immediately prior to the Effective Time, whether or not vested, was converted into an option to purchase shares of Gemini common stock and became eligible to be registered on Form S-8. Gemini assumed the Private Disc Plan, as amended, and each such outstanding option to purchase shares of Private Disc common stock in accordance with the terms (as in effect as of the date of the Merger Agreement) of the Private Disc Plan and the terms of the stock option agreement by which such option to purchase shares of Private Disc common stock is evidenced.</w:t>
      </w:r>
    </w:p>
    <w:p>
      <w:pPr>
        <w:spacing w:after="0" w:line="8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On December 29, 2022, Gemini's shareholders approved amendments to the 2021 Plan and the 2021 ESPP to (i) increase the number of shares of common stock reserved for issuance under the 2021 Plan to a number of shares representing approximately 9% of the fully diluted capitalization of the Company, determined as of immediately following the merger and (ii) increase the number of shares of common stock reserved for issuance under the 2021 ESPP to a number of shares representing approximately 0.84% of the fully diluted capitalization of the Company, determined as of immediately following the merger.</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440"/>
          </w:cols>
          <w:pgMar w:left="900" w:top="700" w:right="900" w:bottom="175"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20"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6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Prior to the merger, Private Disc lacked company-specific historical and implied volatility information. Therefore, Private Disc estimated its expected stock volatility based on the historical volatility of a publicly traded set of peer public companies and the Company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stock option activity for the year ended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122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5"/>
                <w:szCs w:val="15"/>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5"/>
                <w:szCs w:val="15"/>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D4EFF3"/>
            </w:tcBorders>
          </w:tcPr>
          <w:p>
            <w:pPr>
              <w:spacing w:after="0"/>
              <w:rPr>
                <w:sz w:val="17"/>
                <w:szCs w:val="17"/>
                <w:color w:val="auto"/>
              </w:rPr>
            </w:pPr>
          </w:p>
        </w:tc>
        <w:tc>
          <w:tcPr>
            <w:tcW w:w="12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Borders>
              <w:bottom w:val="single" w:sz="8" w:color="D4EFF3"/>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Borders>
              <w:bottom w:val="single" w:sz="8" w:color="D4EFF3"/>
            </w:tcBorders>
          </w:tcPr>
          <w:p>
            <w:pPr>
              <w:spacing w:after="0"/>
              <w:rPr>
                <w:sz w:val="17"/>
                <w:szCs w:val="17"/>
                <w:color w:val="auto"/>
              </w:rPr>
            </w:pPr>
          </w:p>
        </w:tc>
        <w:tc>
          <w:tcPr>
            <w:tcW w:w="13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120" w:type="dxa"/>
            <w:vAlign w:val="bottom"/>
            <w:tcBorders>
              <w:bottom w:val="single" w:sz="8" w:color="D4EFF3"/>
            </w:tcBorders>
          </w:tcPr>
          <w:p>
            <w:pPr>
              <w:spacing w:after="0"/>
              <w:rPr>
                <w:sz w:val="17"/>
                <w:szCs w:val="17"/>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0"/>
        </w:trPr>
        <w:tc>
          <w:tcPr>
            <w:tcW w:w="53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2021</w:t>
            </w:r>
          </w:p>
        </w:tc>
        <w:tc>
          <w:tcPr>
            <w:tcW w:w="1220" w:type="dxa"/>
            <w:vAlign w:val="bottom"/>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1,456,551</w:t>
            </w:r>
          </w:p>
        </w:tc>
        <w:tc>
          <w:tcPr>
            <w:tcW w:w="120" w:type="dxa"/>
            <w:vAlign w:val="bottom"/>
            <w:shd w:val="clear" w:color="auto" w:fill="D4EFF3"/>
          </w:tcPr>
          <w:p>
            <w:pPr>
              <w:spacing w:after="0"/>
              <w:rPr>
                <w:sz w:val="19"/>
                <w:szCs w:val="19"/>
                <w:color w:val="auto"/>
              </w:rPr>
            </w:pPr>
          </w:p>
        </w:tc>
        <w:tc>
          <w:tcPr>
            <w:tcW w:w="12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4EFF3"/>
          </w:tcPr>
          <w:p>
            <w:pPr>
              <w:jc w:val="right"/>
              <w:ind w:right="27"/>
              <w:spacing w:after="0" w:line="220" w:lineRule="exact"/>
              <w:rPr>
                <w:sz w:val="20"/>
                <w:szCs w:val="20"/>
                <w:color w:val="auto"/>
              </w:rPr>
            </w:pPr>
            <w:r>
              <w:rPr>
                <w:rFonts w:ascii="Times New Roman" w:cs="Times New Roman" w:eastAsia="Times New Roman" w:hAnsi="Times New Roman"/>
                <w:sz w:val="20"/>
                <w:szCs w:val="20"/>
                <w:color w:val="auto"/>
              </w:rPr>
              <w:t>5.48</w:t>
            </w:r>
          </w:p>
        </w:tc>
        <w:tc>
          <w:tcPr>
            <w:tcW w:w="100" w:type="dxa"/>
            <w:vAlign w:val="bottom"/>
            <w:shd w:val="clear" w:color="auto" w:fill="D4EFF3"/>
          </w:tcPr>
          <w:p>
            <w:pPr>
              <w:spacing w:after="0"/>
              <w:rPr>
                <w:sz w:val="19"/>
                <w:szCs w:val="19"/>
                <w:color w:val="auto"/>
              </w:rPr>
            </w:pPr>
          </w:p>
        </w:tc>
        <w:tc>
          <w:tcPr>
            <w:tcW w:w="1300" w:type="dxa"/>
            <w:vAlign w:val="bottom"/>
            <w:shd w:val="clear" w:color="auto" w:fill="D4EFF3"/>
          </w:tcPr>
          <w:p>
            <w:pPr>
              <w:jc w:val="right"/>
              <w:ind w:right="17"/>
              <w:spacing w:after="0" w:line="220" w:lineRule="exact"/>
              <w:rPr>
                <w:sz w:val="20"/>
                <w:szCs w:val="20"/>
                <w:color w:val="auto"/>
              </w:rPr>
            </w:pPr>
            <w:r>
              <w:rPr>
                <w:rFonts w:ascii="Times New Roman" w:cs="Times New Roman" w:eastAsia="Times New Roman" w:hAnsi="Times New Roman"/>
                <w:sz w:val="20"/>
                <w:szCs w:val="20"/>
                <w:color w:val="auto"/>
              </w:rPr>
              <w:t>8.98</w:t>
            </w:r>
          </w:p>
        </w:tc>
        <w:tc>
          <w:tcPr>
            <w:tcW w:w="120" w:type="dxa"/>
            <w:vAlign w:val="bottom"/>
            <w:shd w:val="clear" w:color="auto" w:fill="D4EFF3"/>
          </w:tcPr>
          <w:p>
            <w:pPr>
              <w:spacing w:after="0"/>
              <w:rPr>
                <w:sz w:val="19"/>
                <w:szCs w:val="19"/>
                <w:color w:val="auto"/>
              </w:rPr>
            </w:pPr>
          </w:p>
        </w:tc>
        <w:tc>
          <w:tcPr>
            <w:tcW w:w="1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4EFF3"/>
          </w:tcPr>
          <w:p>
            <w:pPr>
              <w:jc w:val="right"/>
              <w:ind w:right="10"/>
              <w:spacing w:after="0" w:line="220" w:lineRule="exact"/>
              <w:rPr>
                <w:sz w:val="20"/>
                <w:szCs w:val="20"/>
                <w:color w:val="auto"/>
              </w:rPr>
            </w:pPr>
            <w:r>
              <w:rPr>
                <w:rFonts w:ascii="Times New Roman" w:cs="Times New Roman" w:eastAsia="Times New Roman" w:hAnsi="Times New Roman"/>
                <w:sz w:val="20"/>
                <w:szCs w:val="20"/>
                <w:color w:val="auto"/>
              </w:rPr>
              <w:t>13,027</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Assumed in reverse recapitalization</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303,497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71.56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Granted</w:t>
            </w:r>
          </w:p>
        </w:tc>
        <w:tc>
          <w:tcPr>
            <w:tcW w:w="122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978,539</w:t>
            </w:r>
          </w:p>
        </w:tc>
        <w:tc>
          <w:tcPr>
            <w:tcW w:w="24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FF3"/>
          </w:tcPr>
          <w:p>
            <w:pPr>
              <w:jc w:val="right"/>
              <w:ind w:right="27"/>
              <w:spacing w:after="0"/>
              <w:rPr>
                <w:sz w:val="20"/>
                <w:szCs w:val="20"/>
                <w:color w:val="auto"/>
              </w:rPr>
            </w:pPr>
            <w:r>
              <w:rPr>
                <w:rFonts w:ascii="Times New Roman" w:cs="Times New Roman" w:eastAsia="Times New Roman" w:hAnsi="Times New Roman"/>
                <w:sz w:val="20"/>
                <w:szCs w:val="20"/>
                <w:color w:val="auto"/>
              </w:rPr>
              <w:t>13.94</w:t>
            </w:r>
          </w:p>
        </w:tc>
        <w:tc>
          <w:tcPr>
            <w:tcW w:w="100" w:type="dxa"/>
            <w:vAlign w:val="bottom"/>
            <w:shd w:val="clear" w:color="auto" w:fill="D4EFF3"/>
          </w:tcPr>
          <w:p>
            <w:pPr>
              <w:spacing w:after="0"/>
              <w:rPr>
                <w:sz w:val="19"/>
                <w:szCs w:val="19"/>
                <w:color w:val="auto"/>
              </w:rPr>
            </w:pPr>
          </w:p>
        </w:tc>
        <w:tc>
          <w:tcPr>
            <w:tcW w:w="130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140" w:type="dxa"/>
            <w:vAlign w:val="bottom"/>
            <w:shd w:val="clear" w:color="auto" w:fill="D4EFF3"/>
          </w:tcPr>
          <w:p>
            <w:pPr>
              <w:spacing w:after="0"/>
              <w:rPr>
                <w:sz w:val="19"/>
                <w:szCs w:val="19"/>
                <w:color w:val="auto"/>
              </w:rPr>
            </w:pPr>
          </w:p>
        </w:tc>
        <w:tc>
          <w:tcPr>
            <w:tcW w:w="104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4.12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Forfeited</w:t>
            </w:r>
          </w:p>
        </w:tc>
        <w:tc>
          <w:tcPr>
            <w:tcW w:w="12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(44,773)</w:t>
            </w:r>
          </w:p>
        </w:tc>
        <w:tc>
          <w:tcPr>
            <w:tcW w:w="24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FF3"/>
          </w:tcPr>
          <w:p>
            <w:pPr>
              <w:jc w:val="right"/>
              <w:ind w:right="27"/>
              <w:spacing w:after="0"/>
              <w:rPr>
                <w:sz w:val="20"/>
                <w:szCs w:val="20"/>
                <w:color w:val="auto"/>
              </w:rPr>
            </w:pPr>
            <w:r>
              <w:rPr>
                <w:rFonts w:ascii="Times New Roman" w:cs="Times New Roman" w:eastAsia="Times New Roman" w:hAnsi="Times New Roman"/>
                <w:sz w:val="20"/>
                <w:szCs w:val="20"/>
                <w:color w:val="auto"/>
              </w:rPr>
              <w:t>8.25</w:t>
            </w:r>
          </w:p>
        </w:tc>
        <w:tc>
          <w:tcPr>
            <w:tcW w:w="100" w:type="dxa"/>
            <w:vAlign w:val="bottom"/>
            <w:shd w:val="clear" w:color="auto" w:fill="D4EFF3"/>
          </w:tcPr>
          <w:p>
            <w:pPr>
              <w:spacing w:after="0"/>
              <w:rPr>
                <w:sz w:val="19"/>
                <w:szCs w:val="19"/>
                <w:color w:val="auto"/>
              </w:rPr>
            </w:pPr>
          </w:p>
        </w:tc>
        <w:tc>
          <w:tcPr>
            <w:tcW w:w="130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140" w:type="dxa"/>
            <w:vAlign w:val="bottom"/>
            <w:shd w:val="clear" w:color="auto" w:fill="D4EFF3"/>
          </w:tcPr>
          <w:p>
            <w:pPr>
              <w:spacing w:after="0"/>
              <w:rPr>
                <w:sz w:val="19"/>
                <w:szCs w:val="19"/>
                <w:color w:val="auto"/>
              </w:rPr>
            </w:pPr>
          </w:p>
        </w:tc>
        <w:tc>
          <w:tcPr>
            <w:tcW w:w="104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D4EFF3"/>
            </w:tcBorders>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2022</w:t>
            </w:r>
          </w:p>
        </w:tc>
        <w:tc>
          <w:tcPr>
            <w:tcW w:w="1220" w:type="dxa"/>
            <w:vAlign w:val="bottom"/>
            <w:tcBorders>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2,640,590</w:t>
            </w:r>
          </w:p>
        </w:tc>
        <w:tc>
          <w:tcPr>
            <w:tcW w:w="240" w:type="dxa"/>
            <w:vAlign w:val="bottom"/>
            <w:tcBorders>
              <w:bottom w:val="single" w:sz="8" w:color="D4EFF3"/>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4EFF3"/>
            </w:tcBorders>
          </w:tcPr>
          <w:p>
            <w:pPr>
              <w:jc w:val="right"/>
              <w:ind w:right="27"/>
              <w:spacing w:after="0" w:line="220" w:lineRule="exact"/>
              <w:rPr>
                <w:sz w:val="20"/>
                <w:szCs w:val="20"/>
                <w:color w:val="auto"/>
              </w:rPr>
            </w:pPr>
            <w:r>
              <w:rPr>
                <w:rFonts w:ascii="Times New Roman" w:cs="Times New Roman" w:eastAsia="Times New Roman" w:hAnsi="Times New Roman"/>
                <w:sz w:val="20"/>
                <w:szCs w:val="20"/>
                <w:color w:val="auto"/>
              </w:rPr>
              <w:t>16.19</w:t>
            </w:r>
          </w:p>
        </w:tc>
        <w:tc>
          <w:tcPr>
            <w:tcW w:w="1400" w:type="dxa"/>
            <w:vAlign w:val="bottom"/>
            <w:tcBorders>
              <w:bottom w:val="single" w:sz="8" w:color="D4EFF3"/>
            </w:tcBorders>
            <w:gridSpan w:val="2"/>
          </w:tcPr>
          <w:p>
            <w:pPr>
              <w:jc w:val="right"/>
              <w:ind w:right="17"/>
              <w:spacing w:after="0" w:line="220" w:lineRule="exact"/>
              <w:rPr>
                <w:sz w:val="20"/>
                <w:szCs w:val="20"/>
                <w:color w:val="auto"/>
              </w:rPr>
            </w:pPr>
            <w:r>
              <w:rPr>
                <w:rFonts w:ascii="Times New Roman" w:cs="Times New Roman" w:eastAsia="Times New Roman" w:hAnsi="Times New Roman"/>
                <w:sz w:val="20"/>
                <w:szCs w:val="20"/>
                <w:color w:val="auto"/>
              </w:rPr>
              <w:t>8.08</w:t>
            </w:r>
          </w:p>
        </w:tc>
        <w:tc>
          <w:tcPr>
            <w:tcW w:w="260" w:type="dxa"/>
            <w:vAlign w:val="bottom"/>
            <w:tcBorders>
              <w:bottom w:val="single" w:sz="8" w:color="D4EFF3"/>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D4EFF3"/>
            </w:tcBorders>
          </w:tcPr>
          <w:p>
            <w:pPr>
              <w:jc w:val="right"/>
              <w:ind w:right="10"/>
              <w:spacing w:after="0" w:line="220" w:lineRule="exact"/>
              <w:rPr>
                <w:sz w:val="20"/>
                <w:szCs w:val="20"/>
                <w:color w:val="auto"/>
              </w:rPr>
            </w:pPr>
            <w:r>
              <w:rPr>
                <w:rFonts w:ascii="Times New Roman" w:cs="Times New Roman" w:eastAsia="Times New Roman" w:hAnsi="Times New Roman"/>
                <w:sz w:val="20"/>
                <w:szCs w:val="20"/>
                <w:color w:val="auto"/>
              </w:rPr>
              <w:t>25,513</w:t>
            </w:r>
          </w:p>
        </w:tc>
        <w:tc>
          <w:tcPr>
            <w:tcW w:w="0" w:type="dxa"/>
            <w:vAlign w:val="bottom"/>
          </w:tcPr>
          <w:p>
            <w:pPr>
              <w:spacing w:after="0"/>
              <w:rPr>
                <w:sz w:val="1"/>
                <w:szCs w:val="1"/>
                <w:color w:val="auto"/>
              </w:rPr>
            </w:pPr>
          </w:p>
        </w:tc>
      </w:tr>
      <w:tr>
        <w:trPr>
          <w:trHeight w:val="20"/>
        </w:trPr>
        <w:tc>
          <w:tcPr>
            <w:tcW w:w="5320" w:type="dxa"/>
            <w:vAlign w:val="bottom"/>
            <w:tcBorders>
              <w:bottom w:val="single" w:sz="8" w:color="D4EFF3"/>
            </w:tcBorders>
            <w:vMerge w:val="restart"/>
            <w:shd w:val="clear" w:color="auto" w:fill="D4EFF3"/>
          </w:tcPr>
          <w:p>
            <w:pPr>
              <w:spacing w:after="0"/>
              <w:rPr>
                <w:sz w:val="20"/>
                <w:szCs w:val="20"/>
                <w:color w:val="auto"/>
              </w:rPr>
            </w:pPr>
            <w:r>
              <w:rPr>
                <w:rFonts w:ascii="Times New Roman" w:cs="Times New Roman" w:eastAsia="Times New Roman" w:hAnsi="Times New Roman"/>
                <w:sz w:val="20"/>
                <w:szCs w:val="20"/>
                <w:color w:val="auto"/>
              </w:rPr>
              <w:t>Exercisable at December 31, 2022</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4EFF3"/>
            </w:tcBorders>
            <w:gridSpan w:val="2"/>
            <w:vMerge w:val="restart"/>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4EFF3"/>
            </w:tcBorders>
            <w:vMerge w:val="restart"/>
            <w:shd w:val="clear" w:color="auto" w:fill="D4EFF3"/>
          </w:tcPr>
          <w:p>
            <w:pPr>
              <w:jc w:val="right"/>
              <w:ind w:right="27"/>
              <w:spacing w:after="0"/>
              <w:rPr>
                <w:sz w:val="20"/>
                <w:szCs w:val="20"/>
                <w:color w:val="auto"/>
              </w:rPr>
            </w:pPr>
            <w:r>
              <w:rPr>
                <w:rFonts w:ascii="Times New Roman" w:cs="Times New Roman" w:eastAsia="Times New Roman" w:hAnsi="Times New Roman"/>
                <w:sz w:val="20"/>
                <w:szCs w:val="20"/>
                <w:color w:val="auto"/>
              </w:rPr>
              <w:t>24.53</w:t>
            </w:r>
          </w:p>
        </w:tc>
        <w:tc>
          <w:tcPr>
            <w:tcW w:w="1400" w:type="dxa"/>
            <w:vAlign w:val="bottom"/>
            <w:tcBorders>
              <w:bottom w:val="single" w:sz="8" w:color="D4EFF3"/>
            </w:tcBorders>
            <w:gridSpan w:val="2"/>
            <w:vMerge w:val="restart"/>
            <w:shd w:val="clear" w:color="auto" w:fill="D4EFF3"/>
          </w:tcPr>
          <w:p>
            <w:pPr>
              <w:jc w:val="right"/>
              <w:ind w:right="17"/>
              <w:spacing w:after="0"/>
              <w:rPr>
                <w:sz w:val="20"/>
                <w:szCs w:val="20"/>
                <w:color w:val="auto"/>
              </w:rPr>
            </w:pPr>
            <w:r>
              <w:rPr>
                <w:rFonts w:ascii="Times New Roman" w:cs="Times New Roman" w:eastAsia="Times New Roman" w:hAnsi="Times New Roman"/>
                <w:sz w:val="20"/>
                <w:szCs w:val="20"/>
                <w:color w:val="auto"/>
              </w:rPr>
              <w:t>6.33</w:t>
            </w:r>
          </w:p>
        </w:tc>
        <w:tc>
          <w:tcPr>
            <w:tcW w:w="260" w:type="dxa"/>
            <w:vAlign w:val="bottom"/>
            <w:tcBorders>
              <w:bottom w:val="single" w:sz="8" w:color="D4EFF3"/>
            </w:tcBorders>
            <w:gridSpan w:val="2"/>
            <w:vMerge w:val="restart"/>
            <w:shd w:val="clear" w:color="auto" w:fill="D4EFF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D4EFF3"/>
            </w:tcBorders>
            <w:vMerge w:val="restart"/>
            <w:shd w:val="clear" w:color="auto" w:fill="D4EFF3"/>
          </w:tcPr>
          <w:p>
            <w:pPr>
              <w:jc w:val="right"/>
              <w:ind w:right="10"/>
              <w:spacing w:after="0"/>
              <w:rPr>
                <w:sz w:val="20"/>
                <w:szCs w:val="20"/>
                <w:color w:val="auto"/>
              </w:rPr>
            </w:pPr>
            <w:r>
              <w:rPr>
                <w:rFonts w:ascii="Times New Roman" w:cs="Times New Roman" w:eastAsia="Times New Roman" w:hAnsi="Times New Roman"/>
                <w:sz w:val="20"/>
                <w:szCs w:val="20"/>
                <w:color w:val="auto"/>
              </w:rPr>
              <w:t>11,037</w:t>
            </w: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shd w:val="clear" w:color="auto" w:fill="D4EFF3"/>
          </w:tcPr>
          <w:p>
            <w:pPr>
              <w:spacing w:after="0"/>
              <w:rPr>
                <w:sz w:val="18"/>
                <w:szCs w:val="18"/>
                <w:color w:val="auto"/>
              </w:rPr>
            </w:pPr>
          </w:p>
        </w:tc>
        <w:tc>
          <w:tcPr>
            <w:tcW w:w="1220" w:type="dxa"/>
            <w:vAlign w:val="bottom"/>
            <w:shd w:val="clear" w:color="auto" w:fill="D4EFF3"/>
          </w:tcPr>
          <w:p>
            <w:pPr>
              <w:jc w:val="right"/>
              <w:ind w:right="4"/>
              <w:spacing w:after="0" w:line="215" w:lineRule="exact"/>
              <w:rPr>
                <w:sz w:val="20"/>
                <w:szCs w:val="20"/>
                <w:color w:val="auto"/>
              </w:rPr>
            </w:pPr>
            <w:r>
              <w:rPr>
                <w:rFonts w:ascii="Times New Roman" w:cs="Times New Roman" w:eastAsia="Times New Roman" w:hAnsi="Times New Roman"/>
                <w:sz w:val="20"/>
                <w:szCs w:val="20"/>
                <w:color w:val="auto"/>
              </w:rPr>
              <w:t>1,010,939</w:t>
            </w:r>
          </w:p>
        </w:tc>
        <w:tc>
          <w:tcPr>
            <w:tcW w:w="240" w:type="dxa"/>
            <w:vAlign w:val="bottom"/>
            <w:gridSpan w:val="2"/>
            <w:vMerge w:val="continue"/>
            <w:shd w:val="clear" w:color="auto" w:fill="D4EFF3"/>
          </w:tcPr>
          <w:p>
            <w:pPr>
              <w:spacing w:after="0"/>
              <w:rPr>
                <w:sz w:val="18"/>
                <w:szCs w:val="18"/>
                <w:color w:val="auto"/>
              </w:rPr>
            </w:pPr>
          </w:p>
        </w:tc>
        <w:tc>
          <w:tcPr>
            <w:tcW w:w="960" w:type="dxa"/>
            <w:vAlign w:val="bottom"/>
            <w:vMerge w:val="continue"/>
            <w:shd w:val="clear" w:color="auto" w:fill="D4EFF3"/>
          </w:tcPr>
          <w:p>
            <w:pPr>
              <w:spacing w:after="0"/>
              <w:rPr>
                <w:sz w:val="18"/>
                <w:szCs w:val="18"/>
                <w:color w:val="auto"/>
              </w:rPr>
            </w:pPr>
          </w:p>
        </w:tc>
        <w:tc>
          <w:tcPr>
            <w:tcW w:w="1400" w:type="dxa"/>
            <w:vAlign w:val="bottom"/>
            <w:gridSpan w:val="2"/>
            <w:vMerge w:val="continue"/>
            <w:shd w:val="clear" w:color="auto" w:fill="D4EFF3"/>
          </w:tcPr>
          <w:p>
            <w:pPr>
              <w:spacing w:after="0"/>
              <w:rPr>
                <w:sz w:val="18"/>
                <w:szCs w:val="18"/>
                <w:color w:val="auto"/>
              </w:rPr>
            </w:pPr>
          </w:p>
        </w:tc>
        <w:tc>
          <w:tcPr>
            <w:tcW w:w="260" w:type="dxa"/>
            <w:vAlign w:val="bottom"/>
            <w:gridSpan w:val="2"/>
            <w:vMerge w:val="continue"/>
            <w:shd w:val="clear" w:color="auto" w:fill="D4EFF3"/>
          </w:tcPr>
          <w:p>
            <w:pPr>
              <w:spacing w:after="0"/>
              <w:rPr>
                <w:sz w:val="18"/>
                <w:szCs w:val="18"/>
                <w:color w:val="auto"/>
              </w:rPr>
            </w:pPr>
          </w:p>
        </w:tc>
        <w:tc>
          <w:tcPr>
            <w:tcW w:w="1040" w:type="dxa"/>
            <w:vAlign w:val="bottom"/>
            <w:vMerge w:val="continue"/>
            <w:shd w:val="clear" w:color="auto" w:fill="D4EFF3"/>
          </w:tcPr>
          <w:p>
            <w:pPr>
              <w:spacing w:after="0"/>
              <w:rPr>
                <w:sz w:val="18"/>
                <w:szCs w:val="18"/>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2022 and 2021 was $0.6 million and $0.3 million, respectively.</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weighted-average assumptions used to estimate the fair value of stock options granted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r>
      <w:tr>
        <w:trPr>
          <w:trHeight w:val="174"/>
        </w:trPr>
        <w:tc>
          <w:tcPr>
            <w:tcW w:w="50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Pr>
          <w:p>
            <w:pPr>
              <w:spacing w:after="0"/>
              <w:rPr>
                <w:sz w:val="15"/>
                <w:szCs w:val="15"/>
                <w:color w:val="auto"/>
              </w:rPr>
            </w:pPr>
          </w:p>
        </w:tc>
        <w:tc>
          <w:tcPr>
            <w:tcW w:w="1120" w:type="dxa"/>
            <w:vAlign w:val="bottom"/>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15"/>
                <w:szCs w:val="15"/>
                <w:color w:val="auto"/>
              </w:rPr>
            </w:pPr>
          </w:p>
        </w:tc>
      </w:tr>
      <w:tr>
        <w:trPr>
          <w:trHeight w:val="220"/>
        </w:trPr>
        <w:tc>
          <w:tcPr>
            <w:tcW w:w="5080" w:type="dxa"/>
            <w:vAlign w:val="bottom"/>
            <w:tcBorders>
              <w:top w:val="single" w:sz="8" w:color="D4EFF3"/>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2060" w:type="dxa"/>
            <w:vAlign w:val="bottom"/>
            <w:tcBorders>
              <w:top w:val="single" w:sz="8" w:color="D4EFF3"/>
            </w:tcBorders>
            <w:shd w:val="clear" w:color="auto" w:fill="D4EFF3"/>
          </w:tcPr>
          <w:p>
            <w:pPr>
              <w:spacing w:after="0"/>
              <w:rPr>
                <w:sz w:val="19"/>
                <w:szCs w:val="19"/>
                <w:color w:val="auto"/>
              </w:rPr>
            </w:pPr>
          </w:p>
        </w:tc>
        <w:tc>
          <w:tcPr>
            <w:tcW w:w="900" w:type="dxa"/>
            <w:vAlign w:val="bottom"/>
            <w:tcBorders>
              <w:top w:val="single" w:sz="8" w:color="auto"/>
            </w:tcBorders>
            <w:shd w:val="clear" w:color="auto" w:fill="D4EFF3"/>
          </w:tcPr>
          <w:p>
            <w:pPr>
              <w:spacing w:after="0"/>
              <w:rPr>
                <w:sz w:val="19"/>
                <w:szCs w:val="19"/>
                <w:color w:val="auto"/>
              </w:rPr>
            </w:pPr>
          </w:p>
        </w:tc>
        <w:tc>
          <w:tcPr>
            <w:tcW w:w="68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3.54%</w:t>
            </w:r>
          </w:p>
        </w:tc>
        <w:tc>
          <w:tcPr>
            <w:tcW w:w="140" w:type="dxa"/>
            <w:vAlign w:val="bottom"/>
            <w:tcBorders>
              <w:top w:val="single" w:sz="8" w:color="D4EFF3"/>
            </w:tcBorders>
            <w:shd w:val="clear" w:color="auto" w:fill="D4EFF3"/>
          </w:tcPr>
          <w:p>
            <w:pPr>
              <w:spacing w:after="0"/>
              <w:rPr>
                <w:sz w:val="19"/>
                <w:szCs w:val="19"/>
                <w:color w:val="auto"/>
              </w:rPr>
            </w:pPr>
          </w:p>
        </w:tc>
        <w:tc>
          <w:tcPr>
            <w:tcW w:w="980" w:type="dxa"/>
            <w:vAlign w:val="bottom"/>
            <w:tcBorders>
              <w:top w:val="single" w:sz="8" w:color="auto"/>
            </w:tcBorders>
            <w:shd w:val="clear" w:color="auto" w:fill="D4EFF3"/>
          </w:tcPr>
          <w:p>
            <w:pPr>
              <w:spacing w:after="0"/>
              <w:rPr>
                <w:sz w:val="19"/>
                <w:szCs w:val="19"/>
                <w:color w:val="auto"/>
              </w:rPr>
            </w:pPr>
          </w:p>
        </w:tc>
        <w:tc>
          <w:tcPr>
            <w:tcW w:w="60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0.95%</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5.94</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6.00</w:t>
            </w:r>
          </w:p>
        </w:tc>
      </w:tr>
      <w:tr>
        <w:trPr>
          <w:trHeight w:val="230"/>
        </w:trPr>
        <w:tc>
          <w:tcPr>
            <w:tcW w:w="50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060" w:type="dxa"/>
            <w:vAlign w:val="bottom"/>
            <w:shd w:val="clear" w:color="auto" w:fill="D4EFF3"/>
          </w:tcPr>
          <w:p>
            <w:pPr>
              <w:spacing w:after="0"/>
              <w:rPr>
                <w:sz w:val="19"/>
                <w:szCs w:val="19"/>
                <w:color w:val="auto"/>
              </w:rPr>
            </w:pPr>
          </w:p>
        </w:tc>
        <w:tc>
          <w:tcPr>
            <w:tcW w:w="900" w:type="dxa"/>
            <w:vAlign w:val="bottom"/>
            <w:shd w:val="clear" w:color="auto" w:fill="D4EFF3"/>
          </w:tcPr>
          <w:p>
            <w:pPr>
              <w:spacing w:after="0"/>
              <w:rPr>
                <w:sz w:val="19"/>
                <w:szCs w:val="19"/>
                <w:color w:val="auto"/>
              </w:rPr>
            </w:pPr>
          </w:p>
        </w:tc>
        <w:tc>
          <w:tcPr>
            <w:tcW w:w="6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40" w:type="dxa"/>
            <w:vAlign w:val="bottom"/>
            <w:shd w:val="clear" w:color="auto" w:fill="D4EFF3"/>
          </w:tcPr>
          <w:p>
            <w:pPr>
              <w:spacing w:after="0"/>
              <w:rPr>
                <w:sz w:val="19"/>
                <w:szCs w:val="19"/>
                <w:color w:val="auto"/>
              </w:rPr>
            </w:pPr>
          </w:p>
        </w:tc>
        <w:tc>
          <w:tcPr>
            <w:tcW w:w="980" w:type="dxa"/>
            <w:vAlign w:val="bottom"/>
            <w:shd w:val="clear" w:color="auto" w:fill="D4EFF3"/>
          </w:tcPr>
          <w:p>
            <w:pPr>
              <w:spacing w:after="0"/>
              <w:rPr>
                <w:sz w:val="19"/>
                <w:szCs w:val="19"/>
                <w:color w:val="auto"/>
              </w:rPr>
            </w:pPr>
          </w:p>
        </w:tc>
        <w:tc>
          <w:tcPr>
            <w:tcW w:w="6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30"/>
        </w:trPr>
        <w:tc>
          <w:tcPr>
            <w:tcW w:w="50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Fair value per share of common stock</w:t>
            </w:r>
          </w:p>
        </w:tc>
        <w:tc>
          <w:tcPr>
            <w:tcW w:w="2960" w:type="dxa"/>
            <w:vAlign w:val="bottom"/>
            <w:gridSpan w:val="2"/>
            <w:shd w:val="clear" w:color="auto" w:fill="D4EFF3"/>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20"/>
                <w:szCs w:val="20"/>
                <w:color w:val="auto"/>
              </w:rPr>
              <w:t>13.94</w:t>
            </w:r>
          </w:p>
        </w:tc>
        <w:tc>
          <w:tcPr>
            <w:tcW w:w="1120" w:type="dxa"/>
            <w:vAlign w:val="bottom"/>
            <w:gridSpan w:val="2"/>
            <w:shd w:val="clear" w:color="auto" w:fill="D4EFF3"/>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4EFF3"/>
          </w:tcPr>
          <w:p>
            <w:pPr>
              <w:jc w:val="right"/>
              <w:ind w:right="60"/>
              <w:spacing w:after="0"/>
              <w:rPr>
                <w:sz w:val="20"/>
                <w:szCs w:val="20"/>
                <w:color w:val="auto"/>
              </w:rPr>
            </w:pPr>
            <w:r>
              <w:rPr>
                <w:rFonts w:ascii="Times New Roman" w:cs="Times New Roman" w:eastAsia="Times New Roman" w:hAnsi="Times New Roman"/>
                <w:sz w:val="20"/>
                <w:szCs w:val="20"/>
                <w:color w:val="auto"/>
              </w:rPr>
              <w:t>9.26</w:t>
            </w:r>
          </w:p>
        </w:tc>
      </w:tr>
    </w:tbl>
    <w:p>
      <w:pPr>
        <w:spacing w:after="0" w:line="119"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The weighted-average grant date fair value of options granted in the years ended December 31, 2022 and 2021 was $8.13 and $4.98 per share, respectively.</w:t>
      </w:r>
    </w:p>
    <w:p>
      <w:pPr>
        <w:spacing w:after="0" w:line="49"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auto"/>
        </w:rPr>
        <w:t>The total fair value of options vested during the years ended December 31, 2022 and 2021 was $1.9 million and $0.4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Shares of Restricted Common Stock</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As of December 31, 2022,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440"/>
          </w:cols>
          <w:pgMar w:left="900" w:top="700" w:right="900" w:bottom="175" w:gutter="0" w:footer="0" w:header="0"/>
          <w:type w:val="continuous"/>
        </w:sectPr>
      </w:pPr>
    </w:p>
    <w:bookmarkStart w:id="133" w:name="page134"/>
    <w:bookmarkEnd w:id="133"/>
    <w:p>
      <w:pPr>
        <w:ind w:left="480"/>
        <w:spacing w:after="0"/>
        <w:rPr>
          <w:sz w:val="20"/>
          <w:szCs w:val="20"/>
          <w:color w:val="auto"/>
        </w:rPr>
      </w:pPr>
      <w:r>
        <w:rPr>
          <w:rFonts w:ascii="Times New Roman" w:cs="Times New Roman" w:eastAsia="Times New Roman" w:hAnsi="Times New Roman"/>
          <w:sz w:val="20"/>
          <w:szCs w:val="20"/>
          <w:color w:val="auto"/>
        </w:rPr>
        <w:t>A summary of restricted common stock activity is as follows:</w:t>
      </w:r>
    </w:p>
    <w:p>
      <w:pPr>
        <w:spacing w:after="0" w:line="23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20" w:type="dxa"/>
            <w:vAlign w:val="bottom"/>
          </w:tcPr>
          <w:p>
            <w:pPr>
              <w:spacing w:after="0"/>
              <w:rPr>
                <w:sz w:val="15"/>
                <w:szCs w:val="15"/>
                <w:color w:val="auto"/>
              </w:rPr>
            </w:pPr>
          </w:p>
        </w:tc>
        <w:tc>
          <w:tcPr>
            <w:tcW w:w="9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right"/>
              <w:ind w:right="580"/>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120" w:type="dxa"/>
            <w:vAlign w:val="bottom"/>
            <w:tcBorders>
              <w:top w:val="single" w:sz="8" w:color="D4EFF3"/>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Unvested at the beginning of the year</w:t>
            </w:r>
          </w:p>
        </w:tc>
        <w:tc>
          <w:tcPr>
            <w:tcW w:w="920" w:type="dxa"/>
            <w:vAlign w:val="bottom"/>
            <w:tcBorders>
              <w:top w:val="single" w:sz="8" w:color="auto"/>
            </w:tcBorders>
            <w:shd w:val="clear" w:color="auto" w:fill="D4EFF3"/>
          </w:tcPr>
          <w:p>
            <w:pPr>
              <w:spacing w:after="0"/>
              <w:rPr>
                <w:sz w:val="19"/>
                <w:szCs w:val="19"/>
                <w:color w:val="auto"/>
              </w:rPr>
            </w:pPr>
          </w:p>
        </w:tc>
        <w:tc>
          <w:tcPr>
            <w:tcW w:w="68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10,170</w:t>
            </w:r>
          </w:p>
        </w:tc>
        <w:tc>
          <w:tcPr>
            <w:tcW w:w="120" w:type="dxa"/>
            <w:vAlign w:val="bottom"/>
            <w:tcBorders>
              <w:top w:val="single" w:sz="8" w:color="D4EFF3"/>
            </w:tcBorders>
            <w:shd w:val="clear" w:color="auto" w:fill="D4EFF3"/>
          </w:tcPr>
          <w:p>
            <w:pPr>
              <w:spacing w:after="0"/>
              <w:rPr>
                <w:sz w:val="19"/>
                <w:szCs w:val="19"/>
                <w:color w:val="auto"/>
              </w:rPr>
            </w:pPr>
          </w:p>
        </w:tc>
        <w:tc>
          <w:tcPr>
            <w:tcW w:w="160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24,940</w:t>
            </w:r>
          </w:p>
        </w:tc>
      </w:tr>
      <w:tr>
        <w:trPr>
          <w:trHeight w:val="230"/>
        </w:trPr>
        <w:tc>
          <w:tcPr>
            <w:tcW w:w="712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120" w:type="dxa"/>
            <w:vAlign w:val="bottom"/>
            <w:tcBorders>
              <w:bottom w:val="single" w:sz="8" w:color="D4EFF3"/>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(14,770)</w:t>
            </w:r>
          </w:p>
        </w:tc>
      </w:tr>
      <w:tr>
        <w:trPr>
          <w:trHeight w:val="220"/>
        </w:trPr>
        <w:tc>
          <w:tcPr>
            <w:tcW w:w="71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Unvested at the end of the year</w:t>
            </w:r>
          </w:p>
        </w:tc>
        <w:tc>
          <w:tcPr>
            <w:tcW w:w="920" w:type="dxa"/>
            <w:vAlign w:val="bottom"/>
            <w:tcBorders>
              <w:bottom w:val="single" w:sz="8" w:color="auto"/>
            </w:tcBorders>
            <w:shd w:val="clear" w:color="auto" w:fill="D4EFF3"/>
          </w:tcPr>
          <w:p>
            <w:pPr>
              <w:spacing w:after="0"/>
              <w:rPr>
                <w:sz w:val="19"/>
                <w:szCs w:val="19"/>
                <w:color w:val="auto"/>
              </w:rPr>
            </w:pPr>
          </w:p>
        </w:tc>
        <w:tc>
          <w:tcPr>
            <w:tcW w:w="68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1,916</w:t>
            </w:r>
          </w:p>
        </w:tc>
        <w:tc>
          <w:tcPr>
            <w:tcW w:w="120" w:type="dxa"/>
            <w:vAlign w:val="bottom"/>
            <w:shd w:val="clear" w:color="auto" w:fill="D4EFF3"/>
          </w:tcPr>
          <w:p>
            <w:pPr>
              <w:spacing w:after="0"/>
              <w:rPr>
                <w:sz w:val="19"/>
                <w:szCs w:val="19"/>
                <w:color w:val="auto"/>
              </w:rPr>
            </w:pPr>
          </w:p>
        </w:tc>
        <w:tc>
          <w:tcPr>
            <w:tcW w:w="160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10,170</w:t>
            </w:r>
          </w:p>
        </w:tc>
      </w:tr>
      <w:tr>
        <w:trPr>
          <w:trHeight w:val="20"/>
        </w:trPr>
        <w:tc>
          <w:tcPr>
            <w:tcW w:w="7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2022, the unrecognized stock-based compensation expense related to restricted common stock is expected to be recognized over a weighted-average period of 0.25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0"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Total stock-based compensation expense recorded as research and development and general and administrative expenses, respectively, for employees, directors and non-employees is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74"/>
        </w:trPr>
        <w:tc>
          <w:tcPr>
            <w:tcW w:w="5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15"/>
                <w:szCs w:val="15"/>
                <w:color w:val="auto"/>
              </w:rPr>
            </w:pPr>
          </w:p>
        </w:tc>
        <w:tc>
          <w:tcPr>
            <w:tcW w:w="1180" w:type="dxa"/>
            <w:vAlign w:val="bottom"/>
            <w:gridSpan w:val="2"/>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Pr>
          <w:p>
            <w:pPr>
              <w:spacing w:after="0"/>
              <w:rPr>
                <w:sz w:val="15"/>
                <w:szCs w:val="15"/>
                <w:color w:val="auto"/>
              </w:rPr>
            </w:pPr>
          </w:p>
        </w:tc>
      </w:tr>
      <w:tr>
        <w:trPr>
          <w:trHeight w:val="220"/>
        </w:trPr>
        <w:tc>
          <w:tcPr>
            <w:tcW w:w="5220" w:type="dxa"/>
            <w:vAlign w:val="bottom"/>
            <w:tcBorders>
              <w:top w:val="single" w:sz="8" w:color="D4EFF3"/>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1940" w:type="dxa"/>
            <w:vAlign w:val="bottom"/>
            <w:tcBorders>
              <w:top w:val="single" w:sz="8" w:color="D4EFF3"/>
            </w:tcBorders>
            <w:shd w:val="clear" w:color="auto" w:fill="D4EFF3"/>
          </w:tcPr>
          <w:p>
            <w:pPr>
              <w:spacing w:after="0"/>
              <w:rPr>
                <w:sz w:val="19"/>
                <w:szCs w:val="19"/>
                <w:color w:val="auto"/>
              </w:rPr>
            </w:pPr>
          </w:p>
        </w:tc>
        <w:tc>
          <w:tcPr>
            <w:tcW w:w="940" w:type="dxa"/>
            <w:vAlign w:val="bottom"/>
            <w:tcBorders>
              <w:top w:val="single" w:sz="8" w:color="auto"/>
            </w:tcBorders>
            <w:shd w:val="clear" w:color="auto" w:fill="D4EFF3"/>
          </w:tcPr>
          <w:p>
            <w:pPr>
              <w:jc w:val="right"/>
              <w:ind w:right="7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581</w:t>
            </w:r>
          </w:p>
        </w:tc>
        <w:tc>
          <w:tcPr>
            <w:tcW w:w="180" w:type="dxa"/>
            <w:vAlign w:val="bottom"/>
            <w:tcBorders>
              <w:top w:val="single" w:sz="8" w:color="D4EFF3"/>
            </w:tcBorders>
            <w:shd w:val="clear" w:color="auto" w:fill="D4EFF3"/>
          </w:tcPr>
          <w:p>
            <w:pPr>
              <w:spacing w:after="0"/>
              <w:rPr>
                <w:sz w:val="19"/>
                <w:szCs w:val="19"/>
                <w:color w:val="auto"/>
              </w:rPr>
            </w:pPr>
          </w:p>
        </w:tc>
        <w:tc>
          <w:tcPr>
            <w:tcW w:w="1000" w:type="dxa"/>
            <w:vAlign w:val="bottom"/>
            <w:tcBorders>
              <w:top w:val="single" w:sz="8" w:color="auto"/>
            </w:tcBorders>
            <w:shd w:val="clear" w:color="auto" w:fill="D4EFF3"/>
          </w:tcPr>
          <w:p>
            <w:pPr>
              <w:jc w:val="right"/>
              <w:ind w:right="8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223</w:t>
            </w:r>
          </w:p>
        </w:tc>
      </w:tr>
      <w:tr>
        <w:trPr>
          <w:trHeight w:val="230"/>
        </w:trPr>
        <w:tc>
          <w:tcPr>
            <w:tcW w:w="52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940" w:type="dxa"/>
            <w:vAlign w:val="bottom"/>
            <w:tcBorders>
              <w:bottom w:val="single" w:sz="8" w:color="D4EFF3"/>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1,508</w:t>
            </w:r>
          </w:p>
        </w:tc>
        <w:tc>
          <w:tcPr>
            <w:tcW w:w="180" w:type="dxa"/>
            <w:vAlign w:val="bottom"/>
            <w:tcBorders>
              <w:bottom w:val="single" w:sz="8" w:color="D4EFF3"/>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w:t>
            </w:r>
          </w:p>
        </w:tc>
      </w:tr>
      <w:tr>
        <w:trPr>
          <w:trHeight w:val="220"/>
        </w:trPr>
        <w:tc>
          <w:tcPr>
            <w:tcW w:w="52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Total stock-based compensation expense</w:t>
            </w:r>
          </w:p>
        </w:tc>
        <w:tc>
          <w:tcPr>
            <w:tcW w:w="1940" w:type="dxa"/>
            <w:vAlign w:val="bottom"/>
            <w:shd w:val="clear" w:color="auto" w:fill="D4EFF3"/>
          </w:tcPr>
          <w:p>
            <w:pPr>
              <w:spacing w:after="0"/>
              <w:rPr>
                <w:sz w:val="19"/>
                <w:szCs w:val="19"/>
                <w:color w:val="auto"/>
              </w:rPr>
            </w:pPr>
          </w:p>
        </w:tc>
        <w:tc>
          <w:tcPr>
            <w:tcW w:w="940" w:type="dxa"/>
            <w:vAlign w:val="bottom"/>
            <w:tcBorders>
              <w:bottom w:val="single" w:sz="8" w:color="auto"/>
            </w:tcBorders>
            <w:shd w:val="clear" w:color="auto" w:fill="D4EFF3"/>
          </w:tcPr>
          <w:p>
            <w:pPr>
              <w:jc w:val="right"/>
              <w:ind w:right="7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2,089</w:t>
            </w:r>
          </w:p>
        </w:tc>
        <w:tc>
          <w:tcPr>
            <w:tcW w:w="180" w:type="dxa"/>
            <w:vAlign w:val="bottom"/>
            <w:shd w:val="clear" w:color="auto" w:fill="D4EFF3"/>
          </w:tcPr>
          <w:p>
            <w:pPr>
              <w:spacing w:after="0"/>
              <w:rPr>
                <w:sz w:val="19"/>
                <w:szCs w:val="19"/>
                <w:color w:val="auto"/>
              </w:rPr>
            </w:pPr>
          </w:p>
        </w:tc>
        <w:tc>
          <w:tcPr>
            <w:tcW w:w="1000" w:type="dxa"/>
            <w:vAlign w:val="bottom"/>
            <w:tcBorders>
              <w:bottom w:val="single" w:sz="8" w:color="auto"/>
            </w:tcBorders>
            <w:shd w:val="clear" w:color="auto" w:fill="D4EFF3"/>
          </w:tcPr>
          <w:p>
            <w:pPr>
              <w:jc w:val="right"/>
              <w:ind w:right="8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507</w:t>
            </w:r>
          </w:p>
        </w:tc>
      </w:tr>
      <w:tr>
        <w:trPr>
          <w:trHeight w:val="20"/>
        </w:trPr>
        <w:tc>
          <w:tcPr>
            <w:tcW w:w="5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2022, the total unrecognized stock-based compensation expense related to outstanding awards was $10.0 million and is expected to be recognized over a weighted-average period of 2.98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is as follows:</w:t>
      </w:r>
    </w:p>
    <w:p>
      <w:pPr>
        <w:spacing w:after="0" w:line="23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080" w:type="dxa"/>
            <w:vAlign w:val="bottom"/>
            <w:tcBorders>
              <w:top w:val="single" w:sz="8" w:color="D4EFF3"/>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Federal statutory income tax rate</w:t>
            </w:r>
          </w:p>
        </w:tc>
        <w:tc>
          <w:tcPr>
            <w:tcW w:w="980" w:type="dxa"/>
            <w:vAlign w:val="bottom"/>
            <w:tcBorders>
              <w:top w:val="single" w:sz="8" w:color="auto"/>
            </w:tcBorders>
            <w:shd w:val="clear" w:color="auto" w:fill="D4EFF3"/>
          </w:tcPr>
          <w:p>
            <w:pPr>
              <w:spacing w:after="0"/>
              <w:rPr>
                <w:sz w:val="19"/>
                <w:szCs w:val="19"/>
                <w:color w:val="auto"/>
              </w:rPr>
            </w:pPr>
          </w:p>
        </w:tc>
        <w:tc>
          <w:tcPr>
            <w:tcW w:w="66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21.0%</w:t>
            </w:r>
          </w:p>
        </w:tc>
        <w:tc>
          <w:tcPr>
            <w:tcW w:w="100" w:type="dxa"/>
            <w:vAlign w:val="bottom"/>
            <w:tcBorders>
              <w:top w:val="single" w:sz="8" w:color="D4EFF3"/>
            </w:tcBorders>
            <w:shd w:val="clear" w:color="auto" w:fill="D4EFF3"/>
          </w:tcPr>
          <w:p>
            <w:pPr>
              <w:spacing w:after="0"/>
              <w:rPr>
                <w:sz w:val="19"/>
                <w:szCs w:val="19"/>
                <w:color w:val="auto"/>
              </w:rPr>
            </w:pPr>
          </w:p>
        </w:tc>
        <w:tc>
          <w:tcPr>
            <w:tcW w:w="162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21.0%</w:t>
            </w:r>
          </w:p>
        </w:tc>
      </w:tr>
      <w:tr>
        <w:trPr>
          <w:trHeight w:val="230"/>
        </w:trPr>
        <w:tc>
          <w:tcPr>
            <w:tcW w:w="7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980" w:type="dxa"/>
            <w:vAlign w:val="bottom"/>
          </w:tcPr>
          <w:p>
            <w:pPr>
              <w:spacing w:after="0"/>
              <w:rPr>
                <w:sz w:val="19"/>
                <w:szCs w:val="19"/>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6.3</w:t>
            </w:r>
          </w:p>
        </w:tc>
        <w:tc>
          <w:tcPr>
            <w:tcW w:w="100" w:type="dxa"/>
            <w:vAlign w:val="bottom"/>
          </w:tcPr>
          <w:p>
            <w:pPr>
              <w:spacing w:after="0"/>
              <w:rPr>
                <w:sz w:val="19"/>
                <w:szCs w:val="19"/>
                <w:color w:val="auto"/>
              </w:rPr>
            </w:pPr>
          </w:p>
        </w:tc>
        <w:tc>
          <w:tcPr>
            <w:tcW w:w="16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806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Federal and state research and development tax credits</w:t>
            </w:r>
          </w:p>
        </w:tc>
        <w:tc>
          <w:tcPr>
            <w:tcW w:w="660" w:type="dxa"/>
            <w:vAlign w:val="bottom"/>
            <w:shd w:val="clear" w:color="auto" w:fill="D4EFF3"/>
          </w:tcPr>
          <w:p>
            <w:pPr>
              <w:jc w:val="right"/>
              <w:ind w:right="80"/>
              <w:spacing w:after="0"/>
              <w:rPr>
                <w:sz w:val="20"/>
                <w:szCs w:val="20"/>
                <w:color w:val="auto"/>
              </w:rPr>
            </w:pPr>
            <w:r>
              <w:rPr>
                <w:rFonts w:ascii="Times New Roman" w:cs="Times New Roman" w:eastAsia="Times New Roman" w:hAnsi="Times New Roman"/>
                <w:sz w:val="20"/>
                <w:szCs w:val="20"/>
                <w:color w:val="auto"/>
              </w:rPr>
              <w:t>3.5</w:t>
            </w:r>
          </w:p>
        </w:tc>
        <w:tc>
          <w:tcPr>
            <w:tcW w:w="1720" w:type="dxa"/>
            <w:vAlign w:val="bottom"/>
            <w:gridSpan w:val="2"/>
            <w:shd w:val="clear" w:color="auto" w:fill="D4EFF3"/>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80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30"/>
        </w:trPr>
        <w:tc>
          <w:tcPr>
            <w:tcW w:w="806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Change in deferred tax asset valuation allowance</w:t>
            </w:r>
          </w:p>
        </w:tc>
        <w:tc>
          <w:tcPr>
            <w:tcW w:w="6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17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(29.3)</w:t>
            </w:r>
          </w:p>
        </w:tc>
      </w:tr>
      <w:tr>
        <w:trPr>
          <w:trHeight w:val="220"/>
        </w:trPr>
        <w:tc>
          <w:tcPr>
            <w:tcW w:w="70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Effective income tax rate</w:t>
            </w: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0%</w:t>
            </w:r>
          </w:p>
        </w:tc>
        <w:tc>
          <w:tcPr>
            <w:tcW w:w="1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0%</w:t>
            </w:r>
          </w:p>
        </w:tc>
      </w:tr>
      <w:tr>
        <w:trPr>
          <w:trHeight w:val="20"/>
        </w:trPr>
        <w:tc>
          <w:tcPr>
            <w:tcW w:w="7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For the twelve months ended December 31, 2022 and 2021, no income tax expense was recorded due to the Company’s net operating loss (“NOL”) and full valuation allowance.</w:t>
      </w:r>
    </w:p>
    <w:p>
      <w:pPr>
        <w:spacing w:after="0" w:line="49" w:lineRule="exact"/>
        <w:rPr>
          <w:sz w:val="20"/>
          <w:szCs w:val="20"/>
          <w:color w:val="auto"/>
        </w:rPr>
      </w:pPr>
    </w:p>
    <w:p>
      <w:pPr>
        <w:ind w:right="540" w:firstLine="490"/>
        <w:spacing w:after="0" w:line="258"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174"/>
        </w:trPr>
        <w:tc>
          <w:tcPr>
            <w:tcW w:w="7160" w:type="dxa"/>
            <w:vAlign w:val="bottom"/>
            <w:tcBorders>
              <w:bottom w:val="single" w:sz="8" w:color="D4EFF3"/>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4EFF3"/>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1"/>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1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spacing w:after="0"/>
              <w:rPr>
                <w:sz w:val="19"/>
                <w:szCs w:val="19"/>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18,882</w:t>
            </w:r>
          </w:p>
        </w:tc>
        <w:tc>
          <w:tcPr>
            <w:tcW w:w="180" w:type="dxa"/>
            <w:vAlign w:val="bottom"/>
          </w:tcPr>
          <w:p>
            <w:pPr>
              <w:spacing w:after="0"/>
              <w:rPr>
                <w:sz w:val="19"/>
                <w:szCs w:val="19"/>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15,128</w:t>
            </w: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Research and experimental expenditures</w:t>
            </w: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7,608</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credits</w:t>
            </w: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3,550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1,639</w:t>
            </w: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Capitalized licenses</w:t>
            </w: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3,142</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3,214</w:t>
            </w: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2,416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565</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rPr>
                <w:sz w:val="20"/>
                <w:szCs w:val="20"/>
                <w:color w:val="auto"/>
              </w:rPr>
            </w:pPr>
            <w:r>
              <w:rPr>
                <w:rFonts w:ascii="Times New Roman" w:cs="Times New Roman" w:eastAsia="Times New Roman" w:hAnsi="Times New Roman"/>
                <w:sz w:val="20"/>
                <w:szCs w:val="20"/>
                <w:color w:val="auto"/>
              </w:rPr>
              <w:t>34</w:t>
            </w:r>
          </w:p>
        </w:tc>
      </w:tr>
      <w:tr>
        <w:trPr>
          <w:trHeight w:val="230"/>
        </w:trPr>
        <w:tc>
          <w:tcPr>
            <w:tcW w:w="716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359</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452</w:t>
            </w:r>
          </w:p>
        </w:tc>
      </w:tr>
      <w:tr>
        <w:trPr>
          <w:trHeight w:val="220"/>
        </w:trPr>
        <w:tc>
          <w:tcPr>
            <w:tcW w:w="7160" w:type="dxa"/>
            <w:vAlign w:val="bottom"/>
            <w:shd w:val="clear" w:color="auto" w:fill="D4EFF3"/>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deferred tax assets</w:t>
            </w: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36,522</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20,467</w:t>
            </w:r>
          </w:p>
        </w:tc>
      </w:tr>
      <w:tr>
        <w:trPr>
          <w:trHeight w:val="230"/>
        </w:trPr>
        <w:tc>
          <w:tcPr>
            <w:tcW w:w="71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(36,102)</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(19,997)</w:t>
            </w:r>
          </w:p>
        </w:tc>
      </w:tr>
      <w:tr>
        <w:trPr>
          <w:trHeight w:val="220"/>
        </w:trPr>
        <w:tc>
          <w:tcPr>
            <w:tcW w:w="71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340" w:type="dxa"/>
            <w:vAlign w:val="bottom"/>
            <w:tcBorders>
              <w:bottom w:val="single" w:sz="8" w:color="auto"/>
            </w:tcBorders>
            <w:shd w:val="clear" w:color="auto" w:fill="D4EFF3"/>
          </w:tcPr>
          <w:p>
            <w:pPr>
              <w:spacing w:after="0"/>
              <w:rPr>
                <w:sz w:val="19"/>
                <w:szCs w:val="19"/>
                <w:color w:val="auto"/>
              </w:rPr>
            </w:pPr>
          </w:p>
        </w:tc>
        <w:tc>
          <w:tcPr>
            <w:tcW w:w="1220" w:type="dxa"/>
            <w:vAlign w:val="bottom"/>
            <w:tcBorders>
              <w:bottom w:val="single" w:sz="8" w:color="auto"/>
            </w:tcBorders>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420</w:t>
            </w:r>
          </w:p>
        </w:tc>
        <w:tc>
          <w:tcPr>
            <w:tcW w:w="180" w:type="dxa"/>
            <w:vAlign w:val="bottom"/>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spacing w:after="0"/>
              <w:rPr>
                <w:sz w:val="19"/>
                <w:szCs w:val="19"/>
                <w:color w:val="auto"/>
              </w:rPr>
            </w:pPr>
          </w:p>
        </w:tc>
        <w:tc>
          <w:tcPr>
            <w:tcW w:w="1100" w:type="dxa"/>
            <w:vAlign w:val="bottom"/>
            <w:tcBorders>
              <w:bottom w:val="single" w:sz="8" w:color="auto"/>
            </w:tcBorders>
            <w:shd w:val="clear" w:color="auto" w:fill="D4EFF3"/>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470</w:t>
            </w:r>
          </w:p>
        </w:tc>
      </w:tr>
      <w:tr>
        <w:trPr>
          <w:trHeight w:val="220"/>
        </w:trPr>
        <w:tc>
          <w:tcPr>
            <w:tcW w:w="7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Deferred tax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180" w:type="dxa"/>
            <w:vAlign w:val="bottom"/>
            <w:shd w:val="clear" w:color="auto" w:fill="D4EFF3"/>
          </w:tcPr>
          <w:p>
            <w:pPr>
              <w:spacing w:after="0"/>
              <w:rPr>
                <w:sz w:val="19"/>
                <w:szCs w:val="19"/>
                <w:color w:val="auto"/>
              </w:rPr>
            </w:pPr>
          </w:p>
        </w:tc>
        <w:tc>
          <w:tcPr>
            <w:tcW w:w="440" w:type="dxa"/>
            <w:vAlign w:val="bottom"/>
            <w:shd w:val="clear" w:color="auto" w:fill="D4EFF3"/>
          </w:tcPr>
          <w:p>
            <w:pPr>
              <w:spacing w:after="0"/>
              <w:rPr>
                <w:sz w:val="19"/>
                <w:szCs w:val="19"/>
                <w:color w:val="auto"/>
              </w:rPr>
            </w:pPr>
          </w:p>
        </w:tc>
        <w:tc>
          <w:tcPr>
            <w:tcW w:w="11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(448)</w:t>
            </w:r>
          </w:p>
        </w:tc>
      </w:tr>
      <w:tr>
        <w:trPr>
          <w:trHeight w:val="230"/>
        </w:trPr>
        <w:tc>
          <w:tcPr>
            <w:tcW w:w="716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80" w:type="dxa"/>
            <w:vAlign w:val="bottom"/>
            <w:tcBorders>
              <w:bottom w:val="single" w:sz="8" w:color="D4EF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0"/>
        </w:trPr>
        <w:tc>
          <w:tcPr>
            <w:tcW w:w="7160" w:type="dxa"/>
            <w:vAlign w:val="bottom"/>
            <w:shd w:val="clear" w:color="auto" w:fill="D4EFF3"/>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340" w:type="dxa"/>
            <w:vAlign w:val="bottom"/>
            <w:tcBorders>
              <w:bottom w:val="single" w:sz="8" w:color="auto"/>
            </w:tcBorders>
            <w:shd w:val="clear" w:color="auto" w:fill="D4EFF3"/>
          </w:tcPr>
          <w:p>
            <w:pPr>
              <w:spacing w:after="0"/>
              <w:rPr>
                <w:sz w:val="19"/>
                <w:szCs w:val="19"/>
                <w:color w:val="auto"/>
              </w:rPr>
            </w:pPr>
          </w:p>
        </w:tc>
        <w:tc>
          <w:tcPr>
            <w:tcW w:w="122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(420)</w:t>
            </w:r>
          </w:p>
        </w:tc>
        <w:tc>
          <w:tcPr>
            <w:tcW w:w="180" w:type="dxa"/>
            <w:vAlign w:val="bottom"/>
            <w:shd w:val="clear" w:color="auto" w:fill="D4EFF3"/>
          </w:tcPr>
          <w:p>
            <w:pPr>
              <w:spacing w:after="0"/>
              <w:rPr>
                <w:sz w:val="19"/>
                <w:szCs w:val="19"/>
                <w:color w:val="auto"/>
              </w:rPr>
            </w:pPr>
          </w:p>
        </w:tc>
        <w:tc>
          <w:tcPr>
            <w:tcW w:w="440" w:type="dxa"/>
            <w:vAlign w:val="bottom"/>
            <w:tcBorders>
              <w:bottom w:val="single" w:sz="8" w:color="auto"/>
            </w:tcBorders>
            <w:shd w:val="clear" w:color="auto" w:fill="D4EFF3"/>
          </w:tcPr>
          <w:p>
            <w:pPr>
              <w:spacing w:after="0"/>
              <w:rPr>
                <w:sz w:val="19"/>
                <w:szCs w:val="19"/>
                <w:color w:val="auto"/>
              </w:rPr>
            </w:pPr>
          </w:p>
        </w:tc>
        <w:tc>
          <w:tcPr>
            <w:tcW w:w="110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(470)</w:t>
            </w:r>
          </w:p>
        </w:tc>
      </w:tr>
      <w:tr>
        <w:trPr>
          <w:trHeight w:val="220"/>
        </w:trPr>
        <w:tc>
          <w:tcPr>
            <w:tcW w:w="7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w:t>
            </w:r>
          </w:p>
        </w:tc>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700" w:right="900" w:bottom="175" w:gutter="0" w:footer="0" w:header="0"/>
        </w:sectPr>
      </w:pP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10440"/>
          </w:cols>
          <w:pgMar w:left="900" w:top="700" w:right="900" w:bottom="175" w:gutter="0" w:footer="0" w:header="0"/>
          <w:type w:val="continuous"/>
        </w:sectPr>
      </w:pPr>
    </w:p>
    <w:bookmarkStart w:id="134" w:name="page135"/>
    <w:bookmarkEnd w:id="134"/>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has had no income tax expense due to operating losses incurred since inception. The Company’s losses before income taxes consist solely of losses from domestic operations.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2022, the valuation allowance increased by $16.1 million primarily due to the increase in the Company’s net operating loss, capitalized expenditures and tax credit carryforwards during the period.</w:t>
      </w:r>
    </w:p>
    <w:p>
      <w:pPr>
        <w:spacing w:after="0" w:line="8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As of December 31, 2022, the Company had $69.3 million and $67.7 million of federal and state operating loss carryforwards, respectively. The pre-merger net operating loss carryforwards of Gemini were written off in the transaction as these would be permanently restricted from use as a result of Section 382 of the Internal Revenue Code of 1986 (“Section 382”). Substantially all of the federal NOLs are not subject to expiration and the state NOLs begin to expire in 2037. These loss carryforwards are available to reduce future federal taxable income, if any. As of December 31, 2022, the Company also had federal and state research and development tax credit carryforwards of $2.7 million and $1.1 million respectively, to offset future income taxes, which will begin to expire beginning in December 2032. These loss carryforwards are subject to review and possible adjustment by the appropriate taxing authorities.</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2022, would limit or otherwise restrict its ability to utilize its NOL and research and development credit carryforwards. In addition, future changes in ownership occurring after December 31, 2022 could affect the limitation in future years, and any limitation may result in expiration of a portion of the NOL or research and development credit carryforwards before utilization.</w:t>
      </w:r>
    </w:p>
    <w:p>
      <w:pPr>
        <w:spacing w:after="0" w:line="86"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auto"/>
        </w:rPr>
        <w:t>Beginning in 2022, the Tax Cuts and Jobs Act ("TCJA") amended Section 174 and now requires U.S.-based and non-U.S.-based research and experimental expenditures to be capitalized and amortized over a period of five or 15 years, respectively, for amounts paid in tax years starting after December 31, 2021. Prior to the TCJA amendment, Section 174 allowed taxpayers to immediately deduct research and experimental expenditures in the year paid or incurred. The Company has applied this required change in accounting method beginning in 2022 and the computation may be adjusted pending future IRS guidance.</w:t>
      </w:r>
    </w:p>
    <w:p>
      <w:pPr>
        <w:spacing w:after="0" w:line="64"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On December 18, 2015, the Protecting Americans from Tax Hikes (“PATH”) Act of 2015 was signed into law. The PATH Act has created several research and development credit provisions, including allowing a qualified small business to utilize the research credit against the employer portion of payroll tax (i.e., FICA tax) not exceeding $0.3 million per year. This provision is available for credits generated in tax years beginning after 2015. The Company qualifies as a small business for 2022 and will elect to make a small business election.</w:t>
      </w:r>
    </w:p>
    <w:p>
      <w:pPr>
        <w:spacing w:after="0" w:line="77"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19"/>
          <w:szCs w:val="19"/>
          <w:color w:val="auto"/>
        </w:rPr>
        <w:t xml:space="preserve">The Company follows the provisions of ASC 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2022 and 2021,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2022 and 2021, the Company had no reserves for uncertain tax positions. For the years ended December 31, 2022 and 2021, no estimated interest or penalties were recognized on uncertain tax positions.</w:t>
      </w:r>
    </w:p>
    <w:p>
      <w:pPr>
        <w:spacing w:after="0" w:line="66"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auto"/>
        </w:rPr>
        <w:t>The Company’s tax returns for the years ended December 31, 2019 to December 31, 2022 remain open and subject to examination by the Internal Revenue Service and state taxing authorities.</w:t>
      </w:r>
    </w:p>
    <w:p>
      <w:pPr>
        <w:sectPr>
          <w:pgSz w:w="12240" w:h="15840" w:orient="portrait"/>
          <w:cols w:equalWidth="0" w:num="1">
            <w:col w:w="10440"/>
          </w:cols>
          <w:pgMar w:left="900" w:top="838"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440"/>
          </w:cols>
          <w:pgMar w:left="900" w:top="838" w:right="900" w:bottom="175" w:gutter="0" w:footer="0" w:header="0"/>
          <w:type w:val="continuous"/>
        </w:sectPr>
      </w:pPr>
    </w:p>
    <w:bookmarkStart w:id="135" w:name="page136"/>
    <w:bookmarkEnd w:id="135"/>
    <w:p>
      <w:pPr>
        <w:ind w:left="7"/>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124" w:lineRule="exact"/>
        <w:rPr>
          <w:sz w:val="20"/>
          <w:szCs w:val="20"/>
          <w:color w:val="auto"/>
        </w:rPr>
      </w:pPr>
    </w:p>
    <w:p>
      <w:pPr>
        <w:ind w:left="7" w:right="180" w:firstLine="490"/>
        <w:spacing w:after="0" w:line="258" w:lineRule="auto"/>
        <w:rPr>
          <w:sz w:val="20"/>
          <w:szCs w:val="20"/>
          <w:color w:val="auto"/>
        </w:rPr>
      </w:pPr>
      <w:r>
        <w:rPr>
          <w:rFonts w:ascii="Times New Roman" w:cs="Times New Roman" w:eastAsia="Times New Roman" w:hAnsi="Times New Roman"/>
          <w:sz w:val="20"/>
          <w:szCs w:val="20"/>
          <w:color w:val="auto"/>
        </w:rPr>
        <w:t>Basic and diluted loss per share is computed by dividing net loss attributable to common stockholders by the weighted-average common shares outstanding. The following table sets forth the computation of the Company’s basic and diluted net loss per share (in thousands, except share and per share data):</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600" w:type="dxa"/>
            <w:vAlign w:val="bottom"/>
            <w:tcBorders>
              <w:bottom w:val="single" w:sz="8" w:color="D4EFF3"/>
            </w:tcBorders>
          </w:tcPr>
          <w:p>
            <w:pPr>
              <w:spacing w:after="0"/>
              <w:rPr>
                <w:sz w:val="15"/>
                <w:szCs w:val="15"/>
                <w:color w:val="auto"/>
              </w:rPr>
            </w:pPr>
          </w:p>
        </w:tc>
        <w:tc>
          <w:tcPr>
            <w:tcW w:w="560" w:type="dxa"/>
            <w:vAlign w:val="bottom"/>
            <w:tcBorders>
              <w:bottom w:val="single" w:sz="8" w:color="D4EFF3"/>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4EFF3"/>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5"/>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66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Numerator:</w:t>
            </w:r>
          </w:p>
        </w:tc>
        <w:tc>
          <w:tcPr>
            <w:tcW w:w="560" w:type="dxa"/>
            <w:vAlign w:val="bottom"/>
            <w:shd w:val="clear" w:color="auto" w:fill="D4EFF3"/>
          </w:tcPr>
          <w:p>
            <w:pPr>
              <w:spacing w:after="0"/>
              <w:rPr>
                <w:sz w:val="19"/>
                <w:szCs w:val="19"/>
                <w:color w:val="auto"/>
              </w:rPr>
            </w:pPr>
          </w:p>
        </w:tc>
        <w:tc>
          <w:tcPr>
            <w:tcW w:w="34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220" w:type="dxa"/>
            <w:vAlign w:val="bottom"/>
            <w:shd w:val="clear" w:color="auto" w:fill="D4EFF3"/>
          </w:tcPr>
          <w:p>
            <w:pPr>
              <w:spacing w:after="0"/>
              <w:rPr>
                <w:sz w:val="19"/>
                <w:szCs w:val="19"/>
                <w:color w:val="auto"/>
              </w:rPr>
            </w:pPr>
          </w:p>
        </w:tc>
      </w:tr>
      <w:tr>
        <w:trPr>
          <w:trHeight w:val="270"/>
        </w:trPr>
        <w:tc>
          <w:tcPr>
            <w:tcW w:w="660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Net loss attributable to common stockholders-basic and diluted</w:t>
            </w:r>
          </w:p>
        </w:tc>
        <w:tc>
          <w:tcPr>
            <w:tcW w:w="560" w:type="dxa"/>
            <w:vAlign w:val="bottom"/>
            <w:tcBorders>
              <w:bottom w:val="single" w:sz="8" w:color="D4EFF3"/>
            </w:tcBorders>
          </w:tcPr>
          <w:p>
            <w:pPr>
              <w:spacing w:after="0"/>
              <w:rPr>
                <w:sz w:val="23"/>
                <w:szCs w:val="23"/>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(46,827)</w:t>
            </w:r>
          </w:p>
        </w:tc>
        <w:tc>
          <w:tcPr>
            <w:tcW w:w="180" w:type="dxa"/>
            <w:vAlign w:val="bottom"/>
            <w:tcBorders>
              <w:bottom w:val="single" w:sz="8" w:color="D4EFF3"/>
            </w:tcBorders>
          </w:tcPr>
          <w:p>
            <w:pPr>
              <w:spacing w:after="0"/>
              <w:rPr>
                <w:sz w:val="23"/>
                <w:szCs w:val="23"/>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(35,969)</w:t>
            </w:r>
          </w:p>
        </w:tc>
      </w:tr>
      <w:tr>
        <w:trPr>
          <w:trHeight w:val="215"/>
        </w:trPr>
        <w:tc>
          <w:tcPr>
            <w:tcW w:w="6600" w:type="dxa"/>
            <w:vAlign w:val="bottom"/>
            <w:shd w:val="clear" w:color="auto" w:fill="D4EFF3"/>
          </w:tcPr>
          <w:p>
            <w:pPr>
              <w:spacing w:after="0" w:line="215" w:lineRule="exact"/>
              <w:rPr>
                <w:sz w:val="20"/>
                <w:szCs w:val="20"/>
                <w:color w:val="auto"/>
              </w:rPr>
            </w:pPr>
            <w:r>
              <w:rPr>
                <w:rFonts w:ascii="Times New Roman" w:cs="Times New Roman" w:eastAsia="Times New Roman" w:hAnsi="Times New Roman"/>
                <w:sz w:val="20"/>
                <w:szCs w:val="20"/>
                <w:color w:val="auto"/>
              </w:rPr>
              <w:t>Denominator:</w:t>
            </w:r>
          </w:p>
        </w:tc>
        <w:tc>
          <w:tcPr>
            <w:tcW w:w="560" w:type="dxa"/>
            <w:vAlign w:val="bottom"/>
            <w:shd w:val="clear" w:color="auto" w:fill="D4EFF3"/>
          </w:tcPr>
          <w:p>
            <w:pPr>
              <w:spacing w:after="0"/>
              <w:rPr>
                <w:sz w:val="18"/>
                <w:szCs w:val="18"/>
                <w:color w:val="auto"/>
              </w:rPr>
            </w:pPr>
          </w:p>
        </w:tc>
        <w:tc>
          <w:tcPr>
            <w:tcW w:w="340" w:type="dxa"/>
            <w:vAlign w:val="bottom"/>
            <w:shd w:val="clear" w:color="auto" w:fill="D4EFF3"/>
          </w:tcPr>
          <w:p>
            <w:pPr>
              <w:spacing w:after="0"/>
              <w:rPr>
                <w:sz w:val="18"/>
                <w:szCs w:val="18"/>
                <w:color w:val="auto"/>
              </w:rPr>
            </w:pPr>
          </w:p>
        </w:tc>
        <w:tc>
          <w:tcPr>
            <w:tcW w:w="1220" w:type="dxa"/>
            <w:vAlign w:val="bottom"/>
            <w:shd w:val="clear" w:color="auto" w:fill="D4EFF3"/>
          </w:tcPr>
          <w:p>
            <w:pPr>
              <w:spacing w:after="0"/>
              <w:rPr>
                <w:sz w:val="18"/>
                <w:szCs w:val="18"/>
                <w:color w:val="auto"/>
              </w:rPr>
            </w:pPr>
          </w:p>
        </w:tc>
        <w:tc>
          <w:tcPr>
            <w:tcW w:w="180" w:type="dxa"/>
            <w:vAlign w:val="bottom"/>
            <w:shd w:val="clear" w:color="auto" w:fill="D4EFF3"/>
          </w:tcPr>
          <w:p>
            <w:pPr>
              <w:spacing w:after="0"/>
              <w:rPr>
                <w:sz w:val="18"/>
                <w:szCs w:val="18"/>
                <w:color w:val="auto"/>
              </w:rPr>
            </w:pPr>
          </w:p>
        </w:tc>
        <w:tc>
          <w:tcPr>
            <w:tcW w:w="320" w:type="dxa"/>
            <w:vAlign w:val="bottom"/>
            <w:shd w:val="clear" w:color="auto" w:fill="D4EFF3"/>
          </w:tcPr>
          <w:p>
            <w:pPr>
              <w:spacing w:after="0"/>
              <w:rPr>
                <w:sz w:val="18"/>
                <w:szCs w:val="18"/>
                <w:color w:val="auto"/>
              </w:rPr>
            </w:pPr>
          </w:p>
        </w:tc>
        <w:tc>
          <w:tcPr>
            <w:tcW w:w="1220" w:type="dxa"/>
            <w:vAlign w:val="bottom"/>
            <w:shd w:val="clear" w:color="auto" w:fill="D4EFF3"/>
          </w:tcPr>
          <w:p>
            <w:pPr>
              <w:spacing w:after="0"/>
              <w:rPr>
                <w:sz w:val="18"/>
                <w:szCs w:val="18"/>
                <w:color w:val="auto"/>
              </w:rPr>
            </w:pPr>
          </w:p>
        </w:tc>
      </w:tr>
      <w:tr>
        <w:trPr>
          <w:trHeight w:val="270"/>
        </w:trPr>
        <w:tc>
          <w:tcPr>
            <w:tcW w:w="6600" w:type="dxa"/>
            <w:vAlign w:val="bottom"/>
            <w:tcBorders>
              <w:bottom w:val="single" w:sz="8" w:color="D4EFF3"/>
            </w:tcBorders>
          </w:tcPr>
          <w:p>
            <w:pPr>
              <w:ind w:left="200"/>
              <w:spacing w:after="0"/>
              <w:rPr>
                <w:sz w:val="20"/>
                <w:szCs w:val="20"/>
                <w:color w:val="auto"/>
              </w:rPr>
            </w:pPr>
            <w:r>
              <w:rPr>
                <w:rFonts w:ascii="Times New Roman" w:cs="Times New Roman" w:eastAsia="Times New Roman" w:hAnsi="Times New Roman"/>
                <w:sz w:val="20"/>
                <w:szCs w:val="20"/>
                <w:color w:val="auto"/>
              </w:rPr>
              <w:t>Weighted-average common shares outstanding-basic and diluted</w:t>
            </w:r>
          </w:p>
        </w:tc>
        <w:tc>
          <w:tcPr>
            <w:tcW w:w="560" w:type="dxa"/>
            <w:vAlign w:val="bottom"/>
            <w:tcBorders>
              <w:bottom w:val="single" w:sz="8" w:color="D4EFF3"/>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1,039,490</w:t>
            </w:r>
          </w:p>
        </w:tc>
        <w:tc>
          <w:tcPr>
            <w:tcW w:w="180" w:type="dxa"/>
            <w:vAlign w:val="bottom"/>
            <w:tcBorders>
              <w:bottom w:val="single" w:sz="8" w:color="D4EFF3"/>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878,407</w:t>
            </w:r>
          </w:p>
        </w:tc>
      </w:tr>
      <w:tr>
        <w:trPr>
          <w:trHeight w:val="215"/>
        </w:trPr>
        <w:tc>
          <w:tcPr>
            <w:tcW w:w="6600" w:type="dxa"/>
            <w:vAlign w:val="bottom"/>
            <w:shd w:val="clear" w:color="auto" w:fill="D4EFF3"/>
          </w:tcPr>
          <w:p>
            <w:pPr>
              <w:ind w:left="200"/>
              <w:spacing w:after="0" w:line="215" w:lineRule="exact"/>
              <w:rPr>
                <w:sz w:val="20"/>
                <w:szCs w:val="20"/>
                <w:color w:val="auto"/>
              </w:rPr>
            </w:pPr>
            <w:r>
              <w:rPr>
                <w:rFonts w:ascii="Times New Roman" w:cs="Times New Roman" w:eastAsia="Times New Roman" w:hAnsi="Times New Roman"/>
                <w:sz w:val="20"/>
                <w:szCs w:val="20"/>
                <w:color w:val="auto"/>
              </w:rPr>
              <w:t>Net loss per share attributable to common stockholders-basic and diluted</w:t>
            </w:r>
          </w:p>
        </w:tc>
        <w:tc>
          <w:tcPr>
            <w:tcW w:w="560" w:type="dxa"/>
            <w:vAlign w:val="bottom"/>
            <w:shd w:val="clear" w:color="auto" w:fill="D4EFF3"/>
          </w:tcPr>
          <w:p>
            <w:pPr>
              <w:spacing w:after="0"/>
              <w:rPr>
                <w:sz w:val="18"/>
                <w:szCs w:val="18"/>
                <w:color w:val="auto"/>
              </w:rPr>
            </w:pPr>
          </w:p>
        </w:tc>
        <w:tc>
          <w:tcPr>
            <w:tcW w:w="340" w:type="dxa"/>
            <w:vAlign w:val="bottom"/>
            <w:tcBorders>
              <w:bottom w:val="single" w:sz="8" w:color="auto"/>
            </w:tcBorders>
            <w:shd w:val="clear" w:color="auto" w:fill="D4EFF3"/>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D4EFF3"/>
          </w:tcPr>
          <w:p>
            <w:pPr>
              <w:jc w:val="right"/>
              <w:spacing w:after="0" w:line="215" w:lineRule="exact"/>
              <w:rPr>
                <w:sz w:val="20"/>
                <w:szCs w:val="20"/>
                <w:color w:val="auto"/>
              </w:rPr>
            </w:pPr>
            <w:r>
              <w:rPr>
                <w:rFonts w:ascii="Times New Roman" w:cs="Times New Roman" w:eastAsia="Times New Roman" w:hAnsi="Times New Roman"/>
                <w:sz w:val="20"/>
                <w:szCs w:val="20"/>
                <w:color w:val="auto"/>
              </w:rPr>
              <w:t>(45.05)</w:t>
            </w:r>
          </w:p>
        </w:tc>
        <w:tc>
          <w:tcPr>
            <w:tcW w:w="180" w:type="dxa"/>
            <w:vAlign w:val="bottom"/>
            <w:shd w:val="clear" w:color="auto" w:fill="D4EFF3"/>
          </w:tcPr>
          <w:p>
            <w:pPr>
              <w:spacing w:after="0"/>
              <w:rPr>
                <w:sz w:val="18"/>
                <w:szCs w:val="18"/>
                <w:color w:val="auto"/>
              </w:rPr>
            </w:pPr>
          </w:p>
        </w:tc>
        <w:tc>
          <w:tcPr>
            <w:tcW w:w="320" w:type="dxa"/>
            <w:vAlign w:val="bottom"/>
            <w:tcBorders>
              <w:bottom w:val="single" w:sz="8" w:color="auto"/>
            </w:tcBorders>
            <w:shd w:val="clear" w:color="auto" w:fill="D4EFF3"/>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D4EFF3"/>
          </w:tcPr>
          <w:p>
            <w:pPr>
              <w:jc w:val="right"/>
              <w:spacing w:after="0" w:line="215" w:lineRule="exact"/>
              <w:rPr>
                <w:sz w:val="20"/>
                <w:szCs w:val="20"/>
                <w:color w:val="auto"/>
              </w:rPr>
            </w:pPr>
            <w:r>
              <w:rPr>
                <w:rFonts w:ascii="Times New Roman" w:cs="Times New Roman" w:eastAsia="Times New Roman" w:hAnsi="Times New Roman"/>
                <w:sz w:val="20"/>
                <w:szCs w:val="20"/>
                <w:color w:val="auto"/>
              </w:rPr>
              <w:t>(40.95)</w:t>
            </w:r>
          </w:p>
        </w:tc>
      </w:tr>
      <w:tr>
        <w:trPr>
          <w:trHeight w:val="20"/>
        </w:trPr>
        <w:tc>
          <w:tcPr>
            <w:tcW w:w="6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7"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Company’s potentially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because including them would have had an anti-dilutive effect:</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22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74"/>
        </w:trPr>
        <w:tc>
          <w:tcPr>
            <w:tcW w:w="7120" w:type="dxa"/>
            <w:vAlign w:val="bottom"/>
            <w:tcBorders>
              <w:bottom w:val="single" w:sz="8" w:color="D4EFF3"/>
            </w:tcBorders>
          </w:tcPr>
          <w:p>
            <w:pPr>
              <w:spacing w:after="0"/>
              <w:rPr>
                <w:sz w:val="15"/>
                <w:szCs w:val="15"/>
                <w:color w:val="auto"/>
              </w:rPr>
            </w:pPr>
          </w:p>
        </w:tc>
        <w:tc>
          <w:tcPr>
            <w:tcW w:w="1600" w:type="dxa"/>
            <w:vAlign w:val="bottom"/>
            <w:tcBorders>
              <w:bottom w:val="single" w:sz="8" w:color="auto"/>
            </w:tcBorders>
          </w:tcPr>
          <w:p>
            <w:pPr>
              <w:jc w:val="right"/>
              <w:ind w:right="606"/>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D4EFF3"/>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3"/>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12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Series Seed convertible preferred stock</w:t>
            </w:r>
          </w:p>
        </w:tc>
        <w:tc>
          <w:tcPr>
            <w:tcW w:w="1600" w:type="dxa"/>
            <w:vAlign w:val="bottom"/>
            <w:shd w:val="clear" w:color="auto" w:fill="D4EFF3"/>
          </w:tcPr>
          <w:p>
            <w:pPr>
              <w:jc w:val="right"/>
              <w:ind w:right="6"/>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spacing w:after="0"/>
              <w:rPr>
                <w:sz w:val="19"/>
                <w:szCs w:val="19"/>
                <w:color w:val="auto"/>
              </w:rPr>
            </w:pPr>
          </w:p>
        </w:tc>
        <w:tc>
          <w:tcPr>
            <w:tcW w:w="480" w:type="dxa"/>
            <w:vAlign w:val="bottom"/>
            <w:shd w:val="clear" w:color="auto" w:fill="D4EFF3"/>
          </w:tcPr>
          <w:p>
            <w:pPr>
              <w:spacing w:after="0"/>
              <w:rPr>
                <w:sz w:val="19"/>
                <w:szCs w:val="19"/>
                <w:color w:val="auto"/>
              </w:rPr>
            </w:pPr>
          </w:p>
        </w:tc>
        <w:tc>
          <w:tcPr>
            <w:tcW w:w="112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5,000,000</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Series A convertible preferred stock</w:t>
            </w: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41,666,666</w:t>
            </w:r>
          </w:p>
        </w:tc>
      </w:tr>
      <w:tr>
        <w:trPr>
          <w:trHeight w:val="230"/>
        </w:trPr>
        <w:tc>
          <w:tcPr>
            <w:tcW w:w="71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Series B convertible preferred stock</w:t>
            </w:r>
          </w:p>
        </w:tc>
        <w:tc>
          <w:tcPr>
            <w:tcW w:w="2200" w:type="dxa"/>
            <w:vAlign w:val="bottom"/>
            <w:gridSpan w:val="3"/>
            <w:shd w:val="clear" w:color="auto" w:fill="D4EFF3"/>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37,499,999</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Unvested restricted common stock</w:t>
            </w: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1,916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10,170</w:t>
            </w:r>
          </w:p>
        </w:tc>
      </w:tr>
      <w:tr>
        <w:trPr>
          <w:trHeight w:val="230"/>
        </w:trPr>
        <w:tc>
          <w:tcPr>
            <w:tcW w:w="71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600" w:type="dxa"/>
            <w:vAlign w:val="bottom"/>
            <w:shd w:val="clear" w:color="auto" w:fill="D4EFF3"/>
          </w:tcPr>
          <w:p>
            <w:pPr>
              <w:jc w:val="right"/>
              <w:ind w:right="6"/>
              <w:spacing w:after="0"/>
              <w:rPr>
                <w:sz w:val="20"/>
                <w:szCs w:val="20"/>
                <w:color w:val="auto"/>
              </w:rPr>
            </w:pPr>
            <w:r>
              <w:rPr>
                <w:rFonts w:ascii="Times New Roman" w:cs="Times New Roman" w:eastAsia="Times New Roman" w:hAnsi="Times New Roman"/>
                <w:sz w:val="20"/>
                <w:szCs w:val="20"/>
                <w:color w:val="auto"/>
              </w:rPr>
              <w:t>2,640,590</w:t>
            </w:r>
          </w:p>
        </w:tc>
        <w:tc>
          <w:tcPr>
            <w:tcW w:w="120" w:type="dxa"/>
            <w:vAlign w:val="bottom"/>
            <w:shd w:val="clear" w:color="auto" w:fill="D4EFF3"/>
          </w:tcPr>
          <w:p>
            <w:pPr>
              <w:spacing w:after="0"/>
              <w:rPr>
                <w:sz w:val="19"/>
                <w:szCs w:val="19"/>
                <w:color w:val="auto"/>
              </w:rPr>
            </w:pPr>
          </w:p>
        </w:tc>
        <w:tc>
          <w:tcPr>
            <w:tcW w:w="480" w:type="dxa"/>
            <w:vAlign w:val="bottom"/>
            <w:shd w:val="clear" w:color="auto" w:fill="D4EFF3"/>
          </w:tcPr>
          <w:p>
            <w:pPr>
              <w:spacing w:after="0"/>
              <w:rPr>
                <w:sz w:val="19"/>
                <w:szCs w:val="19"/>
                <w:color w:val="auto"/>
              </w:rPr>
            </w:pPr>
          </w:p>
        </w:tc>
        <w:tc>
          <w:tcPr>
            <w:tcW w:w="112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1,456,551</w:t>
            </w:r>
          </w:p>
        </w:tc>
      </w:tr>
    </w:tbl>
    <w:p>
      <w:pPr>
        <w:spacing w:after="0" w:line="354" w:lineRule="exact"/>
        <w:rPr>
          <w:sz w:val="20"/>
          <w:szCs w:val="20"/>
          <w:color w:val="auto"/>
        </w:rPr>
      </w:pPr>
    </w:p>
    <w:p>
      <w:pPr>
        <w:ind w:left="7" w:right="7320" w:hanging="7"/>
        <w:spacing w:after="0" w:line="386" w:lineRule="auto"/>
        <w:tabs>
          <w:tab w:leader="none" w:pos="307"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Indemnification Agreements</w:t>
      </w:r>
    </w:p>
    <w:p>
      <w:pPr>
        <w:spacing w:after="0" w:line="1" w:lineRule="exact"/>
        <w:rPr>
          <w:sz w:val="20"/>
          <w:szCs w:val="20"/>
          <w:color w:val="auto"/>
        </w:rPr>
      </w:pPr>
    </w:p>
    <w:p>
      <w:pPr>
        <w:ind w:left="7" w:right="40" w:firstLine="490"/>
        <w:spacing w:after="0" w:line="245" w:lineRule="auto"/>
        <w:rPr>
          <w:sz w:val="20"/>
          <w:szCs w:val="20"/>
          <w:color w:val="auto"/>
        </w:rPr>
      </w:pPr>
      <w:r>
        <w:rPr>
          <w:rFonts w:ascii="Times New Roman" w:cs="Times New Roman" w:eastAsia="Times New Roman" w:hAnsi="Times New Roman"/>
          <w:sz w:val="20"/>
          <w:szCs w:val="20"/>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20" w:lineRule="exact"/>
        <w:rPr>
          <w:sz w:val="20"/>
          <w:szCs w:val="20"/>
          <w:color w:val="auto"/>
        </w:rPr>
      </w:pPr>
    </w:p>
    <w:p>
      <w:pPr>
        <w:ind w:left="7" w:right="120" w:firstLine="490"/>
        <w:spacing w:after="0" w:line="258" w:lineRule="auto"/>
        <w:rPr>
          <w:sz w:val="20"/>
          <w:szCs w:val="20"/>
          <w:color w:val="auto"/>
        </w:rPr>
      </w:pPr>
      <w:r>
        <w:rPr>
          <w:rFonts w:ascii="Times New Roman" w:cs="Times New Roman" w:eastAsia="Times New Roman" w:hAnsi="Times New Roman"/>
          <w:sz w:val="20"/>
          <w:szCs w:val="20"/>
          <w:color w:val="auto"/>
        </w:rPr>
        <w:t>The Company, from time to time, may be party to litigation arising in the ordinary course of business. The Company was not subject to any material legal proceedings during the twelve months ended December 31, 2022 and 2021 and, to the best of its knowledge, no material legal proceedings are currently pending or threatened.</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Payments Upon Termination</w:t>
      </w:r>
    </w:p>
    <w:p>
      <w:pPr>
        <w:spacing w:after="0" w:line="120" w:lineRule="exact"/>
        <w:rPr>
          <w:sz w:val="20"/>
          <w:szCs w:val="20"/>
          <w:color w:val="auto"/>
        </w:rPr>
      </w:pPr>
    </w:p>
    <w:p>
      <w:pPr>
        <w:ind w:left="7" w:right="80" w:firstLine="490"/>
        <w:spacing w:after="0" w:line="246"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w:t>
      </w:r>
    </w:p>
    <w:p>
      <w:pPr>
        <w:spacing w:after="0" w:line="1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15. Leases</w:t>
      </w:r>
    </w:p>
    <w:p>
      <w:pPr>
        <w:spacing w:after="0" w:line="124" w:lineRule="exact"/>
        <w:rPr>
          <w:sz w:val="20"/>
          <w:szCs w:val="20"/>
          <w:color w:val="auto"/>
        </w:rPr>
      </w:pPr>
    </w:p>
    <w:p>
      <w:pPr>
        <w:jc w:val="both"/>
        <w:ind w:left="7" w:right="320" w:firstLine="490"/>
        <w:spacing w:after="0" w:line="262" w:lineRule="auto"/>
        <w:rPr>
          <w:sz w:val="20"/>
          <w:szCs w:val="20"/>
          <w:color w:val="auto"/>
        </w:rPr>
      </w:pPr>
      <w:r>
        <w:rPr>
          <w:rFonts w:ascii="Times New Roman" w:cs="Times New Roman" w:eastAsia="Times New Roman" w:hAnsi="Times New Roman"/>
          <w:sz w:val="19"/>
          <w:szCs w:val="19"/>
          <w:color w:val="auto"/>
        </w:rPr>
        <w:t>In September 2021, Private Disc and its landlord jointly entered a termination agreement to provide an early termination date in November 2021 for its operating lease in Cambridge, Massachusetts. In addition, the landlord provided an incentive of $0.1 million. On the modification date, Private Disc decreased the lease liability and corresponding right-of-use asset to zero.</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Private Disc recognized the incentive as a reduction to lease expense over the remaining lease term. As of December 31, 2022 and</w:t>
      </w:r>
    </w:p>
    <w:p>
      <w:pPr>
        <w:sectPr>
          <w:pgSz w:w="12240" w:h="15840" w:orient="portrait"/>
          <w:cols w:equalWidth="0" w:num="1">
            <w:col w:w="10447"/>
          </w:cols>
          <w:pgMar w:left="893" w:top="696" w:right="900" w:bottom="175" w:gutter="0" w:footer="0" w:header="0"/>
        </w:sectPr>
      </w:pPr>
    </w:p>
    <w:p>
      <w:pPr>
        <w:spacing w:after="0" w:line="25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10447"/>
          </w:cols>
          <w:pgMar w:left="893" w:top="696" w:right="900" w:bottom="175" w:gutter="0" w:footer="0" w:header="0"/>
          <w:type w:val="continuous"/>
        </w:sectPr>
      </w:pPr>
    </w:p>
    <w:bookmarkStart w:id="136" w:name="page137"/>
    <w:bookmarkEnd w:id="136"/>
    <w:p>
      <w:pPr>
        <w:jc w:val="both"/>
        <w:ind w:right="400"/>
        <w:spacing w:after="0" w:line="258" w:lineRule="auto"/>
        <w:rPr>
          <w:sz w:val="20"/>
          <w:szCs w:val="20"/>
          <w:color w:val="auto"/>
        </w:rPr>
      </w:pPr>
      <w:r>
        <w:rPr>
          <w:rFonts w:ascii="Times New Roman" w:cs="Times New Roman" w:eastAsia="Times New Roman" w:hAnsi="Times New Roman"/>
          <w:sz w:val="20"/>
          <w:szCs w:val="20"/>
          <w:color w:val="auto"/>
        </w:rPr>
        <w:t>2021, the Company had a security deposit in the form of an irrevocable standby letter of credit in the amount of $0.1 million related to this lease, which was recorded as prepaid expenses and other current assets on the Company’s consolidated balance sheets as of December 31, 2022 and 2021.</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October 2021, Private Disc entered into a five-year lease of 7,566 square feet of office space located at 321 Arsenal Street, Watertown, Massachusetts to be used as its corporate headquarters. The Company’s landlord is a related party of the Company due to its equity ownership. The lease term began in November 2021 and will end in November 2026, unless terminated earlier. The lease contains a five-year renewal option, which the Company is not reasonably certain to exercise. Fixed lease payments include base rent, subject to annual rent increases, and a management fee. Variable lease payments include the Company’s allocated share of costs incurred for real estate taxes, utilities, and other operating expenses applicable to the leased premises. In connection with the lease, a security deposit was delivered to the landlord in the form of an irrevocable standby letter of credit in the amount of $0.1 million, which is recorded as other assets (non-current) on the Company’s consolidated balance sheet as of December 31, 2022. Pursuant to the lease, the Company is also obligated to pay for certain administrative costs, taxes and operating expenses.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lease expense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74"/>
        </w:trPr>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right"/>
              <w:ind w:right="38"/>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5"/>
                <w:szCs w:val="15"/>
                <w:color w:val="auto"/>
              </w:rPr>
            </w:pPr>
          </w:p>
        </w:tc>
        <w:tc>
          <w:tcPr>
            <w:tcW w:w="1180" w:type="dxa"/>
            <w:vAlign w:val="bottom"/>
            <w:gridSpan w:val="2"/>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Pr>
          <w:p>
            <w:pPr>
              <w:spacing w:after="0"/>
              <w:rPr>
                <w:sz w:val="15"/>
                <w:szCs w:val="15"/>
                <w:color w:val="auto"/>
              </w:rPr>
            </w:pPr>
          </w:p>
        </w:tc>
      </w:tr>
      <w:tr>
        <w:trPr>
          <w:trHeight w:val="220"/>
        </w:trPr>
        <w:tc>
          <w:tcPr>
            <w:tcW w:w="7160" w:type="dxa"/>
            <w:vAlign w:val="bottom"/>
            <w:tcBorders>
              <w:top w:val="single" w:sz="8" w:color="D4EFF3"/>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Operating lease costs</w:t>
            </w:r>
          </w:p>
        </w:tc>
        <w:tc>
          <w:tcPr>
            <w:tcW w:w="20" w:type="dxa"/>
            <w:vAlign w:val="bottom"/>
            <w:tcBorders>
              <w:top w:val="single" w:sz="8" w:color="D4EFF3"/>
            </w:tcBorders>
            <w:shd w:val="clear" w:color="auto" w:fill="D4EFF3"/>
          </w:tcPr>
          <w:p>
            <w:pPr>
              <w:spacing w:after="0"/>
              <w:rPr>
                <w:sz w:val="19"/>
                <w:szCs w:val="19"/>
                <w:color w:val="auto"/>
              </w:rPr>
            </w:pPr>
          </w:p>
        </w:tc>
        <w:tc>
          <w:tcPr>
            <w:tcW w:w="1000" w:type="dxa"/>
            <w:vAlign w:val="bottom"/>
            <w:tcBorders>
              <w:top w:val="single" w:sz="8" w:color="auto"/>
            </w:tcBorders>
            <w:shd w:val="clear" w:color="auto" w:fill="D4EFF3"/>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422</w:t>
            </w:r>
          </w:p>
        </w:tc>
        <w:tc>
          <w:tcPr>
            <w:tcW w:w="180" w:type="dxa"/>
            <w:vAlign w:val="bottom"/>
            <w:tcBorders>
              <w:top w:val="single" w:sz="8" w:color="D4EFF3"/>
            </w:tcBorders>
            <w:shd w:val="clear" w:color="auto" w:fill="D4EFF3"/>
          </w:tcPr>
          <w:p>
            <w:pPr>
              <w:spacing w:after="0"/>
              <w:rPr>
                <w:sz w:val="19"/>
                <w:szCs w:val="19"/>
                <w:color w:val="auto"/>
              </w:rPr>
            </w:pPr>
          </w:p>
        </w:tc>
        <w:tc>
          <w:tcPr>
            <w:tcW w:w="1000" w:type="dxa"/>
            <w:vAlign w:val="bottom"/>
            <w:tcBorders>
              <w:top w:val="single" w:sz="8" w:color="auto"/>
            </w:tcBorders>
            <w:shd w:val="clear" w:color="auto" w:fill="D4EFF3"/>
          </w:tcPr>
          <w:p>
            <w:pPr>
              <w:jc w:val="right"/>
              <w:ind w:right="8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187</w:t>
            </w: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7160" w:type="dxa"/>
            <w:vAlign w:val="bottom"/>
            <w:tcBorders>
              <w:bottom w:val="single" w:sz="8" w:color="D4EFF3"/>
            </w:tcBorders>
            <w:shd w:val="clear" w:color="auto" w:fill="D4EFF3"/>
          </w:tcPr>
          <w:p>
            <w:pPr>
              <w:spacing w:after="0"/>
              <w:rPr>
                <w:sz w:val="20"/>
                <w:szCs w:val="20"/>
                <w:color w:val="auto"/>
              </w:rPr>
            </w:pPr>
            <w:r>
              <w:rPr>
                <w:rFonts w:ascii="Times New Roman" w:cs="Times New Roman" w:eastAsia="Times New Roman" w:hAnsi="Times New Roman"/>
                <w:sz w:val="20"/>
                <w:szCs w:val="20"/>
                <w:color w:val="auto"/>
              </w:rPr>
              <w:t>Variable lease costs</w:t>
            </w:r>
          </w:p>
        </w:tc>
        <w:tc>
          <w:tcPr>
            <w:tcW w:w="20" w:type="dxa"/>
            <w:vAlign w:val="bottom"/>
            <w:tcBorders>
              <w:bottom w:val="single" w:sz="8" w:color="D4EFF3"/>
            </w:tcBorders>
            <w:shd w:val="clear" w:color="auto" w:fill="D4EFF3"/>
          </w:tcPr>
          <w:p>
            <w:pPr>
              <w:spacing w:after="0"/>
              <w:rPr>
                <w:sz w:val="21"/>
                <w:szCs w:val="21"/>
                <w:color w:val="auto"/>
              </w:rPr>
            </w:pPr>
          </w:p>
        </w:tc>
        <w:tc>
          <w:tcPr>
            <w:tcW w:w="1000" w:type="dxa"/>
            <w:vAlign w:val="bottom"/>
            <w:tcBorders>
              <w:bottom w:val="single" w:sz="8" w:color="auto"/>
            </w:tcBorders>
            <w:shd w:val="clear" w:color="auto" w:fill="D4EFF3"/>
          </w:tcPr>
          <w:p>
            <w:pPr>
              <w:spacing w:after="0"/>
              <w:rPr>
                <w:sz w:val="21"/>
                <w:szCs w:val="21"/>
                <w:color w:val="auto"/>
              </w:rPr>
            </w:pPr>
          </w:p>
        </w:tc>
        <w:tc>
          <w:tcPr>
            <w:tcW w:w="5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180" w:type="dxa"/>
            <w:vAlign w:val="bottom"/>
            <w:tcBorders>
              <w:bottom w:val="single" w:sz="8" w:color="D4EFF3"/>
            </w:tcBorders>
            <w:shd w:val="clear" w:color="auto" w:fill="D4EFF3"/>
          </w:tcPr>
          <w:p>
            <w:pPr>
              <w:spacing w:after="0"/>
              <w:rPr>
                <w:sz w:val="21"/>
                <w:szCs w:val="21"/>
                <w:color w:val="auto"/>
              </w:rPr>
            </w:pPr>
          </w:p>
        </w:tc>
        <w:tc>
          <w:tcPr>
            <w:tcW w:w="1000" w:type="dxa"/>
            <w:vAlign w:val="bottom"/>
            <w:tcBorders>
              <w:bottom w:val="single" w:sz="8" w:color="auto"/>
            </w:tcBorders>
            <w:shd w:val="clear" w:color="auto" w:fill="D4EFF3"/>
          </w:tcPr>
          <w:p>
            <w:pPr>
              <w:spacing w:after="0"/>
              <w:rPr>
                <w:sz w:val="21"/>
                <w:szCs w:val="21"/>
                <w:color w:val="auto"/>
              </w:rPr>
            </w:pPr>
          </w:p>
        </w:tc>
        <w:tc>
          <w:tcPr>
            <w:tcW w:w="5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00"/>
        </w:trPr>
        <w:tc>
          <w:tcPr>
            <w:tcW w:w="71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Total lease expense</w:t>
            </w:r>
          </w:p>
        </w:tc>
        <w:tc>
          <w:tcPr>
            <w:tcW w:w="20" w:type="dxa"/>
            <w:vAlign w:val="bottom"/>
          </w:tcPr>
          <w:p>
            <w:pPr>
              <w:spacing w:after="0"/>
              <w:rPr>
                <w:sz w:val="17"/>
                <w:szCs w:val="17"/>
                <w:color w:val="auto"/>
              </w:rPr>
            </w:pPr>
          </w:p>
        </w:tc>
        <w:tc>
          <w:tcPr>
            <w:tcW w:w="100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599</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80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229</w:t>
            </w:r>
          </w:p>
        </w:tc>
      </w:tr>
      <w:tr>
        <w:trPr>
          <w:trHeight w:val="20"/>
        </w:trPr>
        <w:tc>
          <w:tcPr>
            <w:tcW w:w="7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Other information related to the Company’s leases is as follows (in thousands, except term and discount rate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400" w:type="dxa"/>
            <w:vAlign w:val="bottom"/>
            <w:tcBorders>
              <w:bottom w:val="single" w:sz="8" w:color="D4EFF3"/>
            </w:tcBorders>
          </w:tcPr>
          <w:p>
            <w:pPr>
              <w:spacing w:after="0"/>
              <w:rPr>
                <w:sz w:val="15"/>
                <w:szCs w:val="15"/>
                <w:color w:val="auto"/>
              </w:rPr>
            </w:pPr>
          </w:p>
        </w:tc>
        <w:tc>
          <w:tcPr>
            <w:tcW w:w="740" w:type="dxa"/>
            <w:vAlign w:val="bottom"/>
            <w:tcBorders>
              <w:bottom w:val="single" w:sz="8" w:color="D4EFF3"/>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28"/>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D4EFF3"/>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5"/>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64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Weighted average remaining lease term</w:t>
            </w:r>
          </w:p>
        </w:tc>
        <w:tc>
          <w:tcPr>
            <w:tcW w:w="74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260" w:type="dxa"/>
            <w:vAlign w:val="bottom"/>
            <w:shd w:val="clear" w:color="auto" w:fill="D4EFF3"/>
          </w:tcPr>
          <w:p>
            <w:pPr>
              <w:jc w:val="right"/>
              <w:ind w:right="88"/>
              <w:spacing w:after="0" w:line="220" w:lineRule="exact"/>
              <w:rPr>
                <w:sz w:val="20"/>
                <w:szCs w:val="20"/>
                <w:color w:val="auto"/>
              </w:rPr>
            </w:pPr>
            <w:r>
              <w:rPr>
                <w:rFonts w:ascii="Times New Roman" w:cs="Times New Roman" w:eastAsia="Times New Roman" w:hAnsi="Times New Roman"/>
                <w:sz w:val="20"/>
                <w:szCs w:val="20"/>
                <w:color w:val="auto"/>
              </w:rPr>
              <w:t>3.91 years</w:t>
            </w:r>
          </w:p>
        </w:tc>
        <w:tc>
          <w:tcPr>
            <w:tcW w:w="14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260" w:type="dxa"/>
            <w:vAlign w:val="bottom"/>
            <w:shd w:val="clear" w:color="auto" w:fill="D4EFF3"/>
          </w:tcPr>
          <w:p>
            <w:pPr>
              <w:jc w:val="right"/>
              <w:ind w:right="65"/>
              <w:spacing w:after="0" w:line="220" w:lineRule="exact"/>
              <w:rPr>
                <w:sz w:val="20"/>
                <w:szCs w:val="20"/>
                <w:color w:val="auto"/>
              </w:rPr>
            </w:pPr>
            <w:r>
              <w:rPr>
                <w:rFonts w:ascii="Times New Roman" w:cs="Times New Roman" w:eastAsia="Times New Roman" w:hAnsi="Times New Roman"/>
                <w:sz w:val="20"/>
                <w:szCs w:val="20"/>
                <w:color w:val="auto"/>
              </w:rPr>
              <w:t>4.91 years</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64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74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260" w:type="dxa"/>
            <w:vAlign w:val="bottom"/>
            <w:shd w:val="clear" w:color="auto" w:fill="D4EFF3"/>
          </w:tcPr>
          <w:p>
            <w:pPr>
              <w:spacing w:after="0"/>
              <w:rPr>
                <w:sz w:val="19"/>
                <w:szCs w:val="19"/>
                <w:color w:val="auto"/>
              </w:rPr>
            </w:pPr>
          </w:p>
        </w:tc>
        <w:tc>
          <w:tcPr>
            <w:tcW w:w="140" w:type="dxa"/>
            <w:vAlign w:val="bottom"/>
            <w:shd w:val="clear" w:color="auto" w:fill="D4EFF3"/>
          </w:tcPr>
          <w:p>
            <w:pPr>
              <w:spacing w:after="0"/>
              <w:rPr>
                <w:sz w:val="19"/>
                <w:szCs w:val="19"/>
                <w:color w:val="auto"/>
              </w:rPr>
            </w:pPr>
          </w:p>
        </w:tc>
        <w:tc>
          <w:tcPr>
            <w:tcW w:w="320" w:type="dxa"/>
            <w:vAlign w:val="bottom"/>
            <w:shd w:val="clear" w:color="auto" w:fill="D4EFF3"/>
          </w:tcPr>
          <w:p>
            <w:pPr>
              <w:spacing w:after="0"/>
              <w:rPr>
                <w:sz w:val="19"/>
                <w:szCs w:val="19"/>
                <w:color w:val="auto"/>
              </w:rPr>
            </w:pPr>
          </w:p>
        </w:tc>
        <w:tc>
          <w:tcPr>
            <w:tcW w:w="1260" w:type="dxa"/>
            <w:vAlign w:val="bottom"/>
            <w:shd w:val="clear" w:color="auto" w:fill="D4EFF3"/>
          </w:tcPr>
          <w:p>
            <w:pPr>
              <w:spacing w:after="0"/>
              <w:rPr>
                <w:sz w:val="19"/>
                <w:szCs w:val="19"/>
                <w:color w:val="auto"/>
              </w:rPr>
            </w:pPr>
          </w:p>
        </w:tc>
      </w:tr>
      <w:tr>
        <w:trPr>
          <w:trHeight w:val="266"/>
        </w:trPr>
        <w:tc>
          <w:tcPr>
            <w:tcW w:w="6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used in operating leases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20"/>
                <w:szCs w:val="20"/>
                <w:color w:val="auto"/>
              </w:rPr>
              <w:t>480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auto"/>
              </w:rPr>
              <w:t>250</w:t>
            </w:r>
          </w:p>
        </w:tc>
      </w:tr>
    </w:tbl>
    <w:p>
      <w:pPr>
        <w:spacing w:after="0" w:line="82"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A maturity analysis of the annual undiscounted cash flows reconciled to the carrying value of the operating lease liabilities as of December 31, 2022, reflective of the Company’s election to account for lease and non-lease components together,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Borders>
              <w:bottom w:val="single" w:sz="8" w:color="D4EFF3"/>
            </w:tcBorders>
          </w:tcPr>
          <w:p>
            <w:pPr>
              <w:spacing w:after="0"/>
              <w:rPr>
                <w:sz w:val="17"/>
                <w:szCs w:val="17"/>
                <w:color w:val="auto"/>
              </w:rPr>
            </w:pPr>
          </w:p>
        </w:tc>
        <w:tc>
          <w:tcPr>
            <w:tcW w:w="20" w:type="dxa"/>
            <w:vAlign w:val="bottom"/>
            <w:tcBorders>
              <w:bottom w:val="single" w:sz="8" w:color="D4EFF3"/>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20"/>
        </w:trPr>
        <w:tc>
          <w:tcPr>
            <w:tcW w:w="838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2023</w:t>
            </w:r>
          </w:p>
        </w:tc>
        <w:tc>
          <w:tcPr>
            <w:tcW w:w="20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80" w:type="dxa"/>
            <w:vAlign w:val="bottom"/>
            <w:shd w:val="clear" w:color="auto" w:fill="D4EFF3"/>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D4EFF3"/>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rPr>
              <w:t>373</w:t>
            </w:r>
          </w:p>
        </w:tc>
      </w:tr>
      <w:tr>
        <w:trPr>
          <w:trHeight w:val="230"/>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382</w:t>
            </w:r>
          </w:p>
        </w:tc>
      </w:tr>
      <w:tr>
        <w:trPr>
          <w:trHeight w:val="230"/>
        </w:trPr>
        <w:tc>
          <w:tcPr>
            <w:tcW w:w="8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1660" w:type="dxa"/>
            <w:vAlign w:val="bottom"/>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394</w:t>
            </w:r>
          </w:p>
        </w:tc>
      </w:tr>
      <w:tr>
        <w:trPr>
          <w:trHeight w:val="230"/>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336</w:t>
            </w:r>
          </w:p>
        </w:tc>
      </w:tr>
      <w:tr>
        <w:trPr>
          <w:trHeight w:val="230"/>
        </w:trPr>
        <w:tc>
          <w:tcPr>
            <w:tcW w:w="8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80" w:type="dxa"/>
            <w:vAlign w:val="bottom"/>
            <w:tcBorders>
              <w:bottom w:val="single" w:sz="8" w:color="auto"/>
            </w:tcBorders>
            <w:shd w:val="clear" w:color="auto" w:fill="D4EFF3"/>
          </w:tcPr>
          <w:p>
            <w:pPr>
              <w:spacing w:after="0"/>
              <w:rPr>
                <w:sz w:val="19"/>
                <w:szCs w:val="19"/>
                <w:color w:val="auto"/>
              </w:rPr>
            </w:pPr>
          </w:p>
        </w:tc>
        <w:tc>
          <w:tcPr>
            <w:tcW w:w="1660" w:type="dxa"/>
            <w:vAlign w:val="bottom"/>
            <w:tcBorders>
              <w:bottom w:val="single" w:sz="8" w:color="auto"/>
            </w:tcBorders>
            <w:shd w:val="clear" w:color="auto" w:fill="D4EFF3"/>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8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minimum lease payments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rPr>
              <w:t>1,485</w:t>
            </w:r>
          </w:p>
        </w:tc>
      </w:tr>
      <w:tr>
        <w:trPr>
          <w:trHeight w:val="230"/>
        </w:trPr>
        <w:tc>
          <w:tcPr>
            <w:tcW w:w="8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0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80" w:type="dxa"/>
            <w:vAlign w:val="bottom"/>
            <w:tcBorders>
              <w:bottom w:val="single" w:sz="8" w:color="auto"/>
            </w:tcBorders>
            <w:shd w:val="clear" w:color="auto" w:fill="D4EFF3"/>
          </w:tcPr>
          <w:p>
            <w:pPr>
              <w:spacing w:after="0"/>
              <w:rPr>
                <w:sz w:val="19"/>
                <w:szCs w:val="19"/>
                <w:color w:val="auto"/>
              </w:rPr>
            </w:pPr>
          </w:p>
        </w:tc>
        <w:tc>
          <w:tcPr>
            <w:tcW w:w="166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20"/>
        </w:trPr>
        <w:tc>
          <w:tcPr>
            <w:tcW w:w="8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Present value of lease liabilities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rPr>
              <w:t>1,334</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Company has completed an evaluation of all subsequent events after the audited consolidated balance sheet date of December 31, 2022 through March 31, 2023, the date these consolidated financial statements were issued, to ensure that these consolidated financial statements include appropriate disclosure of events both recognized in the consolidated financial statements as of December 31, 2022, and events which occurred subsequently but were not recognized in the consolidated financial statements. Non-recognizable subsequent events through March 31, 2023 are summarized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Registration Statements Resulting from the Merger</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In January 2023, as a result of the merger, the Company filed a resale registration statement on Form S-3 with the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ESPP.</w:t>
      </w:r>
    </w:p>
    <w:p>
      <w:pPr>
        <w:sectPr>
          <w:pgSz w:w="12240" w:h="15840" w:orient="portrait"/>
          <w:cols w:equalWidth="0" w:num="1">
            <w:col w:w="10440"/>
          </w:cols>
          <w:pgMar w:left="900" w:top="700" w:right="900" w:bottom="175"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10440"/>
          </w:cols>
          <w:pgMar w:left="900" w:top="700" w:right="900" w:bottom="175"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Mabwell Therapeutics, Inc.</w:t>
      </w:r>
    </w:p>
    <w:p>
      <w:pPr>
        <w:spacing w:after="0" w:line="120" w:lineRule="exact"/>
        <w:rPr>
          <w:sz w:val="20"/>
          <w:szCs w:val="20"/>
          <w:color w:val="auto"/>
        </w:rPr>
      </w:pPr>
    </w:p>
    <w:p>
      <w:pPr>
        <w:ind w:right="20" w:firstLine="490"/>
        <w:spacing w:after="0" w:line="305" w:lineRule="auto"/>
        <w:rPr>
          <w:sz w:val="20"/>
          <w:szCs w:val="20"/>
          <w:color w:val="auto"/>
        </w:rPr>
      </w:pPr>
      <w:r>
        <w:rPr>
          <w:rFonts w:ascii="Times New Roman" w:cs="Times New Roman" w:eastAsia="Times New Roman" w:hAnsi="Times New Roman"/>
          <w:sz w:val="19"/>
          <w:szCs w:val="19"/>
          <w:color w:val="auto"/>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25"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The Company is obligated to pay Mabwell an upfront payment of $10.0 million, and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 The Company paid the upfront payment of $10.0 million to Mabwell in March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 Program</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Subsequently in January 2023, the Company entered into a Sales Agreement with SVB Securities LLC, as sales agent, to provide for the offering, issuance and sale by the Company of up to $100.0 million of the Company’s common stock from time to time in "at-the-market" offerings under the shelf.</w:t>
      </w:r>
    </w:p>
    <w:p>
      <w:pPr>
        <w:spacing w:after="0" w:line="77"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As of March 31, 2023, the issuance date of these consolidated financial statements, the Company has sold an aggregate of 608,050 shares of common stock in at-the-market offerings under the shelf for gross proceeds of $15.0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February 2023, the Company entered into a securities purchase agreement (the "Purchase Agreement"), with certain investors. Pursuant to the Purchase Agreement, the Company sold an aggregate of 1,488,166 shares of the Company's common stock, at a purchase price of $23.00 per share, and with respect to certain investors, in lieu of shares of the Company's common stock, pre-funded warrants to purchase an aggregate of 1,229,224 shares of the Company's common stock, at a purchase price of $22.9999 per pre-funded warrant, for aggregate gross proceeds of $62.5 million.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w:t>
      </w:r>
    </w:p>
    <w:p>
      <w:pPr>
        <w:sectPr>
          <w:pgSz w:w="12240" w:h="15840" w:orient="portrait"/>
          <w:cols w:equalWidth="0" w:num="1">
            <w:col w:w="10380"/>
          </w:cols>
          <w:pgMar w:left="900" w:top="700" w:right="9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10380"/>
          </w:cols>
          <w:pgMar w:left="900" w:top="700" w:right="960" w:bottom="175" w:gutter="0" w:footer="0" w:header="0"/>
          <w:type w:val="continuous"/>
        </w:sectPr>
      </w:pPr>
    </w:p>
    <w:bookmarkStart w:id="138" w:name="page139"/>
    <w:bookmarkEnd w:id="138"/>
    <w:p>
      <w:pPr>
        <w:ind w:left="1100" w:right="8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20"/>
          <w:szCs w:val="20"/>
          <w:b w:val="1"/>
          <w:bCs w:val="1"/>
          <w:color w:val="auto"/>
        </w:rPr>
        <w:t>CONTROLS AND PROCEDURES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2"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Principal Executive Officer and Principal Financial Officer concluded that, as of such date, our disclosure controls and procedures were effective at the reasonable assurance level.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spacing w:after="0" w:line="7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Notwithstanding that we do not qualify for the relief afforded by Instruction 1 to Item 308 of Regulation S-K to newly public companies, management has not assessed nor attested to our internal control over financial reporting as is set forth in Item 308 of Regulation S-K promulgated under the Securities Exchange Act 1934, as amended, and Section 404 of the Sarbanes-Oxley Act as of December 31, 2022, the end of our last fiscal year. We will do so initially as of December 31, 2023.</w:t>
      </w:r>
    </w:p>
    <w:p>
      <w:pPr>
        <w:spacing w:after="0" w:line="7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We were unable to conduct the required assessment primarily due to the merger that closed on December 29, 2022 and the substantial change in operational focus, management and the internal control environment following the merger and due to the fact the internal controls of the legal acquirer no longer existed as of the required assessment date and during that period. Since completion of the merger, we engaged an external consulting firm to assist in the implementation of ICFR best practices to position management to report on its assessment of internal controls for 2023.</w:t>
      </w:r>
    </w:p>
    <w:p>
      <w:pPr>
        <w:spacing w:after="0" w:line="77"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20"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auto"/>
        </w:rPr>
        <w:t>Other than as discussed above, there have not been any changes in our internal control over financial reporting (as defined in Rules 13a-15(f) and 15d-15(f) under the Exchange Act) occurred during the three months ended December 31, 2022 that has materially affected, or is reasonably likely to materially affect, our internal control over financial reporting.</w:t>
      </w:r>
    </w:p>
    <w:p>
      <w:pPr>
        <w:spacing w:after="0" w:line="1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400"/>
          </w:cols>
          <w:pgMar w:left="900" w:top="696" w:right="9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10400"/>
          </w:cols>
          <w:pgMar w:left="900" w:top="696" w:right="940" w:bottom="175"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2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name, age and position of each of the individuals who serve as executives and directors of our company as of February 28,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0"/>
        </w:trPr>
        <w:tc>
          <w:tcPr>
            <w:tcW w:w="5660" w:type="dxa"/>
            <w:vAlign w:val="bottom"/>
            <w:tcBorders>
              <w:top w:val="single" w:sz="8" w:color="auto"/>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Executive Officers:</w:t>
            </w:r>
          </w:p>
        </w:tc>
        <w:tc>
          <w:tcPr>
            <w:tcW w:w="200" w:type="dxa"/>
            <w:vAlign w:val="bottom"/>
            <w:tcBorders>
              <w:top w:val="single" w:sz="8" w:color="D4EFF3"/>
            </w:tcBorders>
            <w:shd w:val="clear" w:color="auto" w:fill="D4EFF3"/>
          </w:tcPr>
          <w:p>
            <w:pPr>
              <w:spacing w:after="0"/>
              <w:rPr>
                <w:sz w:val="19"/>
                <w:szCs w:val="19"/>
                <w:color w:val="auto"/>
              </w:rPr>
            </w:pPr>
          </w:p>
        </w:tc>
        <w:tc>
          <w:tcPr>
            <w:tcW w:w="960" w:type="dxa"/>
            <w:vAlign w:val="bottom"/>
            <w:tcBorders>
              <w:top w:val="single" w:sz="8" w:color="auto"/>
            </w:tcBorders>
            <w:shd w:val="clear" w:color="auto" w:fill="D4EFF3"/>
          </w:tcPr>
          <w:p>
            <w:pPr>
              <w:spacing w:after="0"/>
              <w:rPr>
                <w:sz w:val="19"/>
                <w:szCs w:val="19"/>
                <w:color w:val="auto"/>
              </w:rPr>
            </w:pPr>
          </w:p>
        </w:tc>
        <w:tc>
          <w:tcPr>
            <w:tcW w:w="200" w:type="dxa"/>
            <w:vAlign w:val="bottom"/>
            <w:tcBorders>
              <w:top w:val="single" w:sz="8" w:color="D4EFF3"/>
            </w:tcBorders>
            <w:shd w:val="clear" w:color="auto" w:fill="D4EFF3"/>
          </w:tcPr>
          <w:p>
            <w:pPr>
              <w:spacing w:after="0"/>
              <w:rPr>
                <w:sz w:val="19"/>
                <w:szCs w:val="19"/>
                <w:color w:val="auto"/>
              </w:rPr>
            </w:pPr>
          </w:p>
        </w:tc>
        <w:tc>
          <w:tcPr>
            <w:tcW w:w="3420" w:type="dxa"/>
            <w:vAlign w:val="bottom"/>
            <w:tcBorders>
              <w:top w:val="single" w:sz="8" w:color="auto"/>
            </w:tcBorders>
            <w:shd w:val="clear" w:color="auto" w:fill="D4EFF3"/>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John Quisel, J.D., Ph.D.</w:t>
            </w:r>
          </w:p>
        </w:tc>
        <w:tc>
          <w:tcPr>
            <w:tcW w:w="2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c>
          <w:tcPr>
            <w:tcW w:w="2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 Director</w:t>
            </w: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Joanne Bryce, CPA</w:t>
            </w:r>
          </w:p>
        </w:tc>
        <w:tc>
          <w:tcPr>
            <w:tcW w:w="1160" w:type="dxa"/>
            <w:vAlign w:val="bottom"/>
            <w:gridSpan w:val="2"/>
            <w:shd w:val="clear" w:color="auto" w:fill="D4EFF3"/>
          </w:tcPr>
          <w:p>
            <w:pPr>
              <w:jc w:val="center"/>
              <w:ind w:left="100"/>
              <w:spacing w:after="0"/>
              <w:rPr>
                <w:sz w:val="20"/>
                <w:szCs w:val="20"/>
                <w:color w:val="auto"/>
              </w:rPr>
            </w:pPr>
            <w:r>
              <w:rPr>
                <w:rFonts w:ascii="Times New Roman" w:cs="Times New Roman" w:eastAsia="Times New Roman" w:hAnsi="Times New Roman"/>
                <w:sz w:val="20"/>
                <w:szCs w:val="20"/>
                <w:color w:val="auto"/>
                <w:w w:val="99"/>
              </w:rPr>
              <w:t>56</w:t>
            </w:r>
          </w:p>
        </w:tc>
        <w:tc>
          <w:tcPr>
            <w:tcW w:w="362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Jonathan Yu</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42</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Chief Business Officer</w:t>
            </w: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William Savage, MD, Ph.D.</w:t>
            </w:r>
          </w:p>
        </w:tc>
        <w:tc>
          <w:tcPr>
            <w:tcW w:w="1160" w:type="dxa"/>
            <w:vAlign w:val="bottom"/>
            <w:gridSpan w:val="2"/>
            <w:shd w:val="clear" w:color="auto" w:fill="D4EFF3"/>
          </w:tcPr>
          <w:p>
            <w:pPr>
              <w:jc w:val="center"/>
              <w:ind w:left="100"/>
              <w:spacing w:after="0"/>
              <w:rPr>
                <w:sz w:val="20"/>
                <w:szCs w:val="20"/>
                <w:color w:val="auto"/>
              </w:rPr>
            </w:pPr>
            <w:r>
              <w:rPr>
                <w:rFonts w:ascii="Times New Roman" w:cs="Times New Roman" w:eastAsia="Times New Roman" w:hAnsi="Times New Roman"/>
                <w:sz w:val="20"/>
                <w:szCs w:val="20"/>
                <w:color w:val="auto"/>
                <w:w w:val="99"/>
              </w:rPr>
              <w:t>48</w:t>
            </w:r>
          </w:p>
        </w:tc>
        <w:tc>
          <w:tcPr>
            <w:tcW w:w="362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Chief Medical Officer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Brian MacDonald, MB, Ch.B., Ph.D.</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63</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Chief Innovation Officer</w:t>
            </w: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Rahul Khara, Pharm.D., J.D.</w:t>
            </w:r>
          </w:p>
        </w:tc>
        <w:tc>
          <w:tcPr>
            <w:tcW w:w="1160" w:type="dxa"/>
            <w:vAlign w:val="bottom"/>
            <w:gridSpan w:val="2"/>
            <w:shd w:val="clear" w:color="auto" w:fill="D4EFF3"/>
          </w:tcPr>
          <w:p>
            <w:pPr>
              <w:jc w:val="center"/>
              <w:ind w:left="100"/>
              <w:spacing w:after="0"/>
              <w:rPr>
                <w:sz w:val="20"/>
                <w:szCs w:val="20"/>
                <w:color w:val="auto"/>
              </w:rPr>
            </w:pPr>
            <w:r>
              <w:rPr>
                <w:rFonts w:ascii="Times New Roman" w:cs="Times New Roman" w:eastAsia="Times New Roman" w:hAnsi="Times New Roman"/>
                <w:sz w:val="20"/>
                <w:szCs w:val="20"/>
                <w:color w:val="auto"/>
                <w:w w:val="99"/>
              </w:rPr>
              <w:t>41</w:t>
            </w:r>
          </w:p>
        </w:tc>
        <w:tc>
          <w:tcPr>
            <w:tcW w:w="362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General Counsel</w:t>
            </w:r>
          </w:p>
        </w:tc>
      </w:tr>
      <w:tr>
        <w:trPr>
          <w:trHeight w:val="230"/>
        </w:trPr>
        <w:tc>
          <w:tcPr>
            <w:tcW w:w="5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Directors:</w:t>
            </w:r>
          </w:p>
        </w:tc>
        <w:tc>
          <w:tcPr>
            <w:tcW w:w="200" w:type="dxa"/>
            <w:vAlign w:val="bottom"/>
            <w:shd w:val="clear" w:color="auto" w:fill="D4EFF3"/>
          </w:tcPr>
          <w:p>
            <w:pPr>
              <w:spacing w:after="0"/>
              <w:rPr>
                <w:sz w:val="19"/>
                <w:szCs w:val="19"/>
                <w:color w:val="auto"/>
              </w:rPr>
            </w:pPr>
          </w:p>
        </w:tc>
        <w:tc>
          <w:tcPr>
            <w:tcW w:w="960" w:type="dxa"/>
            <w:vAlign w:val="bottom"/>
            <w:shd w:val="clear" w:color="auto" w:fill="D4EFF3"/>
          </w:tcPr>
          <w:p>
            <w:pPr>
              <w:spacing w:after="0"/>
              <w:rPr>
                <w:sz w:val="19"/>
                <w:szCs w:val="19"/>
                <w:color w:val="auto"/>
              </w:rPr>
            </w:pPr>
          </w:p>
        </w:tc>
        <w:tc>
          <w:tcPr>
            <w:tcW w:w="200" w:type="dxa"/>
            <w:vAlign w:val="bottom"/>
            <w:shd w:val="clear" w:color="auto" w:fill="D4EFF3"/>
          </w:tcPr>
          <w:p>
            <w:pPr>
              <w:spacing w:after="0"/>
              <w:rPr>
                <w:sz w:val="19"/>
                <w:szCs w:val="19"/>
                <w:color w:val="auto"/>
              </w:rPr>
            </w:pPr>
          </w:p>
        </w:tc>
        <w:tc>
          <w:tcPr>
            <w:tcW w:w="3420" w:type="dxa"/>
            <w:vAlign w:val="bottom"/>
            <w:shd w:val="clear" w:color="auto" w:fill="D4EFF3"/>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Donald Nicholson, Ph.D.</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65</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Executive Chairman and Director</w:t>
            </w: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Mona Ashiya, Ph.D.</w:t>
            </w:r>
          </w:p>
        </w:tc>
        <w:tc>
          <w:tcPr>
            <w:tcW w:w="1160" w:type="dxa"/>
            <w:vAlign w:val="bottom"/>
            <w:gridSpan w:val="2"/>
            <w:shd w:val="clear" w:color="auto" w:fill="D4EFF3"/>
          </w:tcPr>
          <w:p>
            <w:pPr>
              <w:jc w:val="center"/>
              <w:ind w:left="100"/>
              <w:spacing w:after="0"/>
              <w:rPr>
                <w:sz w:val="20"/>
                <w:szCs w:val="20"/>
                <w:color w:val="auto"/>
              </w:rPr>
            </w:pPr>
            <w:r>
              <w:rPr>
                <w:rFonts w:ascii="Times New Roman" w:cs="Times New Roman" w:eastAsia="Times New Roman" w:hAnsi="Times New Roman"/>
                <w:sz w:val="20"/>
                <w:szCs w:val="20"/>
                <w:color w:val="auto"/>
                <w:w w:val="99"/>
              </w:rPr>
              <w:t>54</w:t>
            </w:r>
          </w:p>
        </w:tc>
        <w:tc>
          <w:tcPr>
            <w:tcW w:w="362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Jay Backstrom, M.D., M.P.H</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68</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Kevin Bitterman, Ph.D.</w:t>
            </w:r>
          </w:p>
        </w:tc>
        <w:tc>
          <w:tcPr>
            <w:tcW w:w="1160" w:type="dxa"/>
            <w:vAlign w:val="bottom"/>
            <w:gridSpan w:val="2"/>
            <w:shd w:val="clear" w:color="auto" w:fill="D4EFF3"/>
          </w:tcPr>
          <w:p>
            <w:pPr>
              <w:jc w:val="center"/>
              <w:ind w:left="100"/>
              <w:spacing w:after="0"/>
              <w:rPr>
                <w:sz w:val="20"/>
                <w:szCs w:val="20"/>
                <w:color w:val="auto"/>
              </w:rPr>
            </w:pPr>
            <w:r>
              <w:rPr>
                <w:rFonts w:ascii="Times New Roman" w:cs="Times New Roman" w:eastAsia="Times New Roman" w:hAnsi="Times New Roman"/>
                <w:sz w:val="20"/>
                <w:szCs w:val="20"/>
                <w:color w:val="auto"/>
                <w:w w:val="99"/>
              </w:rPr>
              <w:t>46</w:t>
            </w:r>
          </w:p>
        </w:tc>
        <w:tc>
          <w:tcPr>
            <w:tcW w:w="362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Mark Chin, MS, MBA</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41</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Georges Gemayel</w:t>
            </w:r>
          </w:p>
        </w:tc>
        <w:tc>
          <w:tcPr>
            <w:tcW w:w="1160" w:type="dxa"/>
            <w:vAlign w:val="bottom"/>
            <w:gridSpan w:val="2"/>
            <w:shd w:val="clear" w:color="auto" w:fill="D4EFF3"/>
          </w:tcPr>
          <w:p>
            <w:pPr>
              <w:jc w:val="center"/>
              <w:ind w:left="100"/>
              <w:spacing w:after="0"/>
              <w:rPr>
                <w:sz w:val="20"/>
                <w:szCs w:val="20"/>
                <w:color w:val="auto"/>
              </w:rPr>
            </w:pPr>
            <w:r>
              <w:rPr>
                <w:rFonts w:ascii="Times New Roman" w:cs="Times New Roman" w:eastAsia="Times New Roman" w:hAnsi="Times New Roman"/>
                <w:sz w:val="20"/>
                <w:szCs w:val="20"/>
                <w:color w:val="auto"/>
                <w:w w:val="99"/>
              </w:rPr>
              <w:t>62</w:t>
            </w:r>
          </w:p>
        </w:tc>
        <w:tc>
          <w:tcPr>
            <w:tcW w:w="362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Liam Ratcliffe, MD, Ph.D.</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59</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56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William White, MPP, J.D.</w:t>
            </w:r>
          </w:p>
        </w:tc>
        <w:tc>
          <w:tcPr>
            <w:tcW w:w="1160" w:type="dxa"/>
            <w:vAlign w:val="bottom"/>
            <w:gridSpan w:val="2"/>
            <w:shd w:val="clear" w:color="auto" w:fill="D4EFF3"/>
          </w:tcPr>
          <w:p>
            <w:pPr>
              <w:jc w:val="center"/>
              <w:ind w:left="100"/>
              <w:spacing w:after="0"/>
              <w:rPr>
                <w:sz w:val="20"/>
                <w:szCs w:val="20"/>
                <w:color w:val="auto"/>
              </w:rPr>
            </w:pPr>
            <w:r>
              <w:rPr>
                <w:rFonts w:ascii="Times New Roman" w:cs="Times New Roman" w:eastAsia="Times New Roman" w:hAnsi="Times New Roman"/>
                <w:sz w:val="20"/>
                <w:szCs w:val="20"/>
                <w:color w:val="auto"/>
                <w:w w:val="99"/>
              </w:rPr>
              <w:t>50</w:t>
            </w:r>
          </w:p>
        </w:tc>
        <w:tc>
          <w:tcPr>
            <w:tcW w:w="3620" w:type="dxa"/>
            <w:vAlign w:val="bottom"/>
            <w:gridSpan w:val="2"/>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11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Each executive officer serves at the discretion of the board and will hold office until his or her successor is duly elected and qualified or until his or her earlier resignation or removal. There are no family relationships among any of our directors or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w:t>
      </w:r>
    </w:p>
    <w:p>
      <w:pPr>
        <w:spacing w:after="0" w:line="12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John Quisel, J.D. Ph.D. </w:t>
      </w:r>
      <w:r>
        <w:rPr>
          <w:rFonts w:ascii="Times New Roman" w:cs="Times New Roman" w:eastAsia="Times New Roman" w:hAnsi="Times New Roman"/>
          <w:sz w:val="20"/>
          <w:szCs w:val="20"/>
          <w:color w:val="auto"/>
        </w:rPr>
        <w:t>has served as our Chief Executive Officer and as a member of our board of directors since February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2020. Previously, from October 2006 through February 2020, Dr. Quisel served in various positions at Acceleron Pharma Inc., a biopharmaceutical company, most recently as Chief Business Officer. Prior to joining Acceleron, Dr. Quisel worked as an associate at the law firms of Ropes &amp; Gray and Foley Hoag.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p>
    <w:p>
      <w:pPr>
        <w:spacing w:after="0" w:line="8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Joanne Bryce, CPA </w:t>
      </w:r>
      <w:r>
        <w:rPr>
          <w:rFonts w:ascii="Times New Roman" w:cs="Times New Roman" w:eastAsia="Times New Roman" w:hAnsi="Times New Roman"/>
          <w:sz w:val="20"/>
          <w:szCs w:val="20"/>
          <w:color w:val="auto"/>
        </w:rPr>
        <w:t>has served as our Chief Financial Officer since September 2021. Previously, she served as a part-time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for us acting as our Chief Financial Officer from November 2017 to September 2021. Ms. Bryce was previously the Chief Financial Officer of Arkuda Therapeutics, a biotechnology company, having served from February 2018 to September</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2021. Additionally, she previously served as a consultant to Dyne Therapeutics, a muscle disease company, acting as head of finance, from January 2018 to March 2020, and was also previously Chief Financial Officer of Quartet Medicine, a biotechnology company, from November 2016 to November 2018. Prior to Quartet, Ms. Bryce held Chief Financial Officer roles at a number of technology companies, including Speedy Packets from October 2014 to November 2016 and WiTricity from September 2008 to June 2014. Ms. Bryce was Interim Chief Executive Officer at Jingle Networks from November 2005 to November 2008 and served as an independent consultant for multiple organizations between 2001 and 2005. Ms. Bryce was also Chief Financial Officer at Narrative Communications, later acquired by At Home Corporation, from January 1997 to July 2000. Ms. Bryce began her career at Arthur Andersen &amp; Co., an accounting firm. Ms. Bryce holds a B.S. from Babson College and is a certified public accountant licensed in the Commonwealth of Massachusetts.</w:t>
      </w:r>
    </w:p>
    <w:p>
      <w:pPr>
        <w:spacing w:after="0" w:line="83"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Jonathan Yu </w:t>
      </w:r>
      <w:r>
        <w:rPr>
          <w:rFonts w:ascii="Times New Roman" w:cs="Times New Roman" w:eastAsia="Times New Roman" w:hAnsi="Times New Roman"/>
          <w:sz w:val="19"/>
          <w:szCs w:val="19"/>
          <w:color w:val="auto"/>
        </w:rPr>
        <w:t>has served as our Chief Business Officer since August 2021, and was previously our Senior Vice President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Corporate Development from July 2020 to August 2021. Previously, he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Pharma and Johnson &amp; Johnson, spanning commercial planning and assessment, business development and finance. Mr. Yu holds an AB from Harvard College and an MBA from the Wharton School of the University of Pennsylvania.</w:t>
      </w:r>
    </w:p>
    <w:p>
      <w:pPr>
        <w:spacing w:after="0" w:line="67" w:lineRule="exact"/>
        <w:rPr>
          <w:sz w:val="20"/>
          <w:szCs w:val="20"/>
          <w:color w:val="auto"/>
        </w:rPr>
      </w:pPr>
    </w:p>
    <w:p>
      <w:pPr>
        <w:ind w:right="140" w:firstLine="49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 xml:space="preserve">William Savage, MD, Ph.D. </w:t>
      </w:r>
      <w:r>
        <w:rPr>
          <w:rFonts w:ascii="Times New Roman" w:cs="Times New Roman" w:eastAsia="Times New Roman" w:hAnsi="Times New Roman"/>
          <w:sz w:val="19"/>
          <w:szCs w:val="19"/>
          <w:color w:val="auto"/>
        </w:rPr>
        <w:t>has served as our Chief Medical Officer since August 2021 and was previously our Vice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President, Head of Clinical Development from August 2020 to August 2021. Previously, he served as Senior Medical Director at</w:t>
      </w:r>
    </w:p>
    <w:p>
      <w:pPr>
        <w:sectPr>
          <w:pgSz w:w="12240" w:h="15840" w:orient="portrait"/>
          <w:cols w:equalWidth="0" w:num="1">
            <w:col w:w="10440"/>
          </w:cols>
          <w:pgMar w:left="900" w:top="696" w:right="900" w:bottom="175"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10440"/>
          </w:cols>
          <w:pgMar w:left="900" w:top="696" w:right="900" w:bottom="175" w:gutter="0" w:footer="0" w:header="0"/>
          <w:type w:val="continuous"/>
        </w:sectPr>
      </w:pPr>
    </w:p>
    <w:bookmarkStart w:id="140" w:name="page141"/>
    <w:bookmarkEnd w:id="140"/>
    <w:p>
      <w:pPr>
        <w:ind w:left="7" w:right="60"/>
        <w:spacing w:after="0" w:line="246" w:lineRule="auto"/>
        <w:rPr>
          <w:sz w:val="20"/>
          <w:szCs w:val="20"/>
          <w:color w:val="auto"/>
        </w:rPr>
      </w:pPr>
      <w:r>
        <w:rPr>
          <w:rFonts w:ascii="Times New Roman" w:cs="Times New Roman" w:eastAsia="Times New Roman" w:hAnsi="Times New Roman"/>
          <w:sz w:val="20"/>
          <w:szCs w:val="20"/>
          <w:color w:val="auto"/>
        </w:rPr>
        <w:t>Magenta Therapeutics, a biotechnology company, from July 2019 to July 2020. Prior to Magenta Therapeutics, he was the Global 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He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p>
    <w:p>
      <w:pPr>
        <w:spacing w:after="0" w:line="80" w:lineRule="exact"/>
        <w:rPr>
          <w:sz w:val="20"/>
          <w:szCs w:val="20"/>
          <w:color w:val="auto"/>
        </w:rPr>
      </w:pPr>
    </w:p>
    <w:p>
      <w:pPr>
        <w:ind w:left="7" w:right="20" w:firstLine="49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Brian MacDonald, MB, Ch.B., Ph.D., </w:t>
      </w:r>
      <w:r>
        <w:rPr>
          <w:rFonts w:ascii="Times New Roman" w:cs="Times New Roman" w:eastAsia="Times New Roman" w:hAnsi="Times New Roman"/>
          <w:sz w:val="20"/>
          <w:szCs w:val="20"/>
          <w:color w:val="auto"/>
        </w:rPr>
        <w:t>has served as our Chief Innovation Officer since September 2021 and served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member of our board of directors from February 2020 until September 2021. Dr. MacDonald was our founding and Interim Chief Executive Officer from October 2017 through February 2020, and has founded another company engaged in the discovery of hepcidin-targeting therapeutics, Merganser Biotech, Inc., where he was the Chief Executive Officer from September 2011 through July 2016. Prior to that, he spent six years as Chief Executive Officer of Zelos Therapeutics from October 2005 through September 2011. He was also previously Head of Regulatory Affairs at Tetralogic from 2004 to 2005, Vice President, Development at 3-Dimensional Pharmaceuticals, Inc. from 2002 to 2003 and Group Director, Emerging Therapeutic Areas, at GSK from 2000 to 2002. Dr. MacDonald received his MB, Ch.B. and Ph.D. from the University of Sheffield, and is a member of the Royal College of Physicians.</w:t>
      </w:r>
    </w:p>
    <w:p>
      <w:pPr>
        <w:spacing w:after="0" w:line="86" w:lineRule="exact"/>
        <w:rPr>
          <w:sz w:val="20"/>
          <w:szCs w:val="20"/>
          <w:color w:val="auto"/>
        </w:rPr>
      </w:pPr>
    </w:p>
    <w:p>
      <w:pPr>
        <w:jc w:val="both"/>
        <w:ind w:left="7" w:firstLine="49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Rahul Khara, Pharm.D., J.D., </w:t>
      </w:r>
      <w:r>
        <w:rPr>
          <w:rFonts w:ascii="Times New Roman" w:cs="Times New Roman" w:eastAsia="Times New Roman" w:hAnsi="Times New Roman"/>
          <w:sz w:val="19"/>
          <w:szCs w:val="19"/>
          <w:color w:val="auto"/>
        </w:rPr>
        <w:t>has served as our General Counsel since December 2021 and as our Compliance Officer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Secretary since December 2022. Dr. Khara previously served as Vice President, Legal and Chief Compliance Officer at Acceleron Pharma Inc. from August 2018 until December 2021. Prior to joining Acceleron he was a Senior Associate at the law firm Arnold</w:t>
      </w:r>
    </w:p>
    <w:p>
      <w:pPr>
        <w:spacing w:after="0" w:line="2" w:lineRule="exact"/>
        <w:rPr>
          <w:sz w:val="20"/>
          <w:szCs w:val="20"/>
          <w:color w:val="auto"/>
        </w:rPr>
      </w:pPr>
    </w:p>
    <w:p>
      <w:pPr>
        <w:ind w:left="7" w:right="180" w:hanging="7"/>
        <w:spacing w:after="0" w:line="244" w:lineRule="auto"/>
        <w:tabs>
          <w:tab w:leader="none" w:pos="21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Porter LLP from March 2015 until August 2018. Prior to that, Dr. Khara was a Senior Associate at the law firm Sidley Austin LLP from September 2008 until March 2015. Dr. Khara received his J.D. from the University of Michigan Law School. He earned a Pharm.D. from Rutgers University.</w:t>
      </w:r>
    </w:p>
    <w:p>
      <w:pPr>
        <w:spacing w:after="0" w:line="2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Directors</w:t>
      </w:r>
    </w:p>
    <w:p>
      <w:pPr>
        <w:spacing w:after="0" w:line="120" w:lineRule="exact"/>
        <w:rPr>
          <w:sz w:val="20"/>
          <w:szCs w:val="20"/>
          <w:color w:val="auto"/>
        </w:rPr>
      </w:pPr>
    </w:p>
    <w:p>
      <w:pPr>
        <w:ind w:left="7" w:right="280" w:firstLine="49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Donald Nicholson, Ph.D. </w:t>
      </w:r>
      <w:r>
        <w:rPr>
          <w:rFonts w:ascii="Times New Roman" w:cs="Times New Roman" w:eastAsia="Times New Roman" w:hAnsi="Times New Roman"/>
          <w:sz w:val="19"/>
          <w:szCs w:val="19"/>
          <w:color w:val="auto"/>
        </w:rPr>
        <w:t>has served as Executive Chairman of our board of directors since April 2019. Dr. Nicholson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former chief executive officer of Nimbus Therapeutics, LLC, or Nimbus, a biotechnology company, serving from August</w:t>
      </w:r>
    </w:p>
    <w:p>
      <w:pPr>
        <w:ind w:left="7"/>
        <w:spacing w:after="0" w:line="241" w:lineRule="auto"/>
        <w:rPr>
          <w:sz w:val="20"/>
          <w:szCs w:val="20"/>
          <w:color w:val="auto"/>
        </w:rPr>
      </w:pPr>
      <w:r>
        <w:rPr>
          <w:rFonts w:ascii="Times New Roman" w:cs="Times New Roman" w:eastAsia="Times New Roman" w:hAnsi="Times New Roman"/>
          <w:sz w:val="20"/>
          <w:szCs w:val="20"/>
          <w:color w:val="auto"/>
        </w:rPr>
        <w:t>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 of directors of Generation Bio (Nasdaq: GBIO), Jnana Therapeutics, Muna Therapeutics, Matchpoint Therapeutics and NodThera.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p>
    <w:p>
      <w:pPr>
        <w:spacing w:after="0" w:line="83" w:lineRule="exact"/>
        <w:rPr>
          <w:sz w:val="20"/>
          <w:szCs w:val="20"/>
          <w:color w:val="auto"/>
        </w:rPr>
      </w:pPr>
    </w:p>
    <w:p>
      <w:pPr>
        <w:ind w:left="7" w:right="20" w:firstLine="49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Mona Ashiya, Ph.D. </w:t>
      </w:r>
      <w:r>
        <w:rPr>
          <w:rFonts w:ascii="Times New Roman" w:cs="Times New Roman" w:eastAsia="Times New Roman" w:hAnsi="Times New Roman"/>
          <w:sz w:val="20"/>
          <w:szCs w:val="20"/>
          <w:color w:val="auto"/>
        </w:rPr>
        <w:t>has served as a member of our board of directors since September 2021. Dr. Ashiya is currently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Partner at OrbiMed Advisors LLC, an investment firm, where she has been employed since October 2010. She currently serves on the board of directors of several private companies. Dr. Ashiya also previously served on the board of directors of Prevail Therapeutics Inc. and Sierra Oncology, Inc. Dr. Ashiya received her B.A. from the University of California, Berkeley and her Ph.D. in Cellular, Molecular and Developmental Biology from the University of Pittsburgh. Dr. Ashiya is qualified to serve on our board of directors based on her roles on public and private boards of directors as well as her extensive experience in investing in healthcare companies.</w:t>
      </w:r>
    </w:p>
    <w:p>
      <w:pPr>
        <w:spacing w:after="0" w:line="76" w:lineRule="exact"/>
        <w:rPr>
          <w:sz w:val="20"/>
          <w:szCs w:val="20"/>
          <w:color w:val="auto"/>
        </w:rPr>
      </w:pPr>
    </w:p>
    <w:p>
      <w:pPr>
        <w:ind w:left="7" w:firstLine="49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Jay Backstrom, M.D., </w:t>
      </w:r>
      <w:r>
        <w:rPr>
          <w:rFonts w:ascii="Times New Roman" w:cs="Times New Roman" w:eastAsia="Times New Roman" w:hAnsi="Times New Roman"/>
          <w:sz w:val="20"/>
          <w:szCs w:val="20"/>
          <w:b w:val="1"/>
          <w:bCs w:val="1"/>
          <w:color w:val="auto"/>
        </w:rPr>
        <w:t>M.P.H.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served as a member of our board of directors since December 2021. Dr. Backstrom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currently Chief Executive Officer of Scholar Rock, a position that he assumed in October 2022. Dr. Backstrom previously served as Executive Vice President, Research and Development at Acceleron Pharma Inc. from December 2019 through December 2021. Dr. Backstrom previously served as Chief Medical Officer of Celgene Corporation from April 2016 until November 2019. Prior to that he served as Senior Vice President, Clinical R&amp;D and Regulatory Affairs at Celgene where he was responsible for the late stage clinical and regulatory programs across the Hematology &amp; Oncology portfolio. Dr. Backstrom joined Celgene in March 2008 as Vice President, Clinical R&amp;D after serving as Vice President, Global Medical Affairs and Safety for Pharmion from 2002 to 2008. Prior to joining Pharmion, Dr. Backstrom was with Marion Merrell Dow and its successor companies including Hoechst Marion Roussel. Dr. Backstrom received his M.D. from Temple University School of Medicine. He did his post graduate training in Internal Medicine at Temple University Hospital and earned a Masters degree in Public Health from Saint Louis University School of Public Health. Dr. Backstrom is qualified to serve on our board of directors due to his extensive clinical development background.</w:t>
      </w:r>
    </w:p>
    <w:p>
      <w:pPr>
        <w:spacing w:after="0" w:line="90" w:lineRule="exact"/>
        <w:rPr>
          <w:sz w:val="20"/>
          <w:szCs w:val="20"/>
          <w:color w:val="auto"/>
        </w:rPr>
      </w:pPr>
    </w:p>
    <w:p>
      <w:pPr>
        <w:jc w:val="both"/>
        <w:ind w:left="7" w:right="280" w:firstLine="49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 xml:space="preserve">Kevin Bitterman, Ph.D. </w:t>
      </w:r>
      <w:r>
        <w:rPr>
          <w:rFonts w:ascii="Times New Roman" w:cs="Times New Roman" w:eastAsia="Times New Roman" w:hAnsi="Times New Roman"/>
          <w:sz w:val="19"/>
          <w:szCs w:val="19"/>
          <w:color w:val="auto"/>
        </w:rPr>
        <w:t>has served as a member of our board of directors since November 2017. Dr. Bitterman currently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serves as a partner at venture firm Atlas Venture, or Atlas, a venture capital firm, where he has been employed since June 2017 and where he focuses on investments in life science companies. Prior to joining Atlas, Dr. Bitterman was a partner at Polaris</w:t>
      </w:r>
    </w:p>
    <w:p>
      <w:pPr>
        <w:sectPr>
          <w:pgSz w:w="12240" w:h="15840" w:orient="portrait"/>
          <w:cols w:equalWidth="0" w:num="1">
            <w:col w:w="10447"/>
          </w:cols>
          <w:pgMar w:left="893" w:top="700" w:right="900" w:bottom="175" w:gutter="0" w:footer="0" w:header="0"/>
        </w:sectPr>
      </w:pPr>
    </w:p>
    <w:p>
      <w:pPr>
        <w:spacing w:after="0" w:line="26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10447"/>
          </w:cols>
          <w:pgMar w:left="893" w:top="700" w:right="900" w:bottom="175" w:gutter="0" w:footer="0" w:header="0"/>
          <w:type w:val="continuous"/>
        </w:sectPr>
      </w:pPr>
    </w:p>
    <w:bookmarkStart w:id="141" w:name="page142"/>
    <w:bookmarkEnd w:id="141"/>
    <w:p>
      <w:pPr>
        <w:ind w:right="20"/>
        <w:spacing w:after="0" w:line="244" w:lineRule="auto"/>
        <w:rPr>
          <w:sz w:val="20"/>
          <w:szCs w:val="20"/>
          <w:color w:val="auto"/>
        </w:rPr>
      </w:pPr>
      <w:r>
        <w:rPr>
          <w:rFonts w:ascii="Times New Roman" w:cs="Times New Roman" w:eastAsia="Times New Roman" w:hAnsi="Times New Roman"/>
          <w:sz w:val="20"/>
          <w:szCs w:val="20"/>
          <w:color w:val="auto"/>
        </w:rPr>
        <w:t>Partners, an investment firm, as a member of the healthcare team from July 2004 to June 2017. Dr. Bitterman serves on the boards of Judo Bio, Kinaset Therapeutics, Mariana Oncology, and Remix Therapeutics. He is board chair at Chroma Medicine and at Vedere Bio II following Novartis’ acquisition of Vedere Bio. Dr. Bitterman was the founding CEO of Editas Medicine (NASDAQ: EDIT), Morphic Therapeutics (NASDAQ: MORF) and Wisterra (acquired by Otsuka), and co-founded Genocea Biosciences(NASDAQ: GNCA). He previously served as a director of Akero Therapeutics, Inc. (Nasdaq: AKRO), Kala Pharmaceuticals, Inc. (Nasdaq: KALA) and Taris Biomedical (acquired by Johnson &amp; Johnson) among other ventures. Dr. Bitterman also serves as board chair of the New England Venture Capital Association.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p>
    <w:p>
      <w:pPr>
        <w:spacing w:after="0" w:line="8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 Chin, MS, MBA </w:t>
      </w:r>
      <w:r>
        <w:rPr>
          <w:rFonts w:ascii="Times New Roman" w:cs="Times New Roman" w:eastAsia="Times New Roman" w:hAnsi="Times New Roman"/>
          <w:sz w:val="20"/>
          <w:szCs w:val="20"/>
          <w:color w:val="auto"/>
        </w:rPr>
        <w:t>has served as a member of our board of directors since September 2021. Mr. Chin has served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managing director at Arix Bioscience PLC, a biotechnology-focused venture capital firm, since July 2021. From August 2016 to April 2020, Mr. Chin served as an investment director at Arix Bioscience. Prior to Arix Bioscience, he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currently serves as a member of the boards of directors of Harpoon Therapeutics, Inc. (Nasdaq: HARP), Imara Inc. (Nasdaq: IMRA), and Iterum Therapeutics plc (Nasdaq: ITRM) and a number of private biotechnology companies. Mr. Chin received a BS from the University of California at San Diego, an MS from the University of Pennsylvania, and an MBA from The Wharton School at the University of Pennsylvania. We believe Mr. Chin is qualified to serve on our board of directors based on his extensive experience investing in, guiding, and leading start-up and early phase companies, as well as his experience as a director of other companies.</w:t>
      </w:r>
    </w:p>
    <w:p>
      <w:pPr>
        <w:spacing w:after="0" w:line="93" w:lineRule="exact"/>
        <w:rPr>
          <w:sz w:val="20"/>
          <w:szCs w:val="20"/>
          <w:color w:val="auto"/>
        </w:rPr>
      </w:pPr>
    </w:p>
    <w:p>
      <w:pPr>
        <w:jc w:val="both"/>
        <w:ind w:firstLine="49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Georges Gemayel, Ph.D. </w:t>
      </w:r>
      <w:r>
        <w:rPr>
          <w:rFonts w:ascii="Times New Roman" w:cs="Times New Roman" w:eastAsia="Times New Roman" w:hAnsi="Times New Roman"/>
          <w:sz w:val="19"/>
          <w:szCs w:val="19"/>
          <w:color w:val="auto"/>
        </w:rPr>
        <w:t>has served as a member of our board of directors since December 2022. Prior to that, Dr. Gemayel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served as Gemini’s Interim President and Chief Executive Officer from February 2022 to December 2022, Executive Chairperson of the Board from November 2021 to December 2022 and Chairperson of the Board from May 2021 to November 2021. Dr.</w:t>
      </w:r>
    </w:p>
    <w:p>
      <w:pPr>
        <w:spacing w:after="0" w:line="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Gemayel has over 30 years of experience in the pharmaceutical industry, including management and executive positions in the U.S., Europe and the Middle East. Dr. Gemayel currently serves on the board of directors of Supernus Pharmaceuticals, Inc., and is the chair of the boards of Dynacure, Enterome SA, and GlycoEra. Previously, Dr. Gemayel served as Executive Chair of FoldRx Pharmaceuticals and of Syndexa Pharmaceuticals, as Chair of Oxthera AB, Dimension Therapeutics, Orphazyme A/S, and Epitherapeutics and as Director of Prosensa, Raptor Pharmaceuticals, NPS Pharma, Momenta Pharmaceuticals and Adolor. From 2008 to 2009, Dr. Gemayel was President and Chief Executive Officer of Altus Pharmaceuticals Inc., a publicly traded pharmaceutical company. From 2003 to 2008, he was Executive Vice President at Genzyme Corporation where he was responsible for the company’s global therapeutics, transplant, renal and biosurgery businesses. From 1998 to 2003, he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of directors has concluded that Dr. Gemayel possesses the expertise and extensive professional experience and knowledge that qualifies him to serve as a member of our board.</w:t>
      </w:r>
    </w:p>
    <w:p>
      <w:pPr>
        <w:spacing w:after="0" w:line="9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Liam Ratcliffe, MD, Ph.D. </w:t>
      </w:r>
      <w:r>
        <w:rPr>
          <w:rFonts w:ascii="Times New Roman" w:cs="Times New Roman" w:eastAsia="Times New Roman" w:hAnsi="Times New Roman"/>
          <w:sz w:val="20"/>
          <w:szCs w:val="20"/>
          <w:color w:val="auto"/>
        </w:rPr>
        <w:t>has served as a member of our board of directors since September 2019. Dr. Ratcliffe has served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Head of Biotechnology at Access Industries, a privately held industrial group, since April 2019. Previously, he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where he spent 12 years of his career. Dr. Ratcliffe currently serves as a member of the boards of directors of Arvinas Inc. (Nasdaq: ARVN) since October 2015, Passage Bio Inc. (Nasdaq: PASG) since September 2019, Recludix Pharma, Inc. since December 2019, and Eliem Therapeutics Inc. (Nasdaq: ELYM) since October 2019. Previously, he served as a board member at Edge Therapeutics, Inc. (now PDS Biotechnology Corp., Nasdaq: PDSB) from October 2015 to November 2018, Unum Therapeutics Inc. (formerly listed on Nasdaq) from March 2018 to April 2019, Deciphera Pharmaceuticals Inc. (Nasdaq: DCPH) from September 2017 to March 2019, Aptinyx Inc. (Nasdaq: APTX) from June 2018 to April 2019, and RallyBio Corporation (Nasdaq: RLYB) from April 2018 to March 2019. Dr. Ratcliffe received a MBChB and a Ph.D. in immunology from University of Cape Town and an MBA from the University of Michigan. Dr. Ratcliffe is qualified to serve on our board of directors because of his extensive clinical development and venture capital experience in the life sciences industry.</w:t>
      </w:r>
    </w:p>
    <w:p>
      <w:pPr>
        <w:spacing w:after="0" w:line="93" w:lineRule="exact"/>
        <w:rPr>
          <w:sz w:val="20"/>
          <w:szCs w:val="20"/>
          <w:color w:val="auto"/>
        </w:rPr>
      </w:pPr>
    </w:p>
    <w:p>
      <w:pPr>
        <w:ind w:right="60" w:firstLine="49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William White, MPP, J.D., </w:t>
      </w:r>
      <w:r>
        <w:rPr>
          <w:rFonts w:ascii="Times New Roman" w:cs="Times New Roman" w:eastAsia="Times New Roman" w:hAnsi="Times New Roman"/>
          <w:sz w:val="19"/>
          <w:szCs w:val="19"/>
          <w:color w:val="auto"/>
        </w:rPr>
        <w:t>has served as a member of our board of directors since December 2020. Mr. White has served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 the Executive Vice President, Chief Financial 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w:t>
      </w:r>
    </w:p>
    <w:p>
      <w:pPr>
        <w:sectPr>
          <w:pgSz w:w="12240" w:h="15840" w:orient="portrait"/>
          <w:cols w:equalWidth="0" w:num="1">
            <w:col w:w="10440"/>
          </w:cols>
          <w:pgMar w:left="900" w:top="700" w:right="900" w:bottom="175"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10440"/>
          </w:cols>
          <w:pgMar w:left="900" w:top="700" w:right="900" w:bottom="175" w:gutter="0" w:footer="0" w:header="0"/>
          <w:type w:val="continuous"/>
        </w:sectPr>
      </w:pPr>
    </w:p>
    <w:bookmarkStart w:id="142" w:name="page143"/>
    <w:bookmarkEnd w:id="142"/>
    <w:p>
      <w:pPr>
        <w:spacing w:after="0" w:line="247" w:lineRule="auto"/>
        <w:rPr>
          <w:sz w:val="20"/>
          <w:szCs w:val="20"/>
          <w:color w:val="auto"/>
        </w:rPr>
      </w:pPr>
      <w:r>
        <w:rPr>
          <w:rFonts w:ascii="Times New Roman" w:cs="Times New Roman" w:eastAsia="Times New Roman" w:hAnsi="Times New Roman"/>
          <w:sz w:val="20"/>
          <w:szCs w:val="20"/>
          <w:color w:val="auto"/>
        </w:rPr>
        <w:t>until March 2019. Prior to that position, Mr. White was a Managing Director in Healthcare Investment Banking at Citigroup from May 2006 until September 2017. Previously, he served as an associate and later as a Vice President in Healthcare Investment Banking at Goldman, Sachs &amp; Co. from November 2000 to March 2006. Mr. White received an AB from Princeton University, an MPP from Harvard University and a J.D. from Columbia University. Mr. White also serves as a board member and Audit Committee Chair of Ventyx Bioscience (Nasdaq: VTYX). Mr. White is qualified to serve on our board of directors because of his extensive financial and investment experience in the life sciences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Governance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 Guidelines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Our corporate governance guidelines assist our board of directors in the exercise of its duties and responsibilities and to serve the best interests of our company and our stockholders. These guidelines, which provide a framework for the conduct of our board’s business, provide that:</w:t>
      </w:r>
    </w:p>
    <w:p>
      <w:pPr>
        <w:spacing w:after="0" w:line="83" w:lineRule="exact"/>
        <w:rPr>
          <w:sz w:val="20"/>
          <w:szCs w:val="20"/>
          <w:color w:val="auto"/>
        </w:rPr>
      </w:pPr>
    </w:p>
    <w:p>
      <w:pPr>
        <w:ind w:left="720" w:hanging="367"/>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principal responsibility of the directors is to oversee our management;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a majority of the members of the board shall be independent directors, unless otherwise permitted by Nasdaq rules;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independent directors meet at least once a year;</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directors have full and free access to management and, as necessary and appropriate, independent advisors; and</w:t>
      </w:r>
    </w:p>
    <w:p>
      <w:pPr>
        <w:spacing w:after="0" w:line="133" w:lineRule="exact"/>
        <w:rPr>
          <w:rFonts w:ascii="Arial" w:cs="Arial" w:eastAsia="Arial" w:hAnsi="Arial"/>
          <w:sz w:val="20"/>
          <w:szCs w:val="20"/>
          <w:color w:val="auto"/>
        </w:rPr>
      </w:pPr>
    </w:p>
    <w:p>
      <w:pPr>
        <w:ind w:left="720" w:right="200" w:hanging="367"/>
        <w:spacing w:after="0" w:line="276"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at least annually, the nominating and corporate governance committee oversees a self-evaluation by the board to assess the effectiveness of the board and its committees.</w:t>
      </w:r>
    </w:p>
    <w:p>
      <w:pPr>
        <w:spacing w:after="0" w:line="50"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Our board of directors is responsible for managing or supervising the management of our business and affairs. This includes appointing our chief executive officer, advising management on strategic issues, approving our business and other plans and monitoring our performance against those plans and against our operating and capital budgets. In addition, our board of directors also receives and considers recommendations from our various committees with respect to matters such as the following:</w:t>
      </w:r>
    </w:p>
    <w:p>
      <w:pPr>
        <w:spacing w:after="0" w:line="71" w:lineRule="exact"/>
        <w:rPr>
          <w:sz w:val="20"/>
          <w:szCs w:val="20"/>
          <w:color w:val="auto"/>
        </w:rPr>
      </w:pPr>
    </w:p>
    <w:p>
      <w:pPr>
        <w:ind w:left="720" w:hanging="367"/>
        <w:spacing w:after="0"/>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compensation of our directors;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criteria for board and committee membership;</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persons to be nominated for election as directors and to each of the board of director’s committees; and</w:t>
      </w:r>
    </w:p>
    <w:p>
      <w:pPr>
        <w:spacing w:after="0" w:line="133" w:lineRule="exact"/>
        <w:rPr>
          <w:rFonts w:ascii="Arial" w:cs="Arial" w:eastAsia="Arial" w:hAnsi="Arial"/>
          <w:sz w:val="20"/>
          <w:szCs w:val="20"/>
          <w:color w:val="auto"/>
        </w:rPr>
      </w:pPr>
    </w:p>
    <w:p>
      <w:pPr>
        <w:ind w:left="720" w:right="120" w:hanging="367"/>
        <w:spacing w:after="0" w:line="276"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matters relating to our code of business conduct and ethics and corporate governance guidelines. Our board of directors does not have a written mandate.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We have also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“Investors &amp; Media— Corporate Governance” section of our website, which is located at </w:t>
      </w:r>
      <w:r>
        <w:rPr>
          <w:rFonts w:ascii="Times New Roman" w:cs="Times New Roman" w:eastAsia="Times New Roman" w:hAnsi="Times New Roman"/>
          <w:sz w:val="20"/>
          <w:szCs w:val="20"/>
          <w:b w:val="1"/>
          <w:bCs w:val="1"/>
          <w:i w:val="1"/>
          <w:iCs w:val="1"/>
          <w:color w:val="auto"/>
        </w:rPr>
        <w:t>www.discmedicine.com</w:t>
      </w:r>
      <w:r>
        <w:rPr>
          <w:rFonts w:ascii="Times New Roman" w:cs="Times New Roman" w:eastAsia="Times New Roman" w:hAnsi="Times New Roman"/>
          <w:sz w:val="20"/>
          <w:szCs w:val="20"/>
          <w:color w:val="auto"/>
        </w:rPr>
        <w:t>. If we make any substantive amendments to, or grant any waivers from, the code of business conduct and ethics for any officer or director, we will disclose the nature of such amendment or waiver on our website or in a Current Report on Form 8-K to be filed with the SEC. Employees are required to annually certify compliance with the code.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Determination of Independence</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 3 under the Securities Exchange Act of 1934, as amended, or the Exchange Act, and compensation committee members must also satisfy the independence criteria set forth in Rule 10C 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6"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In order to be considered independent for purposes of Rule 10A 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 1, the board of</w:t>
      </w:r>
    </w:p>
    <w:p>
      <w:pPr>
        <w:sectPr>
          <w:pgSz w:w="12240" w:h="15840" w:orient="portrait"/>
          <w:cols w:equalWidth="0" w:num="1">
            <w:col w:w="10440"/>
          </w:cols>
          <w:pgMar w:left="900" w:top="700" w:right="900" w:bottom="175"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10440"/>
          </w:cols>
          <w:pgMar w:left="900" w:top="700" w:right="900" w:bottom="175" w:gutter="0" w:footer="0" w:header="0"/>
          <w:type w:val="continuous"/>
        </w:sectPr>
      </w:pPr>
    </w:p>
    <w:bookmarkStart w:id="143" w:name="page144"/>
    <w:bookmarkEnd w:id="143"/>
    <w:p>
      <w:pPr>
        <w:spacing w:after="0" w:line="249" w:lineRule="auto"/>
        <w:rPr>
          <w:sz w:val="20"/>
          <w:szCs w:val="20"/>
          <w:color w:val="auto"/>
        </w:rPr>
      </w:pPr>
      <w:r>
        <w:rPr>
          <w:rFonts w:ascii="Times New Roman" w:cs="Times New Roman" w:eastAsia="Times New Roman" w:hAnsi="Times New Roman"/>
          <w:sz w:val="20"/>
          <w:szCs w:val="20"/>
          <w:color w:val="auto"/>
        </w:rPr>
        <w:t>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board of directors has determined that each of our directors, with the exception of Dr. Quisel, who serves as our Chief Executive Officer, and Georges Gemayel, who served as the chief executive officer of Gemini prior to our merger with Gemini, is an “independent director” within the meaning of the director independence standards established by the SEC and Nasdaq. Our board of directors also determined that Mark Chin, Liam Ratcliffe and William White who comprise our audit committee, Mona Ashiya, Kevin Bitterman and Donald Nicholson, who comprise our compensation committee, and Mona Ashiya,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 non-employee director has with our company in light of all facts and circumstances our board of directors deemed relevant in determining independence, including the beneficial ownership of our capital stock by each non-employee director.</w:t>
      </w:r>
    </w:p>
    <w:p>
      <w:pPr>
        <w:spacing w:after="0" w:line="82"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non-management directors meet at regularly scheduled executive sessions without management participation, and at least once each year an executive session with only independent directors present is held. In 2022, there were four executive sessions at which only the independent directors were present.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Self-Assessment; Director Candidates; and Criteria</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Our board of directors performs an annual self-assessment. During this self-assessment, the board of directors considers many factors, including, but not limited to, the expertise of existing board of director members and the expertise of directors we need in our transition from a clinical development stage company to becoming a commercial enterprise. The board of director’s annual self-assessment is conducted by a survey in which each director is asked to comment on the effectiveness and contribution of the board of directors as a whole.</w:t>
      </w:r>
    </w:p>
    <w:p>
      <w:pPr>
        <w:spacing w:after="0" w:line="7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spacing w:after="0" w:line="68" w:lineRule="exact"/>
        <w:rPr>
          <w:sz w:val="20"/>
          <w:szCs w:val="20"/>
          <w:color w:val="auto"/>
        </w:rPr>
      </w:pPr>
    </w:p>
    <w:p>
      <w:pPr>
        <w:jc w:val="both"/>
        <w:ind w:right="100" w:firstLine="490"/>
        <w:spacing w:after="0" w:line="262" w:lineRule="auto"/>
        <w:rPr>
          <w:sz w:val="20"/>
          <w:szCs w:val="20"/>
          <w:color w:val="auto"/>
        </w:rPr>
      </w:pPr>
      <w:r>
        <w:rPr>
          <w:rFonts w:ascii="Times New Roman" w:cs="Times New Roman" w:eastAsia="Times New Roman" w:hAnsi="Times New Roman"/>
          <w:sz w:val="19"/>
          <w:szCs w:val="19"/>
          <w:color w:val="auto"/>
        </w:rPr>
        <w:t>Generally, 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w:t>
      </w:r>
    </w:p>
    <w:p>
      <w:pPr>
        <w:spacing w:after="0" w:line="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Once candidates have been identified, the nominating and corporate governance committee confirms that the candidates meet the minimum qualifications for director nominees established by the nominating and corporate governance committee. These criteria include, among other things, the skills of the candidate, his or her depth and breadth of business experience and other background characteristics, his or her independence and the needs of the board of directors.</w:t>
      </w:r>
    </w:p>
    <w:p>
      <w:pPr>
        <w:spacing w:after="0" w:line="8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nominating and corporate governance committee may gather information about the candidates through meetings from time to time,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director nominees for election to the board of directors.</w:t>
      </w:r>
    </w:p>
    <w:p>
      <w:pPr>
        <w:spacing w:after="0" w:line="8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board of directors does not believe that limits on the number of consecutive terms a director may serve or on the directors’ ages are appropriate at this stage. Instead, each director’s performance and their continued service is assessed by the nominating and corporate governance committee in light of the needs of the board of directors and other relevant factors.</w:t>
      </w:r>
    </w:p>
    <w:p>
      <w:pPr>
        <w:spacing w:after="0" w:line="6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Stockholders may recommend individuals to our nominating and corporate governance committee for consideration as potential director candidates by providing timely notice and meeting the other requirements set forth in our by-laws, including our advanced notice provision, and the rules and regulations of the SEC. Assuming such requirements have been met, the nominating and corporate governance committee will evaluate stockholder-recommended candidates by following substantially the same process, and applying substantially the same criteria, as it follows for candidates submitted by others. If the board of directors determines to nominate a stockholder-recommended candidate and recommends his or her election, then his or her name will be included in our proxy card for the next annual meeting.</w:t>
      </w:r>
    </w:p>
    <w:p>
      <w:pPr>
        <w:spacing w:after="0" w:line="80"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auto"/>
        </w:rPr>
        <w:t>The company conducts an orientation program for each new director, which generally includes conversations with individual members of management. The orientation is designed to familiarize the new director with the company’s business and strategic plans, key policies and practices, principal officers and management structure, auditing and compliance processes and its</w:t>
      </w:r>
    </w:p>
    <w:p>
      <w:pPr>
        <w:sectPr>
          <w:pgSz w:w="12240" w:h="15840" w:orient="portrait"/>
          <w:cols w:equalWidth="0" w:num="1">
            <w:col w:w="10400"/>
          </w:cols>
          <w:pgMar w:left="900" w:top="700" w:right="940" w:bottom="175" w:gutter="0" w:footer="0" w:header="0"/>
        </w:sect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10400"/>
          </w:cols>
          <w:pgMar w:left="900" w:top="700" w:right="940" w:bottom="175" w:gutter="0" w:footer="0" w:header="0"/>
          <w:type w:val="continuous"/>
        </w:sectPr>
      </w:pPr>
    </w:p>
    <w:bookmarkStart w:id="144" w:name="page145"/>
    <w:bookmarkEnd w:id="144"/>
    <w:p>
      <w:pPr>
        <w:ind w:right="20"/>
        <w:spacing w:after="0" w:line="249" w:lineRule="auto"/>
        <w:rPr>
          <w:sz w:val="20"/>
          <w:szCs w:val="20"/>
          <w:color w:val="auto"/>
        </w:rPr>
      </w:pPr>
      <w:r>
        <w:rPr>
          <w:rFonts w:ascii="Times New Roman" w:cs="Times New Roman" w:eastAsia="Times New Roman" w:hAnsi="Times New Roman"/>
          <w:sz w:val="20"/>
          <w:szCs w:val="20"/>
          <w:color w:val="auto"/>
        </w:rPr>
        <w:t>code of business conduct and ethics. New directors have access to historical published information about the company, its articles and by-laws, the corporate governance guidelines and the charters of the board of director’s committees and other relevant information. The nominating and corporate governance committee is responsible for providing materials or briefing sessions for continuing directors on topics that will assist them in discharging their duties. In addition, management makes regular presentations to the board of directors on the main areas of the company’s business and new developments in the industry.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Communication from Stockholders</w:t>
      </w:r>
    </w:p>
    <w:p>
      <w:pPr>
        <w:spacing w:after="0" w:line="12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The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68"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auto"/>
        </w:rPr>
        <w:t>Communications are forwarded to all directors if they relate to important substantive matters and include suggestions or comments that the chairman of the board of directors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Composition of the Board of Directors</w:t>
      </w:r>
    </w:p>
    <w:p>
      <w:pPr>
        <w:spacing w:after="0" w:line="12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Our board of directors currently consists of nine members, divided into three staggered classes, with one class to be elected at each annual meeting to serve for a three-year term.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Diversity</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nominating and corporate governance committee has a written board diversity policy and believes that our board of directors, taken as a whole, should embody a diverse set of skills, experience, knowledge and backgrounds, including an appropriate number of women directors. The board of directors has not adopted targets for the number or proportion of female directors as the company is committed to a merit-based system for board composition, which reflects a diverse and inclusive culture where directors believe that their views are heard, their concerns are attended to and they serve in an environment where bias, discrimination and harassment on any matter are not tolerated. When identifying suitable candidates for appointment to the board of directors, the company considers candidates on merit against objective criteria and the needs of the board of directors and considers the need to increase the number of women directors on the board of directors to meet the company’s goal. When recruiting new candidates for appointment, search protocols will go beyond the networks of existing board of director members and will incorporate diversity, including identification of female candidates, as a component. Any search firm engaged to assist the board of directors or the nominating and corporate governance committee in identifying candidates for appointment to the board of directors shall be directed to include women candidates and women candidates will be included in the board of director’s evergreen list of potential board of director nominees.</w:t>
      </w:r>
    </w:p>
    <w:p>
      <w:pPr>
        <w:spacing w:after="0" w:line="83"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company has not adopted targets for the number or proportion of directors who are members of a visible minority, Indigenous peoples or persons with a disability, or the designated groups, or for other diversity characteristics at this time. For now, the board of directors has chosen to focus on gender in exclusion to other diversity characteristics and the nominating and corporate governance committee does not specifically consider the level of representation of members of designated groups on the board of directors in identifying and nominating candidates for election or re-election to the board of directors.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below board diversity matrix reports self-identified diversity statistics for the board of directors.</w:t>
      </w:r>
    </w:p>
    <w:p>
      <w:pPr>
        <w:spacing w:after="0" w:line="1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Board Diversity Matrix (As of February 28, 2023)</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43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Total Number of Directors</w:t>
            </w:r>
          </w:p>
        </w:tc>
        <w:tc>
          <w:tcPr>
            <w:tcW w:w="15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c>
          <w:tcPr>
            <w:tcW w:w="15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right w:val="single" w:sz="8" w:color="auto"/>
            </w:tcBorders>
          </w:tcPr>
          <w:p>
            <w:pPr>
              <w:spacing w:after="0"/>
              <w:rPr>
                <w:sz w:val="22"/>
                <w:szCs w:val="22"/>
                <w:color w:val="auto"/>
              </w:rPr>
            </w:pPr>
          </w:p>
        </w:tc>
      </w:tr>
      <w:tr>
        <w:trPr>
          <w:trHeight w:val="211"/>
        </w:trPr>
        <w:tc>
          <w:tcPr>
            <w:tcW w:w="430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b w:val="1"/>
                <w:bCs w:val="1"/>
                <w:color w:val="auto"/>
              </w:rPr>
              <w:t>Did Not Disclose</w:t>
            </w:r>
          </w:p>
        </w:tc>
      </w:tr>
      <w:tr>
        <w:trPr>
          <w:trHeight w:val="253"/>
        </w:trPr>
        <w:tc>
          <w:tcPr>
            <w:tcW w:w="4300" w:type="dxa"/>
            <w:vAlign w:val="bottom"/>
            <w:tcBorders>
              <w:left w:val="single" w:sz="8" w:color="auto"/>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Female</w:t>
            </w:r>
          </w:p>
        </w:tc>
        <w:tc>
          <w:tcPr>
            <w:tcW w:w="122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20"/>
                <w:szCs w:val="20"/>
                <w:b w:val="1"/>
                <w:bCs w:val="1"/>
                <w:color w:val="auto"/>
                <w:w w:val="96"/>
              </w:rPr>
              <w:t>Male</w:t>
            </w:r>
          </w:p>
        </w:tc>
        <w:tc>
          <w:tcPr>
            <w:tcW w:w="34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Non-Binary</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Gender</w:t>
            </w: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Part I: Gender Identity</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Directors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22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20"/>
                <w:szCs w:val="20"/>
                <w:color w:val="auto"/>
                <w:w w:val="99"/>
              </w:rPr>
              <w:t>8</w:t>
            </w: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Part II: Demographic Background</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African American or Black</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Alaskan Native or Native American</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Asian</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22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20"/>
                <w:szCs w:val="20"/>
                <w:color w:val="auto"/>
                <w:w w:val="99"/>
              </w:rPr>
              <w:t>1</w:t>
            </w: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Hispanic or Latinx</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Native Hawaiian or Pacific Islander</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White</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20"/>
                <w:szCs w:val="20"/>
                <w:color w:val="auto"/>
                <w:w w:val="99"/>
              </w:rPr>
              <w:t>7</w:t>
            </w: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4"/>
        </w:trPr>
        <w:tc>
          <w:tcPr>
            <w:tcW w:w="4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Two or More Races or Ethnicities</w:t>
            </w:r>
          </w:p>
        </w:tc>
        <w:tc>
          <w:tcPr>
            <w:tcW w:w="1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440"/>
          </w:cols>
          <w:pgMar w:left="900" w:top="700" w:right="900" w:bottom="175"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10440"/>
          </w:cols>
          <w:pgMar w:left="900" w:top="700" w:right="900" w:bottom="175" w:gutter="0" w:footer="0" w:header="0"/>
          <w:type w:val="continuous"/>
        </w:sectPr>
      </w:pPr>
    </w:p>
    <w:bookmarkStart w:id="145" w:name="page146"/>
    <w:bookmarkEnd w:id="145"/>
    <w:p>
      <w:pPr>
        <w:ind w:left="140"/>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457200</wp:posOffset>
                </wp:positionV>
                <wp:extent cx="0" cy="81216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21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36pt" to="44.9pt,99.95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3288665</wp:posOffset>
                </wp:positionH>
                <wp:positionV relativeFrom="page">
                  <wp:posOffset>457200</wp:posOffset>
                </wp:positionV>
                <wp:extent cx="0" cy="81216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21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95pt,36pt" to="258.95pt,99.95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7202170</wp:posOffset>
                </wp:positionH>
                <wp:positionV relativeFrom="page">
                  <wp:posOffset>457200</wp:posOffset>
                </wp:positionV>
                <wp:extent cx="0" cy="81216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21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7.1pt,36pt" to="567.1pt,99.95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567055</wp:posOffset>
                </wp:positionH>
                <wp:positionV relativeFrom="page">
                  <wp:posOffset>460375</wp:posOffset>
                </wp:positionV>
                <wp:extent cx="663829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82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65pt,36.25pt" to="567.35pt,36.25pt" o:allowincell="f" strokecolor="#000000" strokeweight="0.5pt">
                <w10:wrap anchorx="page" anchory="page"/>
              </v:line>
            </w:pict>
          </mc:Fallback>
        </mc:AlternateContent>
        <w:t>LGBTQ+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15240</wp:posOffset>
                </wp:positionV>
                <wp:extent cx="272415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4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pt" to="214.2pt,1.2pt" o:allowincell="f" strokecolor="#000000" strokeweight="0.5pt"/>
            </w:pict>
          </mc:Fallback>
        </mc:AlternateConten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Persons with disabilities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272415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4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6pt" to="214.2pt,0.6pt" o:allowincell="f" strokecolor="#000000" strokeweight="0.5pt"/>
            </w:pict>
          </mc:Fallback>
        </mc:AlternateConten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Visible minorities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272415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4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6pt" to="214.2pt,0.6pt" o:allowincell="f" strokecolor="#000000" strokeweight="0.5pt"/>
            </w:pict>
          </mc:Fallback>
        </mc:AlternateConten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Indigenous peoples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272415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4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6pt" to="214.2pt,0.6pt" o:allowincell="f" strokecolor="#000000" strokeweight="0.5pt"/>
            </w:pict>
          </mc:Fallback>
        </mc:AlternateConten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Did Not Disclose Demographic Background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663765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6pt" to="522.35pt,0.6pt" o:allowincell="f" strokecolor="#000000" strokeweight="0.5pt"/>
            </w:pict>
          </mc:Fallback>
        </mc:AlternateContent>
      </w:r>
    </w:p>
    <w:p>
      <w:pPr>
        <w:spacing w:after="0" w:line="116"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auto"/>
        </w:rPr>
        <w:t>The company does not consider the level of representation of women or other designated groups in executive officer positions and has not adopted targets for the number or proportion of directors who are women or members of other designated groups as the company seeks to promote individuals solely based on merit. Currently one of the executive officers is a woman, two of the executive officers are visible minorities and none of the executive officers are Indigenous peoples or persons with a disability.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and Committee Meetings</w:t>
      </w:r>
    </w:p>
    <w:p>
      <w:pPr>
        <w:spacing w:after="0" w:line="12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Disc board of directors held 14 meetings during 2022. During 2022, each of the Disc directors then in office attended at least 75% of the aggregate of all meetings of the board of directors and all meetings of the committees of the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the Board of Directors</w:t>
      </w:r>
    </w:p>
    <w:p>
      <w:pPr>
        <w:spacing w:after="0" w:line="12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 xml:space="preserve">Our board of directors has established an audit committee, a compensation committee and a nominating and corporate governance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 A copy of each charter can be found under the “Investors &amp; Media— Corporate Governance” section of our website, which is located at </w:t>
      </w:r>
      <w:r>
        <w:rPr>
          <w:rFonts w:ascii="Times New Roman" w:cs="Times New Roman" w:eastAsia="Times New Roman" w:hAnsi="Times New Roman"/>
          <w:sz w:val="20"/>
          <w:szCs w:val="20"/>
          <w:b w:val="1"/>
          <w:bCs w:val="1"/>
          <w:i w:val="1"/>
          <w:iCs w:val="1"/>
          <w:color w:val="auto"/>
        </w:rPr>
        <w:t>www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discmedicine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w:t>
      </w:r>
      <w:r>
        <w:rPr>
          <w:rFonts w:ascii="Times New Roman" w:cs="Times New Roman" w:eastAsia="Times New Roman" w:hAnsi="Times New Roman"/>
          <w:sz w:val="20"/>
          <w:szCs w:val="20"/>
          <w:color w:val="auto"/>
        </w:rPr>
        <w:t>. The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the board of directors on the work of the committee and any recommendations for approval by the board of directors. The committee chairperson also ensures that the committee receives the information required for the performance of its responsibilities. The board of directors may also establish other committees from time to time to assist the company and the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118"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auto"/>
        </w:rPr>
        <w:t>The primary purpose of our audit committee is to discharge the responsibilities of the board of directors with respect to our accounting, financial, and other reporting and internal control practices and to oversee our independent registered accounting firm.</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Specific responsibilities of our audit committee include:</w:t>
      </w:r>
    </w:p>
    <w:p>
      <w:pPr>
        <w:spacing w:after="0" w:line="134" w:lineRule="exact"/>
        <w:rPr>
          <w:sz w:val="20"/>
          <w:szCs w:val="20"/>
          <w:color w:val="auto"/>
        </w:rPr>
      </w:pPr>
    </w:p>
    <w:p>
      <w:pPr>
        <w:ind w:left="980" w:right="820" w:hanging="498"/>
        <w:spacing w:after="0" w:line="276" w:lineRule="auto"/>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selecting a qualified firm to serve as the independent registered public accounting firm to audit our financial statements</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helping to ensure the independence and performance of the independent registered public accounting firm;</w:t>
      </w:r>
    </w:p>
    <w:p>
      <w:pPr>
        <w:spacing w:after="0" w:line="133" w:lineRule="exact"/>
        <w:rPr>
          <w:rFonts w:ascii="Arial" w:cs="Arial" w:eastAsia="Arial" w:hAnsi="Arial"/>
          <w:sz w:val="20"/>
          <w:szCs w:val="20"/>
          <w:color w:val="auto"/>
        </w:rPr>
      </w:pPr>
    </w:p>
    <w:p>
      <w:pPr>
        <w:ind w:left="980" w:right="240" w:hanging="498"/>
        <w:spacing w:after="0" w:line="276" w:lineRule="auto"/>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discussing the scope and results of the audit with the independent registered public accounting firm, and reviewing, with management and the independent accountants, our interim and year-end operating results;</w:t>
      </w:r>
    </w:p>
    <w:p>
      <w:pPr>
        <w:spacing w:after="0" w:line="64" w:lineRule="exact"/>
        <w:rPr>
          <w:rFonts w:ascii="Arial" w:cs="Arial" w:eastAsia="Arial" w:hAnsi="Arial"/>
          <w:sz w:val="20"/>
          <w:szCs w:val="20"/>
          <w:color w:val="auto"/>
        </w:rPr>
      </w:pPr>
    </w:p>
    <w:p>
      <w:pPr>
        <w:ind w:left="980" w:right="620" w:hanging="498"/>
        <w:spacing w:after="0" w:line="276" w:lineRule="auto"/>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procedures for employees to submit concerns anonymously about questionable accounting or audit matters;</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policies on risk assessment and risk management;</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related party transactions;</w:t>
      </w:r>
    </w:p>
    <w:p>
      <w:pPr>
        <w:spacing w:after="0" w:line="133" w:lineRule="exact"/>
        <w:rPr>
          <w:rFonts w:ascii="Arial" w:cs="Arial" w:eastAsia="Arial" w:hAnsi="Arial"/>
          <w:sz w:val="20"/>
          <w:szCs w:val="20"/>
          <w:color w:val="auto"/>
        </w:rPr>
      </w:pPr>
    </w:p>
    <w:p>
      <w:pPr>
        <w:jc w:val="both"/>
        <w:ind w:left="980" w:hanging="498"/>
        <w:spacing w:after="0" w:line="258" w:lineRule="auto"/>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81" w:lineRule="exact"/>
        <w:rPr>
          <w:rFonts w:ascii="Arial" w:cs="Arial" w:eastAsia="Arial" w:hAnsi="Arial"/>
          <w:sz w:val="20"/>
          <w:szCs w:val="20"/>
          <w:color w:val="auto"/>
        </w:rPr>
      </w:pPr>
    </w:p>
    <w:p>
      <w:pPr>
        <w:ind w:left="980" w:right="420" w:hanging="498"/>
        <w:spacing w:after="0" w:line="276" w:lineRule="auto"/>
        <w:tabs>
          <w:tab w:leader="none" w:pos="98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approving (or, as permitted, pre-approving) all audit and all permissible non-audit service to be performed by the independent registered public accounting firm.</w:t>
      </w:r>
    </w:p>
    <w:p>
      <w:pPr>
        <w:sectPr>
          <w:pgSz w:w="12240" w:h="15840" w:orient="portrait"/>
          <w:cols w:equalWidth="0" w:num="1">
            <w:col w:w="10440"/>
          </w:cols>
          <w:pgMar w:left="900" w:top="724" w:right="900" w:bottom="17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10440"/>
          </w:cols>
          <w:pgMar w:left="900" w:top="724" w:right="900" w:bottom="175" w:gutter="0" w:footer="0" w:header="0"/>
          <w:type w:val="continuous"/>
        </w:sectPr>
      </w:pPr>
    </w:p>
    <w:bookmarkStart w:id="146" w:name="page147"/>
    <w:bookmarkEnd w:id="146"/>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The members of the Audit Committee are William White, Liam Ratcliffe and Mark Chin. William White is the chair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2022, the Disc audit committee met four times. We believe that the composition of the audit committee complies with the applicable requirements of the rules and regulations of Nasdaq and the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118"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The primary purpose of our compensation committee is to discharge the responsibilities of the board of directors to oversee our compensation policies, plans and programs and to review and determine the compensation to be paid to our executive officers, directors and other senior management, as appropriate.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Specific responsibilities of our compensation committee include:</w:t>
      </w:r>
    </w:p>
    <w:p>
      <w:pPr>
        <w:spacing w:after="0" w:line="134" w:lineRule="exact"/>
        <w:rPr>
          <w:sz w:val="20"/>
          <w:szCs w:val="20"/>
          <w:color w:val="auto"/>
        </w:rPr>
      </w:pPr>
    </w:p>
    <w:p>
      <w:pPr>
        <w:ind w:left="980" w:right="280" w:hanging="498"/>
        <w:spacing w:after="0" w:line="276" w:lineRule="auto"/>
        <w:tabs>
          <w:tab w:leader="none" w:pos="98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and approving, or recommending that the board of directors approve, the compensation of our executive officers;</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and recommending to our board of directors the compensation of our directors;</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administering our stock and equity incentive plans;</w:t>
      </w:r>
    </w:p>
    <w:p>
      <w:pPr>
        <w:spacing w:after="0" w:line="133" w:lineRule="exact"/>
        <w:rPr>
          <w:rFonts w:ascii="Arial" w:cs="Arial" w:eastAsia="Arial" w:hAnsi="Arial"/>
          <w:sz w:val="20"/>
          <w:szCs w:val="20"/>
          <w:color w:val="auto"/>
        </w:rPr>
      </w:pPr>
    </w:p>
    <w:p>
      <w:pPr>
        <w:ind w:left="980" w:right="160" w:hanging="498"/>
        <w:spacing w:after="0" w:line="276" w:lineRule="auto"/>
        <w:tabs>
          <w:tab w:leader="none" w:pos="98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selecting independent compensation consultants and assessing whether there are any conflicts of interest with any of the committee’s compensation advisors;</w:t>
      </w:r>
    </w:p>
    <w:p>
      <w:pPr>
        <w:spacing w:after="0" w:line="64" w:lineRule="exact"/>
        <w:rPr>
          <w:rFonts w:ascii="Arial" w:cs="Arial" w:eastAsia="Arial" w:hAnsi="Arial"/>
          <w:sz w:val="20"/>
          <w:szCs w:val="20"/>
          <w:color w:val="auto"/>
        </w:rPr>
      </w:pPr>
    </w:p>
    <w:p>
      <w:pPr>
        <w:ind w:left="980" w:right="260" w:hanging="498"/>
        <w:spacing w:after="0" w:line="258" w:lineRule="auto"/>
        <w:tabs>
          <w:tab w:leader="none" w:pos="98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spacing w:after="0" w:line="81" w:lineRule="exact"/>
        <w:rPr>
          <w:rFonts w:ascii="Arial" w:cs="Arial" w:eastAsia="Arial" w:hAnsi="Arial"/>
          <w:sz w:val="20"/>
          <w:szCs w:val="20"/>
          <w:color w:val="auto"/>
        </w:rPr>
      </w:pPr>
    </w:p>
    <w:p>
      <w:pPr>
        <w:ind w:left="980" w:hanging="498"/>
        <w:spacing w:after="0"/>
        <w:tabs>
          <w:tab w:leader="none" w:pos="98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and establishing general policies relating to compensation and benefits of our employees; and</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our overall compensation philosophy.</w:t>
      </w:r>
    </w:p>
    <w:p>
      <w:pPr>
        <w:spacing w:after="0" w:line="11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members of the Compensation Committee are Donald Nicholson, Mona Ashiya and Kevin Bitterman. Dr. Nicholson is the chair of the Compensation Committee. Each member of our compensation committee will be a “non-employee” director within the meaning of Rule 16b-3 of the rules promulgated under the Exchange Act and independent within the meaning of the independent director guidelines of Nasdaq. During the fiscal year ended December 31, 2022, the Disc compensation committee met three times. We believe that the composition of the compensation committee complies with the applicable requirements of the rules and regulations of Nasdaq and the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Consultants</w:t>
      </w:r>
    </w:p>
    <w:p>
      <w:pPr>
        <w:spacing w:after="0" w:line="11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In fiscal year 2022, our compensation committee engaged Pearl Meyer &amp; Partners, LLC, or Pearl Meyer, to provide compensation consulting services. During fiscal year 2022, Pearl Meyer’s services included advising on equity compensation programs and the development of the Company’s peer group and providing support and analysis regarding executive and director compensation. Our compensation committee has assessed the independence of Pearl Meyer consistent with SEC rules and Nasdaq listing standards and has concluded that the engagement of Pearl Meyer does not raise any conflict of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Nominating and Corporate Governance Committee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Specific responsibilities of our nominating and corporate governance committee include:</w:t>
      </w:r>
    </w:p>
    <w:p>
      <w:pPr>
        <w:spacing w:after="0" w:line="134" w:lineRule="exact"/>
        <w:rPr>
          <w:sz w:val="20"/>
          <w:szCs w:val="20"/>
          <w:color w:val="auto"/>
        </w:rPr>
      </w:pPr>
    </w:p>
    <w:p>
      <w:pPr>
        <w:ind w:left="980" w:right="200" w:hanging="498"/>
        <w:spacing w:after="0" w:line="276" w:lineRule="auto"/>
        <w:tabs>
          <w:tab w:leader="none" w:pos="9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evaluating and selecting, or recommending that the board of directors approve, nominees for election to the board of directors;</w:t>
      </w:r>
    </w:p>
    <w:p>
      <w:pPr>
        <w:spacing w:after="0" w:line="64" w:lineRule="exact"/>
        <w:rPr>
          <w:rFonts w:ascii="Arial" w:cs="Arial" w:eastAsia="Arial" w:hAnsi="Arial"/>
          <w:sz w:val="20"/>
          <w:szCs w:val="20"/>
          <w:color w:val="auto"/>
        </w:rPr>
      </w:pPr>
    </w:p>
    <w:p>
      <w:pPr>
        <w:ind w:left="980" w:hanging="498"/>
        <w:spacing w:after="0"/>
        <w:tabs>
          <w:tab w:leader="none" w:pos="9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evaluating the performance of the board of directors and of individual directors;</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developments in corporate governance practices;</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evaluating the adequacy of our corporate governance practices and reporting;</w:t>
      </w:r>
    </w:p>
    <w:p>
      <w:pPr>
        <w:spacing w:after="0" w:line="133" w:lineRule="exact"/>
        <w:rPr>
          <w:rFonts w:ascii="Arial" w:cs="Arial" w:eastAsia="Arial" w:hAnsi="Arial"/>
          <w:sz w:val="20"/>
          <w:szCs w:val="20"/>
          <w:color w:val="auto"/>
        </w:rPr>
      </w:pPr>
    </w:p>
    <w:p>
      <w:pPr>
        <w:ind w:left="980" w:hanging="498"/>
        <w:spacing w:after="0"/>
        <w:tabs>
          <w:tab w:leader="none" w:pos="9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reviewing management succession plans; and</w:t>
      </w:r>
    </w:p>
    <w:p>
      <w:pPr>
        <w:spacing w:after="0" w:line="133" w:lineRule="exact"/>
        <w:rPr>
          <w:rFonts w:ascii="Arial" w:cs="Arial" w:eastAsia="Arial" w:hAnsi="Arial"/>
          <w:sz w:val="20"/>
          <w:szCs w:val="20"/>
          <w:color w:val="auto"/>
        </w:rPr>
      </w:pPr>
    </w:p>
    <w:p>
      <w:pPr>
        <w:ind w:left="980" w:right="340" w:hanging="498"/>
        <w:spacing w:after="0" w:line="276" w:lineRule="auto"/>
        <w:tabs>
          <w:tab w:leader="none" w:pos="98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and making recommendations to the board of directors regarding corporate governance guidelines and matters.</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10440"/>
          </w:cols>
          <w:pgMar w:left="900" w:top="700" w:right="900" w:bottom="175" w:gutter="0" w:footer="0" w:header="0"/>
          <w:type w:val="continuous"/>
        </w:sectPr>
      </w:pPr>
    </w:p>
    <w:bookmarkStart w:id="147" w:name="page148"/>
    <w:bookmarkEnd w:id="147"/>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members of the Nominating and Corporate Governance Committee are Kevin Bitterman, Mona Ashiya, Donald Nicholson and Liam Ratcliffe. Dr. Bitterman is the chair of the Nominating and Corporate Governance Committee. During the fiscal year ended December 31, 2022, the Disc nominating and corporate governance committee did not meet. We believe that the composition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on Trading, Pledging and Hedging of Company Stock</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employees, consultants and designated contractors. Our insider trading policy expressly prohibits purchases of any derivative securities that provide the economic equivalent of ownership.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24"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Our board of directors is currently chaired by Donald Nicholson, an independent director. Currently, the role of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The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 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Oversight of Risk</w:t>
      </w:r>
    </w:p>
    <w:p>
      <w:pPr>
        <w:spacing w:after="0" w:line="12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“Risk Factors” in this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80"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auto"/>
        </w:rPr>
        <w:t>Our board of directors regularly discusses with management our major risk exposures, the potential impact of these risks on our business and the steps we take to manage them. The risk oversight process includes receiving regular reports from board of</w:t>
      </w:r>
    </w:p>
    <w:p>
      <w:pPr>
        <w:sectPr>
          <w:pgSz w:w="12240" w:h="15840" w:orient="portrait"/>
          <w:cols w:equalWidth="0" w:num="1">
            <w:col w:w="10420"/>
          </w:cols>
          <w:pgMar w:left="900" w:top="700" w:right="920" w:bottom="175"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10420"/>
          </w:cols>
          <w:pgMar w:left="900" w:top="700" w:right="920" w:bottom="175" w:gutter="0" w:footer="0" w:header="0"/>
          <w:type w:val="continuous"/>
        </w:sectPr>
      </w:pPr>
    </w:p>
    <w:bookmarkStart w:id="148" w:name="page149"/>
    <w:bookmarkEnd w:id="148"/>
    <w:p>
      <w:pPr>
        <w:ind w:right="40"/>
        <w:spacing w:after="0" w:line="258" w:lineRule="auto"/>
        <w:rPr>
          <w:sz w:val="20"/>
          <w:szCs w:val="20"/>
          <w:color w:val="auto"/>
        </w:rPr>
      </w:pPr>
      <w:r>
        <w:rPr>
          <w:rFonts w:ascii="Times New Roman" w:cs="Times New Roman" w:eastAsia="Times New Roman" w:hAnsi="Times New Roman"/>
          <w:sz w:val="20"/>
          <w:szCs w:val="20"/>
          <w:color w:val="auto"/>
        </w:rPr>
        <w:t>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spacing w:after="0" w:line="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16(a) Beneficial Ownership Reporting Compliance</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The SEC has designated specific deadlines for these reports, and we must identify those persons who did not file these reports when due. To our knowledge, based solely on a review of copies of such forms furnished to us, and written representations made by our directors and officers regarding their filing obligations, we believe all Section 16(a) filing requirements were satisfied on a timely basis with respect to the year ended December 31,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Ownership of Our Common Stock</w:t>
      </w:r>
    </w:p>
    <w:p>
      <w:pPr>
        <w:spacing w:after="0" w:line="120"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auto"/>
        </w:rPr>
        <w:t>The information in this section is set forth below in “Item 12. Security Ownership of Certain Beneficial Owners and Management and Related Shareholder Matters”</w:t>
      </w:r>
    </w:p>
    <w:p>
      <w:pPr>
        <w:spacing w:after="0" w:line="16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EXECUTIVE COMPENSATION</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Our executive compensation programs are designed to attract, motivate, incentivize and retain our executive officers, who contribute to our long-term success. Pay that is competitive, rewards performance and effectively aligns the interests of our executive officers with those of our long-term stockholders is key to our compensation program design and decisions. We structure our executive compensation programs to be heavily weighted towards long-term equity incentives that correlate with the growth of sustainable long-term value for our stockholders.</w:t>
      </w:r>
    </w:p>
    <w:p>
      <w:pPr>
        <w:spacing w:after="0" w:line="77"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The compensation provided to our named executive officers for the fiscal years ended December 31, 2022 and 2021, as applicable, is detailed in the 2022 Summary Compensation Table and accompanying footnotes and narrative that follow. Our named executive officers for the fiscal year ended December 31, 2022, which consisted of our Chief Executive Officer and our four most highly compensated executive officers other than the Chief Executive Officer, were:</w:t>
      </w:r>
    </w:p>
    <w:p>
      <w:pPr>
        <w:spacing w:after="0" w:line="74" w:lineRule="exact"/>
        <w:rPr>
          <w:sz w:val="20"/>
          <w:szCs w:val="20"/>
          <w:color w:val="auto"/>
        </w:rPr>
      </w:pPr>
    </w:p>
    <w:p>
      <w:pPr>
        <w:ind w:left="720" w:hanging="367"/>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Quisel, J.D., Ph.D., Chief Executive Officer</w:t>
      </w:r>
    </w:p>
    <w:p>
      <w:pPr>
        <w:spacing w:after="0" w:line="12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William Savage, MD, Ph.D., Chief Medical Officer</w:t>
      </w:r>
    </w:p>
    <w:p>
      <w:pPr>
        <w:spacing w:after="0" w:line="12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Joanne Bryce, CPA, Chief Financial Officer</w:t>
      </w:r>
    </w:p>
    <w:p>
      <w:pPr>
        <w:spacing w:after="0" w:line="120"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Jonathan Yu, Chief Business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 Summary Compensation Table</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following table provides information regarding the total compensation awarded to, earned by, and paid to our named executive officers for services rendered to us in all capacities for the fiscal years ended December 31, 2022 and 2021, as applicable.</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10440"/>
          </w:cols>
          <w:pgMar w:left="900" w:top="700" w:right="900" w:bottom="175" w:gutter="0" w:footer="0" w:header="0"/>
          <w:type w:val="continuous"/>
        </w:sectPr>
      </w:pPr>
    </w:p>
    <w:bookmarkStart w:id="149" w:name="page150"/>
    <w:bookmarkEnd w:id="149"/>
    <w:tbl>
      <w:tblPr>
        <w:tblLayout w:type="fixed"/>
        <w:tblInd w:w="7"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6"/>
                <w:szCs w:val="16"/>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00" w:type="dxa"/>
            <w:vAlign w:val="bottom"/>
          </w:tcPr>
          <w:p>
            <w:pPr>
              <w:spacing w:after="0"/>
              <w:rPr>
                <w:sz w:val="16"/>
                <w:szCs w:val="16"/>
                <w:color w:val="auto"/>
              </w:rPr>
            </w:pPr>
          </w:p>
        </w:tc>
        <w:tc>
          <w:tcPr>
            <w:tcW w:w="110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40" w:type="dxa"/>
            <w:vAlign w:val="bottom"/>
          </w:tcPr>
          <w:p>
            <w:pPr>
              <w:spacing w:after="0"/>
              <w:rPr>
                <w:sz w:val="15"/>
                <w:szCs w:val="15"/>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4"/>
        </w:trPr>
        <w:tc>
          <w:tcPr>
            <w:tcW w:w="2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5"/>
                <w:szCs w:val="1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 w:type="dxa"/>
            <w:vAlign w:val="bottom"/>
          </w:tcPr>
          <w:p>
            <w:pPr>
              <w:spacing w:after="0"/>
              <w:rPr>
                <w:sz w:val="15"/>
                <w:szCs w:val="15"/>
                <w:color w:val="auto"/>
              </w:rPr>
            </w:pP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0" w:type="dxa"/>
            <w:vAlign w:val="bottom"/>
          </w:tcPr>
          <w:p>
            <w:pPr>
              <w:spacing w:after="0"/>
              <w:rPr>
                <w:sz w:val="15"/>
                <w:szCs w:val="15"/>
                <w:color w:val="auto"/>
              </w:rPr>
            </w:pP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20" w:type="dxa"/>
            <w:vAlign w:val="bottom"/>
            <w:gridSpan w:val="2"/>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w:t>
            </w:r>
            <w:r>
              <w:rPr>
                <w:rFonts w:ascii="Times New Roman" w:cs="Times New Roman" w:eastAsia="Times New Roman" w:hAnsi="Times New Roman"/>
                <w:sz w:val="10"/>
                <w:szCs w:val="10"/>
                <w:b w:val="1"/>
                <w:bCs w:val="1"/>
                <w:color w:val="auto"/>
                <w:w w:val="98"/>
              </w:rPr>
              <w:t>(2)</w:t>
            </w:r>
          </w:p>
        </w:tc>
        <w:tc>
          <w:tcPr>
            <w:tcW w:w="122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40" w:type="dxa"/>
            <w:vAlign w:val="bottom"/>
            <w:gridSpan w:val="2"/>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7"/>
        </w:trPr>
        <w:tc>
          <w:tcPr>
            <w:tcW w:w="2140" w:type="dxa"/>
            <w:vAlign w:val="bottom"/>
            <w:tcBorders>
              <w:top w:val="single" w:sz="8" w:color="auto"/>
            </w:tcBorders>
            <w:shd w:val="clear" w:color="auto" w:fill="D4EFF3"/>
          </w:tcPr>
          <w:p>
            <w:pPr>
              <w:spacing w:after="0" w:line="197" w:lineRule="exact"/>
              <w:rPr>
                <w:sz w:val="20"/>
                <w:szCs w:val="20"/>
                <w:color w:val="auto"/>
              </w:rPr>
            </w:pPr>
            <w:r>
              <w:rPr>
                <w:rFonts w:ascii="Times New Roman" w:cs="Times New Roman" w:eastAsia="Times New Roman" w:hAnsi="Times New Roman"/>
                <w:sz w:val="18"/>
                <w:szCs w:val="18"/>
                <w:color w:val="auto"/>
              </w:rPr>
              <w:t>John Quisel, J.D., Ph.D.</w:t>
            </w:r>
          </w:p>
        </w:tc>
        <w:tc>
          <w:tcPr>
            <w:tcW w:w="120" w:type="dxa"/>
            <w:vAlign w:val="bottom"/>
            <w:tcBorders>
              <w:top w:val="single" w:sz="8" w:color="D4EFF3"/>
            </w:tcBorders>
            <w:shd w:val="clear" w:color="auto" w:fill="D4EFF3"/>
          </w:tcPr>
          <w:p>
            <w:pPr>
              <w:spacing w:after="0"/>
              <w:rPr>
                <w:sz w:val="17"/>
                <w:szCs w:val="17"/>
                <w:color w:val="auto"/>
              </w:rPr>
            </w:pPr>
          </w:p>
        </w:tc>
        <w:tc>
          <w:tcPr>
            <w:tcW w:w="700" w:type="dxa"/>
            <w:vAlign w:val="bottom"/>
            <w:tcBorders>
              <w:top w:val="single" w:sz="8" w:color="auto"/>
            </w:tcBorders>
            <w:shd w:val="clear" w:color="auto" w:fill="D4EFF3"/>
          </w:tcPr>
          <w:p>
            <w:pPr>
              <w:ind w:left="160"/>
              <w:spacing w:after="0" w:line="197"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D4EFF3"/>
            </w:tcBorders>
            <w:shd w:val="clear" w:color="auto" w:fill="D4EFF3"/>
          </w:tcPr>
          <w:p>
            <w:pPr>
              <w:spacing w:after="0"/>
              <w:rPr>
                <w:sz w:val="17"/>
                <w:szCs w:val="17"/>
                <w:color w:val="auto"/>
              </w:rPr>
            </w:pPr>
          </w:p>
        </w:tc>
        <w:tc>
          <w:tcPr>
            <w:tcW w:w="1120" w:type="dxa"/>
            <w:vAlign w:val="bottom"/>
            <w:tcBorders>
              <w:top w:val="single" w:sz="8" w:color="auto"/>
            </w:tcBorders>
            <w:shd w:val="clear" w:color="auto" w:fill="D4EFF3"/>
          </w:tcPr>
          <w:p>
            <w:pPr>
              <w:jc w:val="right"/>
              <w:ind w:right="33"/>
              <w:spacing w:after="0" w:line="197" w:lineRule="exact"/>
              <w:rPr>
                <w:sz w:val="20"/>
                <w:szCs w:val="20"/>
                <w:color w:val="auto"/>
              </w:rPr>
            </w:pPr>
            <w:r>
              <w:rPr>
                <w:rFonts w:ascii="Times New Roman" w:cs="Times New Roman" w:eastAsia="Times New Roman" w:hAnsi="Times New Roman"/>
                <w:sz w:val="18"/>
                <w:szCs w:val="18"/>
                <w:color w:val="auto"/>
              </w:rPr>
              <w:t>476,477</w:t>
            </w:r>
          </w:p>
        </w:tc>
        <w:tc>
          <w:tcPr>
            <w:tcW w:w="140" w:type="dxa"/>
            <w:vAlign w:val="bottom"/>
            <w:tcBorders>
              <w:top w:val="single" w:sz="8" w:color="D4EFF3"/>
            </w:tcBorders>
            <w:shd w:val="clear" w:color="auto" w:fill="D4EFF3"/>
          </w:tcPr>
          <w:p>
            <w:pPr>
              <w:spacing w:after="0"/>
              <w:rPr>
                <w:sz w:val="17"/>
                <w:szCs w:val="17"/>
                <w:color w:val="auto"/>
              </w:rPr>
            </w:pPr>
          </w:p>
        </w:tc>
        <w:tc>
          <w:tcPr>
            <w:tcW w:w="1020" w:type="dxa"/>
            <w:vAlign w:val="bottom"/>
            <w:tcBorders>
              <w:top w:val="single" w:sz="8" w:color="auto"/>
            </w:tcBorders>
            <w:shd w:val="clear" w:color="auto" w:fill="D4EFF3"/>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D4EFF3"/>
          </w:tcPr>
          <w:p>
            <w:pPr>
              <w:spacing w:after="0"/>
              <w:rPr>
                <w:sz w:val="17"/>
                <w:szCs w:val="17"/>
                <w:color w:val="auto"/>
              </w:rPr>
            </w:pPr>
          </w:p>
        </w:tc>
        <w:tc>
          <w:tcPr>
            <w:tcW w:w="240" w:type="dxa"/>
            <w:vAlign w:val="bottom"/>
            <w:tcBorders>
              <w:top w:val="single" w:sz="8" w:color="D4EFF3"/>
            </w:tcBorders>
            <w:shd w:val="clear" w:color="auto" w:fill="D4EFF3"/>
          </w:tcPr>
          <w:p>
            <w:pPr>
              <w:spacing w:after="0"/>
              <w:rPr>
                <w:sz w:val="17"/>
                <w:szCs w:val="17"/>
                <w:color w:val="auto"/>
              </w:rPr>
            </w:pPr>
          </w:p>
        </w:tc>
        <w:tc>
          <w:tcPr>
            <w:tcW w:w="1100" w:type="dxa"/>
            <w:vAlign w:val="bottom"/>
            <w:tcBorders>
              <w:top w:val="single" w:sz="8" w:color="auto"/>
            </w:tcBorders>
            <w:shd w:val="clear" w:color="auto" w:fill="D4EFF3"/>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1,081,150</w:t>
            </w:r>
          </w:p>
        </w:tc>
        <w:tc>
          <w:tcPr>
            <w:tcW w:w="100" w:type="dxa"/>
            <w:vAlign w:val="bottom"/>
            <w:tcBorders>
              <w:top w:val="single" w:sz="8" w:color="D4EFF3"/>
            </w:tcBorders>
            <w:shd w:val="clear" w:color="auto" w:fill="D4EFF3"/>
          </w:tcPr>
          <w:p>
            <w:pPr>
              <w:spacing w:after="0"/>
              <w:rPr>
                <w:sz w:val="17"/>
                <w:szCs w:val="17"/>
                <w:color w:val="auto"/>
              </w:rPr>
            </w:pPr>
          </w:p>
        </w:tc>
        <w:tc>
          <w:tcPr>
            <w:tcW w:w="1120" w:type="dxa"/>
            <w:vAlign w:val="bottom"/>
            <w:tcBorders>
              <w:top w:val="single" w:sz="8" w:color="auto"/>
            </w:tcBorders>
            <w:shd w:val="clear" w:color="auto" w:fill="D4EFF3"/>
          </w:tcPr>
          <w:p>
            <w:pPr>
              <w:jc w:val="right"/>
              <w:ind w:right="36"/>
              <w:spacing w:after="0" w:line="197" w:lineRule="exact"/>
              <w:rPr>
                <w:sz w:val="20"/>
                <w:szCs w:val="20"/>
                <w:color w:val="auto"/>
              </w:rPr>
            </w:pPr>
            <w:r>
              <w:rPr>
                <w:rFonts w:ascii="Times New Roman" w:cs="Times New Roman" w:eastAsia="Times New Roman" w:hAnsi="Times New Roman"/>
                <w:sz w:val="18"/>
                <w:szCs w:val="18"/>
                <w:color w:val="auto"/>
              </w:rPr>
              <w:t>273,638</w:t>
            </w:r>
          </w:p>
        </w:tc>
        <w:tc>
          <w:tcPr>
            <w:tcW w:w="100" w:type="dxa"/>
            <w:vAlign w:val="bottom"/>
            <w:tcBorders>
              <w:top w:val="single" w:sz="8" w:color="D4EFF3"/>
            </w:tcBorders>
            <w:shd w:val="clear" w:color="auto" w:fill="D4EFF3"/>
          </w:tcPr>
          <w:p>
            <w:pPr>
              <w:spacing w:after="0"/>
              <w:rPr>
                <w:sz w:val="17"/>
                <w:szCs w:val="17"/>
                <w:color w:val="auto"/>
              </w:rPr>
            </w:pPr>
          </w:p>
        </w:tc>
        <w:tc>
          <w:tcPr>
            <w:tcW w:w="1100" w:type="dxa"/>
            <w:vAlign w:val="bottom"/>
            <w:tcBorders>
              <w:top w:val="single" w:sz="8" w:color="auto"/>
            </w:tcBorders>
            <w:shd w:val="clear" w:color="auto" w:fill="D4EFF3"/>
          </w:tcPr>
          <w:p>
            <w:pPr>
              <w:ind w:left="8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4EFF3"/>
            </w:tcBorders>
            <w:shd w:val="clear" w:color="auto" w:fill="D4EFF3"/>
          </w:tcPr>
          <w:p>
            <w:pPr>
              <w:spacing w:after="0"/>
              <w:rPr>
                <w:sz w:val="17"/>
                <w:szCs w:val="17"/>
                <w:color w:val="auto"/>
              </w:rPr>
            </w:pPr>
          </w:p>
        </w:tc>
        <w:tc>
          <w:tcPr>
            <w:tcW w:w="1140" w:type="dxa"/>
            <w:vAlign w:val="bottom"/>
            <w:tcBorders>
              <w:top w:val="single" w:sz="8" w:color="auto"/>
            </w:tcBorders>
            <w:shd w:val="clear" w:color="auto" w:fill="D4EFF3"/>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1,831,265</w:t>
            </w:r>
          </w:p>
        </w:tc>
        <w:tc>
          <w:tcPr>
            <w:tcW w:w="0" w:type="dxa"/>
            <w:vAlign w:val="bottom"/>
          </w:tcPr>
          <w:p>
            <w:pPr>
              <w:spacing w:after="0"/>
              <w:rPr>
                <w:sz w:val="1"/>
                <w:szCs w:val="1"/>
                <w:color w:val="auto"/>
              </w:rPr>
            </w:pPr>
          </w:p>
        </w:tc>
      </w:tr>
      <w:tr>
        <w:trPr>
          <w:trHeight w:val="207"/>
        </w:trPr>
        <w:tc>
          <w:tcPr>
            <w:tcW w:w="2140" w:type="dxa"/>
            <w:vAlign w:val="bottom"/>
            <w:shd w:val="clear" w:color="auto" w:fill="D4EFF3"/>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D4EFF3"/>
          </w:tcPr>
          <w:p>
            <w:pPr>
              <w:spacing w:after="0"/>
              <w:rPr>
                <w:sz w:val="17"/>
                <w:szCs w:val="17"/>
                <w:color w:val="auto"/>
              </w:rPr>
            </w:pPr>
          </w:p>
        </w:tc>
        <w:tc>
          <w:tcPr>
            <w:tcW w:w="700" w:type="dxa"/>
            <w:vAlign w:val="bottom"/>
            <w:shd w:val="clear" w:color="auto" w:fill="D4EFF3"/>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D4EFF3"/>
          </w:tcPr>
          <w:p>
            <w:pPr>
              <w:spacing w:after="0"/>
              <w:rPr>
                <w:sz w:val="17"/>
                <w:szCs w:val="17"/>
                <w:color w:val="auto"/>
              </w:rPr>
            </w:pPr>
          </w:p>
        </w:tc>
        <w:tc>
          <w:tcPr>
            <w:tcW w:w="1120" w:type="dxa"/>
            <w:vAlign w:val="bottom"/>
            <w:shd w:val="clear" w:color="auto" w:fill="D4EFF3"/>
          </w:tcPr>
          <w:p>
            <w:pPr>
              <w:jc w:val="right"/>
              <w:ind w:right="33"/>
              <w:spacing w:after="0"/>
              <w:rPr>
                <w:sz w:val="20"/>
                <w:szCs w:val="20"/>
                <w:color w:val="auto"/>
              </w:rPr>
            </w:pPr>
            <w:r>
              <w:rPr>
                <w:rFonts w:ascii="Times New Roman" w:cs="Times New Roman" w:eastAsia="Times New Roman" w:hAnsi="Times New Roman"/>
                <w:sz w:val="18"/>
                <w:szCs w:val="18"/>
                <w:color w:val="auto"/>
              </w:rPr>
              <w:t>455,400</w:t>
            </w:r>
          </w:p>
        </w:tc>
        <w:tc>
          <w:tcPr>
            <w:tcW w:w="140" w:type="dxa"/>
            <w:vAlign w:val="bottom"/>
            <w:shd w:val="clear" w:color="auto" w:fill="D4EFF3"/>
          </w:tcPr>
          <w:p>
            <w:pPr>
              <w:spacing w:after="0"/>
              <w:rPr>
                <w:sz w:val="17"/>
                <w:szCs w:val="17"/>
                <w:color w:val="auto"/>
              </w:rPr>
            </w:pPr>
          </w:p>
        </w:tc>
        <w:tc>
          <w:tcPr>
            <w:tcW w:w="10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1100" w:type="dxa"/>
            <w:vAlign w:val="bottom"/>
            <w:shd w:val="clear" w:color="auto" w:fill="D4EFF3"/>
          </w:tcPr>
          <w:p>
            <w:pPr>
              <w:jc w:val="right"/>
              <w:ind w:right="13"/>
              <w:spacing w:after="0"/>
              <w:rPr>
                <w:sz w:val="20"/>
                <w:szCs w:val="20"/>
                <w:color w:val="auto"/>
              </w:rPr>
            </w:pPr>
            <w:r>
              <w:rPr>
                <w:rFonts w:ascii="Times New Roman" w:cs="Times New Roman" w:eastAsia="Times New Roman" w:hAnsi="Times New Roman"/>
                <w:sz w:val="18"/>
                <w:szCs w:val="18"/>
                <w:color w:val="auto"/>
              </w:rPr>
              <w:t>891,605</w:t>
            </w:r>
          </w:p>
        </w:tc>
        <w:tc>
          <w:tcPr>
            <w:tcW w:w="100" w:type="dxa"/>
            <w:vAlign w:val="bottom"/>
            <w:shd w:val="clear" w:color="auto" w:fill="D4EFF3"/>
          </w:tcPr>
          <w:p>
            <w:pPr>
              <w:spacing w:after="0"/>
              <w:rPr>
                <w:sz w:val="17"/>
                <w:szCs w:val="17"/>
                <w:color w:val="auto"/>
              </w:rPr>
            </w:pPr>
          </w:p>
        </w:tc>
        <w:tc>
          <w:tcPr>
            <w:tcW w:w="1120" w:type="dxa"/>
            <w:vAlign w:val="bottom"/>
            <w:shd w:val="clear" w:color="auto" w:fill="D4EFF3"/>
          </w:tcPr>
          <w:p>
            <w:pPr>
              <w:jc w:val="right"/>
              <w:ind w:right="36"/>
              <w:spacing w:after="0"/>
              <w:rPr>
                <w:sz w:val="20"/>
                <w:szCs w:val="20"/>
                <w:color w:val="auto"/>
              </w:rPr>
            </w:pPr>
            <w:r>
              <w:rPr>
                <w:rFonts w:ascii="Times New Roman" w:cs="Times New Roman" w:eastAsia="Times New Roman" w:hAnsi="Times New Roman"/>
                <w:sz w:val="18"/>
                <w:szCs w:val="18"/>
                <w:color w:val="auto"/>
              </w:rPr>
              <w:t>250,470</w:t>
            </w:r>
          </w:p>
        </w:tc>
        <w:tc>
          <w:tcPr>
            <w:tcW w:w="100" w:type="dxa"/>
            <w:vAlign w:val="bottom"/>
            <w:shd w:val="clear" w:color="auto" w:fill="D4EFF3"/>
          </w:tcPr>
          <w:p>
            <w:pPr>
              <w:spacing w:after="0"/>
              <w:rPr>
                <w:sz w:val="17"/>
                <w:szCs w:val="17"/>
                <w:color w:val="auto"/>
              </w:rPr>
            </w:pPr>
          </w:p>
        </w:tc>
        <w:tc>
          <w:tcPr>
            <w:tcW w:w="1100" w:type="dxa"/>
            <w:vAlign w:val="bottom"/>
            <w:shd w:val="clear" w:color="auto" w:fill="D4EFF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4EFF3"/>
          </w:tcPr>
          <w:p>
            <w:pPr>
              <w:spacing w:after="0"/>
              <w:rPr>
                <w:sz w:val="17"/>
                <w:szCs w:val="17"/>
                <w:color w:val="auto"/>
              </w:rPr>
            </w:pPr>
          </w:p>
        </w:tc>
        <w:tc>
          <w:tcPr>
            <w:tcW w:w="1140" w:type="dxa"/>
            <w:vAlign w:val="bottom"/>
            <w:shd w:val="clear" w:color="auto" w:fill="D4EFF3"/>
          </w:tcPr>
          <w:p>
            <w:pPr>
              <w:jc w:val="right"/>
              <w:ind w:right="13"/>
              <w:spacing w:after="0"/>
              <w:rPr>
                <w:sz w:val="20"/>
                <w:szCs w:val="20"/>
                <w:color w:val="auto"/>
              </w:rPr>
            </w:pPr>
            <w:r>
              <w:rPr>
                <w:rFonts w:ascii="Times New Roman" w:cs="Times New Roman" w:eastAsia="Times New Roman" w:hAnsi="Times New Roman"/>
                <w:sz w:val="18"/>
                <w:szCs w:val="18"/>
                <w:color w:val="auto"/>
              </w:rPr>
              <w:t>1,597,475</w:t>
            </w:r>
          </w:p>
        </w:tc>
        <w:tc>
          <w:tcPr>
            <w:tcW w:w="0" w:type="dxa"/>
            <w:vAlign w:val="bottom"/>
          </w:tcPr>
          <w:p>
            <w:pPr>
              <w:spacing w:after="0"/>
              <w:rPr>
                <w:sz w:val="1"/>
                <w:szCs w:val="1"/>
                <w:color w:val="auto"/>
              </w:rPr>
            </w:pPr>
          </w:p>
        </w:tc>
      </w:tr>
      <w:tr>
        <w:trPr>
          <w:trHeight w:val="189"/>
        </w:trPr>
        <w:tc>
          <w:tcPr>
            <w:tcW w:w="2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William Savage, MD, Ph.D.</w:t>
            </w:r>
          </w:p>
        </w:tc>
        <w:tc>
          <w:tcPr>
            <w:tcW w:w="820" w:type="dxa"/>
            <w:vAlign w:val="bottom"/>
            <w:gridSpan w:val="2"/>
          </w:tcPr>
          <w:p>
            <w:pPr>
              <w:ind w:left="280"/>
              <w:spacing w:after="0" w:line="189" w:lineRule="exact"/>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378,234</w:t>
            </w:r>
          </w:p>
        </w:tc>
        <w:tc>
          <w:tcPr>
            <w:tcW w:w="1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c>
          <w:tcPr>
            <w:tcW w:w="1100" w:type="dxa"/>
            <w:vAlign w:val="bottom"/>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318,803</w:t>
            </w:r>
          </w:p>
        </w:tc>
        <w:tc>
          <w:tcPr>
            <w:tcW w:w="1220" w:type="dxa"/>
            <w:vAlign w:val="bottom"/>
            <w:gridSpan w:val="2"/>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173,719</w:t>
            </w:r>
          </w:p>
        </w:tc>
        <w:tc>
          <w:tcPr>
            <w:tcW w:w="100" w:type="dxa"/>
            <w:vAlign w:val="bottom"/>
          </w:tcPr>
          <w:p>
            <w:pPr>
              <w:spacing w:after="0"/>
              <w:rPr>
                <w:sz w:val="16"/>
                <w:szCs w:val="16"/>
                <w:color w:val="auto"/>
              </w:rPr>
            </w:pPr>
          </w:p>
        </w:tc>
        <w:tc>
          <w:tcPr>
            <w:tcW w:w="1100" w:type="dxa"/>
            <w:vAlign w:val="bottom"/>
          </w:tcPr>
          <w:p>
            <w:pPr>
              <w:ind w:left="8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890,756</w:t>
            </w:r>
          </w:p>
        </w:tc>
        <w:tc>
          <w:tcPr>
            <w:tcW w:w="0" w:type="dxa"/>
            <w:vAlign w:val="bottom"/>
          </w:tcPr>
          <w:p>
            <w:pPr>
              <w:spacing w:after="0"/>
              <w:rPr>
                <w:sz w:val="1"/>
                <w:szCs w:val="1"/>
                <w:color w:val="auto"/>
              </w:rPr>
            </w:pPr>
          </w:p>
        </w:tc>
      </w:tr>
      <w:tr>
        <w:trPr>
          <w:trHeight w:val="225"/>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320,000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294,999</w:t>
            </w:r>
          </w:p>
        </w:tc>
        <w:tc>
          <w:tcPr>
            <w:tcW w:w="1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105,600</w:t>
            </w:r>
          </w:p>
        </w:tc>
        <w:tc>
          <w:tcPr>
            <w:tcW w:w="100" w:type="dxa"/>
            <w:vAlign w:val="bottom"/>
          </w:tcPr>
          <w:p>
            <w:pPr>
              <w:spacing w:after="0"/>
              <w:rPr>
                <w:sz w:val="19"/>
                <w:szCs w:val="19"/>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720,599</w:t>
            </w:r>
          </w:p>
        </w:tc>
        <w:tc>
          <w:tcPr>
            <w:tcW w:w="0" w:type="dxa"/>
            <w:vAlign w:val="bottom"/>
          </w:tcPr>
          <w:p>
            <w:pPr>
              <w:spacing w:after="0"/>
              <w:rPr>
                <w:sz w:val="1"/>
                <w:szCs w:val="1"/>
                <w:color w:val="auto"/>
              </w:rPr>
            </w:pPr>
          </w:p>
        </w:tc>
      </w:tr>
      <w:tr>
        <w:trPr>
          <w:trHeight w:val="207"/>
        </w:trPr>
        <w:tc>
          <w:tcPr>
            <w:tcW w:w="2140" w:type="dxa"/>
            <w:vAlign w:val="bottom"/>
            <w:shd w:val="clear" w:color="auto" w:fill="D4EFF3"/>
          </w:tcPr>
          <w:p>
            <w:pPr>
              <w:spacing w:after="0" w:line="207" w:lineRule="exact"/>
              <w:rPr>
                <w:sz w:val="20"/>
                <w:szCs w:val="20"/>
                <w:color w:val="auto"/>
              </w:rPr>
            </w:pPr>
            <w:r>
              <w:rPr>
                <w:rFonts w:ascii="Times New Roman" w:cs="Times New Roman" w:eastAsia="Times New Roman" w:hAnsi="Times New Roman"/>
                <w:sz w:val="17"/>
                <w:szCs w:val="17"/>
                <w:color w:val="auto"/>
              </w:rPr>
              <w:t>Joanne Bryce, CPA</w:t>
            </w:r>
            <w:r>
              <w:rPr>
                <w:rFonts w:ascii="Times New Roman" w:cs="Times New Roman" w:eastAsia="Times New Roman" w:hAnsi="Times New Roman"/>
                <w:sz w:val="23"/>
                <w:szCs w:val="23"/>
                <w:color w:val="auto"/>
                <w:vertAlign w:val="superscript"/>
              </w:rPr>
              <w:t>(3)</w:t>
            </w:r>
          </w:p>
        </w:tc>
        <w:tc>
          <w:tcPr>
            <w:tcW w:w="820" w:type="dxa"/>
            <w:vAlign w:val="bottom"/>
            <w:gridSpan w:val="2"/>
            <w:shd w:val="clear" w:color="auto" w:fill="D4EFF3"/>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D4EFF3"/>
          </w:tcPr>
          <w:p>
            <w:pPr>
              <w:jc w:val="right"/>
              <w:ind w:right="33"/>
              <w:spacing w:after="0"/>
              <w:rPr>
                <w:sz w:val="20"/>
                <w:szCs w:val="20"/>
                <w:color w:val="auto"/>
              </w:rPr>
            </w:pPr>
            <w:r>
              <w:rPr>
                <w:rFonts w:ascii="Times New Roman" w:cs="Times New Roman" w:eastAsia="Times New Roman" w:hAnsi="Times New Roman"/>
                <w:sz w:val="18"/>
                <w:szCs w:val="18"/>
                <w:color w:val="auto"/>
              </w:rPr>
              <w:t>355,884</w:t>
            </w:r>
          </w:p>
        </w:tc>
        <w:tc>
          <w:tcPr>
            <w:tcW w:w="140" w:type="dxa"/>
            <w:vAlign w:val="bottom"/>
            <w:shd w:val="clear" w:color="auto" w:fill="D4EFF3"/>
          </w:tcPr>
          <w:p>
            <w:pPr>
              <w:spacing w:after="0"/>
              <w:rPr>
                <w:sz w:val="17"/>
                <w:szCs w:val="17"/>
                <w:color w:val="auto"/>
              </w:rPr>
            </w:pPr>
          </w:p>
        </w:tc>
        <w:tc>
          <w:tcPr>
            <w:tcW w:w="10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gridSpan w:val="2"/>
            <w:shd w:val="clear" w:color="auto" w:fill="D4EFF3"/>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c>
          <w:tcPr>
            <w:tcW w:w="1100" w:type="dxa"/>
            <w:vAlign w:val="bottom"/>
            <w:shd w:val="clear" w:color="auto" w:fill="D4EFF3"/>
          </w:tcPr>
          <w:p>
            <w:pPr>
              <w:jc w:val="right"/>
              <w:ind w:right="13"/>
              <w:spacing w:after="0"/>
              <w:rPr>
                <w:sz w:val="20"/>
                <w:szCs w:val="20"/>
                <w:color w:val="auto"/>
              </w:rPr>
            </w:pPr>
            <w:r>
              <w:rPr>
                <w:rFonts w:ascii="Times New Roman" w:cs="Times New Roman" w:eastAsia="Times New Roman" w:hAnsi="Times New Roman"/>
                <w:sz w:val="18"/>
                <w:szCs w:val="18"/>
                <w:color w:val="auto"/>
              </w:rPr>
              <w:t>277,221</w:t>
            </w:r>
          </w:p>
        </w:tc>
        <w:tc>
          <w:tcPr>
            <w:tcW w:w="1220" w:type="dxa"/>
            <w:vAlign w:val="bottom"/>
            <w:gridSpan w:val="2"/>
            <w:shd w:val="clear" w:color="auto" w:fill="D4EFF3"/>
          </w:tcPr>
          <w:p>
            <w:pPr>
              <w:jc w:val="right"/>
              <w:ind w:right="36"/>
              <w:spacing w:after="0"/>
              <w:rPr>
                <w:sz w:val="20"/>
                <w:szCs w:val="20"/>
                <w:color w:val="auto"/>
              </w:rPr>
            </w:pPr>
            <w:r>
              <w:rPr>
                <w:rFonts w:ascii="Times New Roman" w:cs="Times New Roman" w:eastAsia="Times New Roman" w:hAnsi="Times New Roman"/>
                <w:sz w:val="18"/>
                <w:szCs w:val="18"/>
                <w:color w:val="auto"/>
              </w:rPr>
              <w:t>163,438</w:t>
            </w:r>
          </w:p>
        </w:tc>
        <w:tc>
          <w:tcPr>
            <w:tcW w:w="100" w:type="dxa"/>
            <w:vAlign w:val="bottom"/>
            <w:shd w:val="clear" w:color="auto" w:fill="D4EFF3"/>
          </w:tcPr>
          <w:p>
            <w:pPr>
              <w:spacing w:after="0"/>
              <w:rPr>
                <w:sz w:val="17"/>
                <w:szCs w:val="17"/>
                <w:color w:val="auto"/>
              </w:rPr>
            </w:pPr>
          </w:p>
        </w:tc>
        <w:tc>
          <w:tcPr>
            <w:tcW w:w="1100" w:type="dxa"/>
            <w:vAlign w:val="bottom"/>
            <w:shd w:val="clear" w:color="auto" w:fill="D4EFF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4EFF3"/>
          </w:tcPr>
          <w:p>
            <w:pPr>
              <w:jc w:val="right"/>
              <w:ind w:right="13"/>
              <w:spacing w:after="0"/>
              <w:rPr>
                <w:sz w:val="20"/>
                <w:szCs w:val="20"/>
                <w:color w:val="auto"/>
              </w:rPr>
            </w:pPr>
            <w:r>
              <w:rPr>
                <w:rFonts w:ascii="Times New Roman" w:cs="Times New Roman" w:eastAsia="Times New Roman" w:hAnsi="Times New Roman"/>
                <w:sz w:val="18"/>
                <w:szCs w:val="18"/>
                <w:color w:val="auto"/>
              </w:rPr>
              <w:t>816,543</w:t>
            </w:r>
          </w:p>
        </w:tc>
        <w:tc>
          <w:tcPr>
            <w:tcW w:w="0" w:type="dxa"/>
            <w:vAlign w:val="bottom"/>
          </w:tcPr>
          <w:p>
            <w:pPr>
              <w:spacing w:after="0"/>
              <w:rPr>
                <w:sz w:val="1"/>
                <w:szCs w:val="1"/>
                <w:color w:val="auto"/>
              </w:rPr>
            </w:pPr>
          </w:p>
        </w:tc>
      </w:tr>
      <w:tr>
        <w:trPr>
          <w:trHeight w:val="207"/>
        </w:trPr>
        <w:tc>
          <w:tcPr>
            <w:tcW w:w="2140" w:type="dxa"/>
            <w:vAlign w:val="bottom"/>
            <w:shd w:val="clear" w:color="auto" w:fill="D4EFF3"/>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20" w:type="dxa"/>
            <w:vAlign w:val="bottom"/>
            <w:gridSpan w:val="2"/>
            <w:shd w:val="clear" w:color="auto" w:fill="D4EFF3"/>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shd w:val="clear" w:color="auto" w:fill="D4EFF3"/>
          </w:tcPr>
          <w:p>
            <w:pPr>
              <w:jc w:val="right"/>
              <w:ind w:right="33"/>
              <w:spacing w:after="0"/>
              <w:rPr>
                <w:sz w:val="20"/>
                <w:szCs w:val="20"/>
                <w:color w:val="auto"/>
              </w:rPr>
            </w:pPr>
            <w:r>
              <w:rPr>
                <w:rFonts w:ascii="Times New Roman" w:cs="Times New Roman" w:eastAsia="Times New Roman" w:hAnsi="Times New Roman"/>
                <w:sz w:val="18"/>
                <w:szCs w:val="18"/>
                <w:color w:val="auto"/>
              </w:rPr>
              <w:t>303,818</w:t>
            </w:r>
          </w:p>
        </w:tc>
        <w:tc>
          <w:tcPr>
            <w:tcW w:w="1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2"/>
                <w:szCs w:val="12"/>
                <w:color w:val="auto"/>
                <w:w w:val="85"/>
              </w:rPr>
              <w:t>(6)</w:t>
            </w:r>
          </w:p>
        </w:tc>
        <w:tc>
          <w:tcPr>
            <w:tcW w:w="10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40" w:type="dxa"/>
            <w:vAlign w:val="bottom"/>
            <w:gridSpan w:val="2"/>
            <w:shd w:val="clear" w:color="auto" w:fill="D4EFF3"/>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1100" w:type="dxa"/>
            <w:vAlign w:val="bottom"/>
            <w:shd w:val="clear" w:color="auto" w:fill="D4EFF3"/>
          </w:tcPr>
          <w:p>
            <w:pPr>
              <w:jc w:val="right"/>
              <w:ind w:right="13"/>
              <w:spacing w:after="0"/>
              <w:rPr>
                <w:sz w:val="20"/>
                <w:szCs w:val="20"/>
                <w:color w:val="auto"/>
              </w:rPr>
            </w:pPr>
            <w:r>
              <w:rPr>
                <w:rFonts w:ascii="Times New Roman" w:cs="Times New Roman" w:eastAsia="Times New Roman" w:hAnsi="Times New Roman"/>
                <w:sz w:val="18"/>
                <w:szCs w:val="18"/>
                <w:color w:val="auto"/>
              </w:rPr>
              <w:t>419,601</w:t>
            </w:r>
          </w:p>
        </w:tc>
        <w:tc>
          <w:tcPr>
            <w:tcW w:w="1220" w:type="dxa"/>
            <w:vAlign w:val="bottom"/>
            <w:gridSpan w:val="2"/>
            <w:shd w:val="clear" w:color="auto" w:fill="D4EFF3"/>
          </w:tcPr>
          <w:p>
            <w:pPr>
              <w:jc w:val="right"/>
              <w:ind w:right="36"/>
              <w:spacing w:after="0"/>
              <w:rPr>
                <w:sz w:val="20"/>
                <w:szCs w:val="20"/>
                <w:color w:val="auto"/>
              </w:rPr>
            </w:pPr>
            <w:r>
              <w:rPr>
                <w:rFonts w:ascii="Times New Roman" w:cs="Times New Roman" w:eastAsia="Times New Roman" w:hAnsi="Times New Roman"/>
                <w:sz w:val="18"/>
                <w:szCs w:val="18"/>
                <w:color w:val="auto"/>
              </w:rPr>
              <w:t>88,825</w:t>
            </w:r>
          </w:p>
        </w:tc>
        <w:tc>
          <w:tcPr>
            <w:tcW w:w="100" w:type="dxa"/>
            <w:vAlign w:val="bottom"/>
            <w:shd w:val="clear" w:color="auto" w:fill="D4EFF3"/>
          </w:tcPr>
          <w:p>
            <w:pPr>
              <w:spacing w:after="0"/>
              <w:rPr>
                <w:sz w:val="17"/>
                <w:szCs w:val="17"/>
                <w:color w:val="auto"/>
              </w:rPr>
            </w:pPr>
          </w:p>
        </w:tc>
        <w:tc>
          <w:tcPr>
            <w:tcW w:w="1100" w:type="dxa"/>
            <w:vAlign w:val="bottom"/>
            <w:shd w:val="clear" w:color="auto" w:fill="D4EFF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4EFF3"/>
          </w:tcPr>
          <w:p>
            <w:pPr>
              <w:jc w:val="right"/>
              <w:ind w:right="13"/>
              <w:spacing w:after="0"/>
              <w:rPr>
                <w:sz w:val="20"/>
                <w:szCs w:val="20"/>
                <w:color w:val="auto"/>
              </w:rPr>
            </w:pPr>
            <w:r>
              <w:rPr>
                <w:rFonts w:ascii="Times New Roman" w:cs="Times New Roman" w:eastAsia="Times New Roman" w:hAnsi="Times New Roman"/>
                <w:sz w:val="18"/>
                <w:szCs w:val="18"/>
                <w:color w:val="auto"/>
              </w:rPr>
              <w:t>836,244</w:t>
            </w:r>
          </w:p>
        </w:tc>
        <w:tc>
          <w:tcPr>
            <w:tcW w:w="0" w:type="dxa"/>
            <w:vAlign w:val="bottom"/>
          </w:tcPr>
          <w:p>
            <w:pPr>
              <w:spacing w:after="0"/>
              <w:rPr>
                <w:sz w:val="1"/>
                <w:szCs w:val="1"/>
                <w:color w:val="auto"/>
              </w:rPr>
            </w:pPr>
          </w:p>
        </w:tc>
      </w:tr>
      <w:tr>
        <w:trPr>
          <w:trHeight w:val="193"/>
        </w:trPr>
        <w:tc>
          <w:tcPr>
            <w:tcW w:w="214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Jonathan Yu</w:t>
            </w:r>
          </w:p>
        </w:tc>
        <w:tc>
          <w:tcPr>
            <w:tcW w:w="82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tcPr>
          <w:p>
            <w:pPr>
              <w:jc w:val="right"/>
              <w:ind w:right="33"/>
              <w:spacing w:after="0" w:line="193" w:lineRule="exact"/>
              <w:rPr>
                <w:sz w:val="20"/>
                <w:szCs w:val="20"/>
                <w:color w:val="auto"/>
              </w:rPr>
            </w:pPr>
            <w:r>
              <w:rPr>
                <w:rFonts w:ascii="Times New Roman" w:cs="Times New Roman" w:eastAsia="Times New Roman" w:hAnsi="Times New Roman"/>
                <w:sz w:val="18"/>
                <w:szCs w:val="18"/>
                <w:color w:val="auto"/>
              </w:rPr>
              <w:t>355,884</w:t>
            </w:r>
          </w:p>
        </w:tc>
        <w:tc>
          <w:tcPr>
            <w:tcW w:w="14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20,000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c>
          <w:tcPr>
            <w:tcW w:w="1100" w:type="dxa"/>
            <w:vAlign w:val="bottom"/>
          </w:tcPr>
          <w:p>
            <w:pPr>
              <w:jc w:val="right"/>
              <w:ind w:right="13"/>
              <w:spacing w:after="0" w:line="193" w:lineRule="exact"/>
              <w:rPr>
                <w:sz w:val="20"/>
                <w:szCs w:val="20"/>
                <w:color w:val="auto"/>
              </w:rPr>
            </w:pPr>
            <w:r>
              <w:rPr>
                <w:rFonts w:ascii="Times New Roman" w:cs="Times New Roman" w:eastAsia="Times New Roman" w:hAnsi="Times New Roman"/>
                <w:sz w:val="18"/>
                <w:szCs w:val="18"/>
                <w:color w:val="auto"/>
              </w:rPr>
              <w:t>277,221</w:t>
            </w:r>
          </w:p>
        </w:tc>
        <w:tc>
          <w:tcPr>
            <w:tcW w:w="1220" w:type="dxa"/>
            <w:vAlign w:val="bottom"/>
            <w:gridSpan w:val="2"/>
          </w:tcPr>
          <w:p>
            <w:pPr>
              <w:jc w:val="right"/>
              <w:ind w:right="36"/>
              <w:spacing w:after="0" w:line="193" w:lineRule="exact"/>
              <w:rPr>
                <w:sz w:val="20"/>
                <w:szCs w:val="20"/>
                <w:color w:val="auto"/>
              </w:rPr>
            </w:pPr>
            <w:r>
              <w:rPr>
                <w:rFonts w:ascii="Times New Roman" w:cs="Times New Roman" w:eastAsia="Times New Roman" w:hAnsi="Times New Roman"/>
                <w:sz w:val="18"/>
                <w:szCs w:val="18"/>
                <w:color w:val="auto"/>
              </w:rPr>
              <w:t>163,438</w:t>
            </w:r>
          </w:p>
        </w:tc>
        <w:tc>
          <w:tcPr>
            <w:tcW w:w="100" w:type="dxa"/>
            <w:vAlign w:val="bottom"/>
          </w:tcPr>
          <w:p>
            <w:pPr>
              <w:spacing w:after="0"/>
              <w:rPr>
                <w:sz w:val="16"/>
                <w:szCs w:val="16"/>
                <w:color w:val="auto"/>
              </w:rPr>
            </w:pPr>
          </w:p>
        </w:tc>
        <w:tc>
          <w:tcPr>
            <w:tcW w:w="1100" w:type="dxa"/>
            <w:vAlign w:val="bottom"/>
          </w:tcPr>
          <w:p>
            <w:pPr>
              <w:ind w:left="82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
              <w:spacing w:after="0" w:line="193" w:lineRule="exact"/>
              <w:rPr>
                <w:sz w:val="20"/>
                <w:szCs w:val="20"/>
                <w:color w:val="auto"/>
              </w:rPr>
            </w:pPr>
            <w:r>
              <w:rPr>
                <w:rFonts w:ascii="Times New Roman" w:cs="Times New Roman" w:eastAsia="Times New Roman" w:hAnsi="Times New Roman"/>
                <w:sz w:val="18"/>
                <w:szCs w:val="18"/>
                <w:color w:val="auto"/>
              </w:rPr>
              <w:t>816,543</w:t>
            </w: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67" w:hanging="367"/>
        <w:spacing w:after="0"/>
        <w:tabs>
          <w:tab w:leader="none" w:pos="36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reflect salaries earned by each named executive officer during the respective fiscal year.</w:t>
      </w:r>
    </w:p>
    <w:p>
      <w:pPr>
        <w:spacing w:after="0" w:line="119" w:lineRule="exact"/>
        <w:rPr>
          <w:rFonts w:ascii="Times New Roman" w:cs="Times New Roman" w:eastAsia="Times New Roman" w:hAnsi="Times New Roman"/>
          <w:sz w:val="16"/>
          <w:szCs w:val="16"/>
          <w:color w:val="auto"/>
        </w:rPr>
      </w:pPr>
    </w:p>
    <w:p>
      <w:pPr>
        <w:ind w:left="367" w:right="40" w:hanging="367"/>
        <w:spacing w:after="0" w:line="247" w:lineRule="auto"/>
        <w:tabs>
          <w:tab w:leader="none" w:pos="36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aggregate grant date fair value of the stock options awarded to our named executive officers during the 2022 and 2021 fiscal years, as applicable, calculated in accordance with Financial Accounting Standards Board, or FASB, Accounting Standards Codification, or ASC, Topic 718. Such grant date fair values do not take into account any estimated forfeitures. The assumptions used in calculating the grant date fair value of the stock options reported in this column are set forth in Note 2 to our consolidated financial statements included in this Annual Report on Form 10-K. The amounts reported in this column reflect the accounting cost for the stock options and do not correspond to the actual economic value that may be received by our named executive officers upon the exercise of the stock options or any sale of the common stock underlying such stock options.</w:t>
      </w:r>
    </w:p>
    <w:p>
      <w:pPr>
        <w:spacing w:after="0" w:line="87" w:lineRule="exact"/>
        <w:rPr>
          <w:rFonts w:ascii="Times New Roman" w:cs="Times New Roman" w:eastAsia="Times New Roman" w:hAnsi="Times New Roman"/>
          <w:sz w:val="16"/>
          <w:szCs w:val="16"/>
          <w:color w:val="auto"/>
        </w:rPr>
      </w:pPr>
    </w:p>
    <w:p>
      <w:pPr>
        <w:ind w:left="367" w:right="200" w:hanging="367"/>
        <w:spacing w:after="0" w:line="311" w:lineRule="auto"/>
        <w:tabs>
          <w:tab w:leader="none" w:pos="367"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represent bonuses earned as of December 31, 2021 and December 31, 2022, upon the attainment of one or more pre-established performance goals established by our board of directors on an annual basis. A portion of Ms. Bryce’s 2021 bonus was attributable to her service as a consultant.</w:t>
      </w:r>
    </w:p>
    <w:p>
      <w:pPr>
        <w:spacing w:after="0" w:line="40" w:lineRule="exact"/>
        <w:rPr>
          <w:rFonts w:ascii="Times New Roman" w:cs="Times New Roman" w:eastAsia="Times New Roman" w:hAnsi="Times New Roman"/>
          <w:sz w:val="15"/>
          <w:szCs w:val="15"/>
          <w:color w:val="auto"/>
        </w:rPr>
      </w:pPr>
    </w:p>
    <w:p>
      <w:pPr>
        <w:ind w:left="367" w:hanging="367"/>
        <w:spacing w:after="0"/>
        <w:tabs>
          <w:tab w:leader="none" w:pos="36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Bryce was a consultant to us until September 14, 2021 when she transitioned to Chief Financial Officer.</w:t>
      </w:r>
    </w:p>
    <w:p>
      <w:pPr>
        <w:spacing w:after="0" w:line="119"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reflect the amount of discretionary bonuses earned in year 2022.</w:t>
      </w:r>
    </w:p>
    <w:p>
      <w:pPr>
        <w:spacing w:after="0" w:line="119"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$210,818 in consulting fees that Ms. Bryce earned during 2021, prior to becoming Chief Financial Officer.</w:t>
      </w:r>
    </w:p>
    <w:p>
      <w:pPr>
        <w:spacing w:after="0" w:line="119"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Bryce received a signing bonus for her employment in the position of Chief Financial Officer.</w:t>
      </w: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Narrative to Summary Compensation Table</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Base Salaries</w:t>
      </w:r>
    </w:p>
    <w:p>
      <w:pPr>
        <w:spacing w:after="0" w:line="10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Each named executive officer’s base salary is a fixed component of annual compensation for performing specific duties and</w:t>
      </w:r>
    </w:p>
    <w:p>
      <w:pPr>
        <w:spacing w:after="0" w:line="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functions, and has been established by our board of directors taking into account each individual’s role, responsibilities, skills, and</w:t>
      </w:r>
    </w:p>
    <w:p>
      <w:pPr>
        <w:ind w:left="7"/>
        <w:spacing w:after="0" w:line="228" w:lineRule="auto"/>
        <w:rPr>
          <w:sz w:val="20"/>
          <w:szCs w:val="20"/>
          <w:color w:val="auto"/>
        </w:rPr>
      </w:pPr>
      <w:r>
        <w:rPr>
          <w:rFonts w:ascii="Times New Roman" w:cs="Times New Roman" w:eastAsia="Times New Roman" w:hAnsi="Times New Roman"/>
          <w:sz w:val="20"/>
          <w:szCs w:val="20"/>
          <w:color w:val="auto"/>
        </w:rPr>
        <w:t>expertise. Base salaries are reviewed annually, typically in connection with our annual performance review process, approved by</w:t>
      </w:r>
    </w:p>
    <w:p>
      <w:pPr>
        <w:ind w:left="7"/>
        <w:spacing w:after="0" w:line="228" w:lineRule="auto"/>
        <w:rPr>
          <w:sz w:val="20"/>
          <w:szCs w:val="20"/>
          <w:color w:val="auto"/>
        </w:rPr>
      </w:pPr>
      <w:r>
        <w:rPr>
          <w:rFonts w:ascii="Times New Roman" w:cs="Times New Roman" w:eastAsia="Times New Roman" w:hAnsi="Times New Roman"/>
          <w:sz w:val="20"/>
          <w:szCs w:val="20"/>
          <w:color w:val="auto"/>
        </w:rPr>
        <w:t>our board of directors, and adjusted from time to time to realign salaries with market levels after taking into account individual</w:t>
      </w:r>
    </w:p>
    <w:p>
      <w:pPr>
        <w:ind w:left="7"/>
        <w:spacing w:after="0" w:line="228" w:lineRule="auto"/>
        <w:rPr>
          <w:sz w:val="20"/>
          <w:szCs w:val="20"/>
          <w:color w:val="auto"/>
        </w:rPr>
      </w:pPr>
      <w:r>
        <w:rPr>
          <w:rFonts w:ascii="Times New Roman" w:cs="Times New Roman" w:eastAsia="Times New Roman" w:hAnsi="Times New Roman"/>
          <w:sz w:val="20"/>
          <w:szCs w:val="20"/>
          <w:color w:val="auto"/>
        </w:rPr>
        <w:t>responsibilities, performance and experience. The annual base salaries for Dr. Quisel, Ms. Bryce and Mr. Yu were increased to</w:t>
      </w:r>
    </w:p>
    <w:p>
      <w:pPr>
        <w:ind w:left="7"/>
        <w:spacing w:after="0" w:line="228" w:lineRule="auto"/>
        <w:rPr>
          <w:sz w:val="20"/>
          <w:szCs w:val="20"/>
          <w:color w:val="auto"/>
        </w:rPr>
      </w:pPr>
      <w:r>
        <w:rPr>
          <w:rFonts w:ascii="Times New Roman" w:cs="Times New Roman" w:eastAsia="Times New Roman" w:hAnsi="Times New Roman"/>
          <w:sz w:val="20"/>
          <w:szCs w:val="20"/>
          <w:color w:val="auto"/>
        </w:rPr>
        <w:t>$562,000, $419,000 and $419,000, respectively effective December 29, 2022 due to updated employment agreements entered into</w:t>
      </w:r>
    </w:p>
    <w:p>
      <w:pPr>
        <w:ind w:left="7"/>
        <w:spacing w:after="0" w:line="228" w:lineRule="auto"/>
        <w:rPr>
          <w:sz w:val="20"/>
          <w:szCs w:val="20"/>
          <w:color w:val="auto"/>
        </w:rPr>
      </w:pPr>
      <w:r>
        <w:rPr>
          <w:rFonts w:ascii="Times New Roman" w:cs="Times New Roman" w:eastAsia="Times New Roman" w:hAnsi="Times New Roman"/>
          <w:sz w:val="20"/>
          <w:szCs w:val="20"/>
          <w:color w:val="auto"/>
        </w:rPr>
        <w:t>with the Company. Dr. Savage’s base salary was increased from $355,300 to $400,000 effective July 1, 2022 in connection with</w:t>
      </w:r>
    </w:p>
    <w:p>
      <w:pPr>
        <w:ind w:left="7"/>
        <w:spacing w:after="0" w:line="228" w:lineRule="auto"/>
        <w:rPr>
          <w:sz w:val="20"/>
          <w:szCs w:val="20"/>
          <w:color w:val="auto"/>
        </w:rPr>
      </w:pPr>
      <w:r>
        <w:rPr>
          <w:rFonts w:ascii="Times New Roman" w:cs="Times New Roman" w:eastAsia="Times New Roman" w:hAnsi="Times New Roman"/>
          <w:sz w:val="20"/>
          <w:szCs w:val="20"/>
          <w:color w:val="auto"/>
        </w:rPr>
        <w:t>his mid-year performance review, and then increased again to $458,000 effective December 29, 2022 due to an updated</w:t>
      </w:r>
    </w:p>
    <w:p>
      <w:pPr>
        <w:ind w:left="7"/>
        <w:spacing w:after="0"/>
        <w:rPr>
          <w:sz w:val="20"/>
          <w:szCs w:val="20"/>
          <w:color w:val="auto"/>
        </w:rPr>
      </w:pPr>
      <w:r>
        <w:rPr>
          <w:rFonts w:ascii="Times New Roman" w:cs="Times New Roman" w:eastAsia="Times New Roman" w:hAnsi="Times New Roman"/>
          <w:sz w:val="20"/>
          <w:szCs w:val="20"/>
          <w:color w:val="auto"/>
        </w:rPr>
        <w:t>employment agreement entered into with the Company.</w:t>
      </w:r>
    </w:p>
    <w:p>
      <w:pPr>
        <w:spacing w:after="0" w:line="2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Annual Bonuses</w:t>
      </w:r>
    </w:p>
    <w:p>
      <w:pPr>
        <w:spacing w:after="0" w:line="109" w:lineRule="exact"/>
        <w:rPr>
          <w:sz w:val="20"/>
          <w:szCs w:val="20"/>
          <w:color w:val="auto"/>
        </w:rPr>
      </w:pPr>
    </w:p>
    <w:p>
      <w:pPr>
        <w:ind w:left="7" w:right="40" w:firstLine="490"/>
        <w:spacing w:after="0" w:line="237" w:lineRule="auto"/>
        <w:rPr>
          <w:sz w:val="20"/>
          <w:szCs w:val="20"/>
          <w:color w:val="auto"/>
        </w:rPr>
      </w:pPr>
      <w:r>
        <w:rPr>
          <w:rFonts w:ascii="Times New Roman" w:cs="Times New Roman" w:eastAsia="Times New Roman" w:hAnsi="Times New Roman"/>
          <w:sz w:val="20"/>
          <w:szCs w:val="20"/>
          <w:color w:val="auto"/>
        </w:rPr>
        <w:t>For the fiscal year ended December 31, 2022, each named executive officer was eligible to earn an annual cash bonus based on the achievement of certain corporate performance metrics. Corporate objectives were primarily based on development goals for our product candidates financing and business development goals. The target annual bonus for Drs. Quisel and Savage, Ms. Bryce and Mr. Yu for 2022 was 50%, 40%, 40% and 40% of their respective annual base salary as in effect on December 28, 2022 (i.e., prior to the increase provided in the updated employment agreements).</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109" w:lineRule="exact"/>
        <w:rPr>
          <w:sz w:val="20"/>
          <w:szCs w:val="20"/>
          <w:color w:val="auto"/>
        </w:rPr>
      </w:pPr>
    </w:p>
    <w:p>
      <w:pPr>
        <w:ind w:left="7" w:right="280" w:firstLine="490"/>
        <w:spacing w:after="0" w:line="237" w:lineRule="auto"/>
        <w:rPr>
          <w:sz w:val="20"/>
          <w:szCs w:val="20"/>
          <w:color w:val="auto"/>
        </w:rPr>
      </w:pPr>
      <w:r>
        <w:rPr>
          <w:rFonts w:ascii="Times New Roman" w:cs="Times New Roman" w:eastAsia="Times New Roman" w:hAnsi="Times New Roman"/>
          <w:sz w:val="20"/>
          <w:szCs w:val="20"/>
          <w:color w:val="auto"/>
        </w:rPr>
        <w:t>We believe that equity grants provide executives with a strong link to our long-term performance, create an ownership culture and help to align the interests of our executives and stockholders. In addition, we believe that equity grants promote executive retention because they incentivize executive officers to remain employed during the vesting period. During the fiscal year ended December 31, 2022, we granted stock option awards to each of our named executive officers, as described in more detail in the “Outstanding Equity Awards at Fiscal 2022 Year-End” table.</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2022 Year-End</w:t>
      </w:r>
    </w:p>
    <w:p>
      <w:pPr>
        <w:spacing w:after="0" w:line="113"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The following table sets forth information regarding outstanding equity awards held by our named executive officers as of</w:t>
      </w:r>
    </w:p>
    <w:p>
      <w:pPr>
        <w:spacing w:after="0" w:line="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December 31, 2022:</w:t>
      </w:r>
    </w:p>
    <w:p>
      <w:pPr>
        <w:sectPr>
          <w:pgSz w:w="12240" w:h="15840" w:orient="portrait"/>
          <w:cols w:equalWidth="0" w:num="1">
            <w:col w:w="10447"/>
          </w:cols>
          <w:pgMar w:left="893"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10447"/>
          </w:cols>
          <w:pgMar w:left="893" w:top="700" w:right="900" w:bottom="175" w:gutter="0" w:footer="0" w:header="0"/>
          <w:type w:val="continuous"/>
        </w:sectPr>
      </w:pPr>
    </w:p>
    <w:bookmarkStart w:id="150" w:name="page151"/>
    <w:bookmarkEnd w:id="150"/>
    <w:tbl>
      <w:tblPr>
        <w:tblLayout w:type="fixed"/>
        <w:tblInd w:w="7"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3"/>
                <w:szCs w:val="13"/>
                <w:color w:val="auto"/>
              </w:rPr>
            </w:pPr>
          </w:p>
        </w:tc>
        <w:tc>
          <w:tcPr>
            <w:tcW w:w="114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5"/>
                <w:szCs w:val="15"/>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20" w:type="dxa"/>
            <w:vAlign w:val="bottom"/>
          </w:tcPr>
          <w:p>
            <w:pPr>
              <w:spacing w:after="0"/>
              <w:rPr>
                <w:sz w:val="15"/>
                <w:szCs w:val="15"/>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0" w:type="dxa"/>
            <w:vAlign w:val="bottom"/>
          </w:tcPr>
          <w:p>
            <w:pPr>
              <w:spacing w:after="0"/>
              <w:rPr>
                <w:sz w:val="15"/>
                <w:szCs w:val="15"/>
                <w:color w:val="auto"/>
              </w:rPr>
            </w:pP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114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0" w:type="dxa"/>
            <w:vAlign w:val="bottom"/>
          </w:tcPr>
          <w:p>
            <w:pPr>
              <w:spacing w:after="0"/>
              <w:rPr>
                <w:sz w:val="15"/>
                <w:szCs w:val="15"/>
                <w:color w:val="auto"/>
              </w:rPr>
            </w:pP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4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5"/>
                <w:szCs w:val="15"/>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5"/>
                <w:szCs w:val="15"/>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5"/>
                <w:szCs w:val="15"/>
                <w:color w:val="auto"/>
              </w:rPr>
            </w:pPr>
          </w:p>
        </w:tc>
        <w:tc>
          <w:tcPr>
            <w:tcW w:w="1560" w:type="dxa"/>
            <w:vAlign w:val="bottom"/>
            <w:gridSpan w:val="2"/>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Commencement</w:t>
            </w:r>
          </w:p>
        </w:tc>
        <w:tc>
          <w:tcPr>
            <w:tcW w:w="114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5"/>
                <w:szCs w:val="15"/>
                <w:color w:val="auto"/>
              </w:rPr>
            </w:pP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03"/>
        </w:trPr>
        <w:tc>
          <w:tcPr>
            <w:tcW w:w="2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4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20"/>
        </w:trPr>
        <w:tc>
          <w:tcPr>
            <w:tcW w:w="2600" w:type="dxa"/>
            <w:vAlign w:val="bottom"/>
            <w:tcBorders>
              <w:top w:val="single" w:sz="8" w:color="auto"/>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John Quisel, J.D., Ph.D.</w:t>
            </w:r>
          </w:p>
        </w:tc>
        <w:tc>
          <w:tcPr>
            <w:tcW w:w="120" w:type="dxa"/>
            <w:vAlign w:val="bottom"/>
            <w:tcBorders>
              <w:top w:val="single" w:sz="8" w:color="D4EFF3"/>
            </w:tcBorders>
            <w:shd w:val="clear" w:color="auto" w:fill="D4EFF3"/>
          </w:tcPr>
          <w:p>
            <w:pPr>
              <w:spacing w:after="0"/>
              <w:rPr>
                <w:sz w:val="19"/>
                <w:szCs w:val="19"/>
                <w:color w:val="auto"/>
              </w:rPr>
            </w:pPr>
          </w:p>
        </w:tc>
        <w:tc>
          <w:tcPr>
            <w:tcW w:w="114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12/29/2022</w:t>
            </w:r>
          </w:p>
        </w:tc>
        <w:tc>
          <w:tcPr>
            <w:tcW w:w="420" w:type="dxa"/>
            <w:vAlign w:val="bottom"/>
            <w:tcBorders>
              <w:top w:val="single" w:sz="8" w:color="D4EFF3"/>
            </w:tcBorders>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(2)</w:t>
            </w:r>
          </w:p>
        </w:tc>
        <w:tc>
          <w:tcPr>
            <w:tcW w:w="116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12/29/2022</w:t>
            </w:r>
          </w:p>
        </w:tc>
        <w:tc>
          <w:tcPr>
            <w:tcW w:w="100" w:type="dxa"/>
            <w:vAlign w:val="bottom"/>
            <w:tcBorders>
              <w:top w:val="single" w:sz="8" w:color="D4EFF3"/>
            </w:tcBorders>
            <w:shd w:val="clear" w:color="auto" w:fill="D4EFF3"/>
          </w:tcPr>
          <w:p>
            <w:pPr>
              <w:spacing w:after="0"/>
              <w:rPr>
                <w:sz w:val="19"/>
                <w:szCs w:val="19"/>
                <w:color w:val="auto"/>
              </w:rPr>
            </w:pPr>
          </w:p>
        </w:tc>
        <w:tc>
          <w:tcPr>
            <w:tcW w:w="1140" w:type="dxa"/>
            <w:vAlign w:val="bottom"/>
            <w:tcBorders>
              <w:top w:val="single" w:sz="8" w:color="auto"/>
            </w:tcBorders>
            <w:shd w:val="clear" w:color="auto" w:fill="D4EFF3"/>
          </w:tcPr>
          <w:p>
            <w:pPr>
              <w:jc w:val="right"/>
              <w:ind w:right="5"/>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top w:val="single" w:sz="8" w:color="D4EFF3"/>
            </w:tcBorders>
            <w:shd w:val="clear" w:color="auto" w:fill="D4EFF3"/>
          </w:tcPr>
          <w:p>
            <w:pPr>
              <w:spacing w:after="0"/>
              <w:rPr>
                <w:sz w:val="19"/>
                <w:szCs w:val="19"/>
                <w:color w:val="auto"/>
              </w:rPr>
            </w:pPr>
          </w:p>
        </w:tc>
        <w:tc>
          <w:tcPr>
            <w:tcW w:w="1140" w:type="dxa"/>
            <w:vAlign w:val="bottom"/>
            <w:tcBorders>
              <w:top w:val="single" w:sz="8" w:color="auto"/>
            </w:tcBorders>
            <w:shd w:val="clear" w:color="auto" w:fill="D4EFF3"/>
          </w:tcPr>
          <w:p>
            <w:pPr>
              <w:jc w:val="right"/>
              <w:ind w:right="16"/>
              <w:spacing w:after="0" w:line="220" w:lineRule="exact"/>
              <w:rPr>
                <w:sz w:val="20"/>
                <w:szCs w:val="20"/>
                <w:color w:val="auto"/>
              </w:rPr>
            </w:pPr>
            <w:r>
              <w:rPr>
                <w:rFonts w:ascii="Times New Roman" w:cs="Times New Roman" w:eastAsia="Times New Roman" w:hAnsi="Times New Roman"/>
                <w:sz w:val="20"/>
                <w:szCs w:val="20"/>
                <w:color w:val="auto"/>
              </w:rPr>
              <w:t>132,002</w:t>
            </w:r>
          </w:p>
        </w:tc>
        <w:tc>
          <w:tcPr>
            <w:tcW w:w="100" w:type="dxa"/>
            <w:vAlign w:val="bottom"/>
            <w:tcBorders>
              <w:top w:val="single" w:sz="8" w:color="D4EFF3"/>
            </w:tcBorders>
            <w:shd w:val="clear" w:color="auto" w:fill="D4EFF3"/>
          </w:tcPr>
          <w:p>
            <w:pPr>
              <w:spacing w:after="0"/>
              <w:rPr>
                <w:sz w:val="19"/>
                <w:szCs w:val="19"/>
                <w:color w:val="auto"/>
              </w:rPr>
            </w:pPr>
          </w:p>
        </w:tc>
        <w:tc>
          <w:tcPr>
            <w:tcW w:w="1180" w:type="dxa"/>
            <w:vAlign w:val="bottom"/>
            <w:tcBorders>
              <w:top w:val="single" w:sz="8" w:color="auto"/>
            </w:tcBorders>
            <w:shd w:val="clear" w:color="auto" w:fill="D4EFF3"/>
          </w:tcPr>
          <w:p>
            <w:pPr>
              <w:jc w:val="right"/>
              <w:ind w:right="12"/>
              <w:spacing w:after="0" w:line="220" w:lineRule="exact"/>
              <w:rPr>
                <w:sz w:val="20"/>
                <w:szCs w:val="20"/>
                <w:color w:val="auto"/>
              </w:rPr>
            </w:pPr>
            <w:r>
              <w:rPr>
                <w:rFonts w:ascii="Times New Roman" w:cs="Times New Roman" w:eastAsia="Times New Roman" w:hAnsi="Times New Roman"/>
                <w:sz w:val="20"/>
                <w:szCs w:val="20"/>
                <w:color w:val="auto"/>
              </w:rPr>
              <w:t>13.50</w:t>
            </w:r>
          </w:p>
        </w:tc>
        <w:tc>
          <w:tcPr>
            <w:tcW w:w="120" w:type="dxa"/>
            <w:vAlign w:val="bottom"/>
            <w:tcBorders>
              <w:top w:val="single" w:sz="8" w:color="D4EFF3"/>
            </w:tcBorders>
            <w:shd w:val="clear" w:color="auto" w:fill="D4EFF3"/>
          </w:tcPr>
          <w:p>
            <w:pPr>
              <w:spacing w:after="0"/>
              <w:rPr>
                <w:sz w:val="19"/>
                <w:szCs w:val="19"/>
                <w:color w:val="auto"/>
              </w:rPr>
            </w:pPr>
          </w:p>
        </w:tc>
        <w:tc>
          <w:tcPr>
            <w:tcW w:w="110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12/28/2032</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c>
          <w:tcPr>
            <w:tcW w:w="120" w:type="dxa"/>
            <w:vAlign w:val="bottom"/>
            <w:shd w:val="clear" w:color="auto" w:fill="D4EFF3"/>
          </w:tcPr>
          <w:p>
            <w:pPr>
              <w:spacing w:after="0"/>
              <w:rPr>
                <w:sz w:val="19"/>
                <w:szCs w:val="19"/>
                <w:color w:val="auto"/>
              </w:rPr>
            </w:pPr>
          </w:p>
        </w:tc>
        <w:tc>
          <w:tcPr>
            <w:tcW w:w="11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9/14/2021</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(2)</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9/1/2021</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52,623</w:t>
            </w:r>
          </w:p>
        </w:tc>
        <w:tc>
          <w:tcPr>
            <w:tcW w:w="12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115,764</w:t>
            </w:r>
          </w:p>
        </w:tc>
        <w:tc>
          <w:tcPr>
            <w:tcW w:w="100" w:type="dxa"/>
            <w:vAlign w:val="bottom"/>
            <w:shd w:val="clear" w:color="auto" w:fill="D4EFF3"/>
          </w:tcPr>
          <w:p>
            <w:pPr>
              <w:spacing w:after="0"/>
              <w:rPr>
                <w:sz w:val="19"/>
                <w:szCs w:val="19"/>
                <w:color w:val="auto"/>
              </w:rPr>
            </w:pPr>
          </w:p>
        </w:tc>
        <w:tc>
          <w:tcPr>
            <w:tcW w:w="1180" w:type="dxa"/>
            <w:vAlign w:val="bottom"/>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9.86</w:t>
            </w:r>
          </w:p>
        </w:tc>
        <w:tc>
          <w:tcPr>
            <w:tcW w:w="120" w:type="dxa"/>
            <w:vAlign w:val="bottom"/>
            <w:shd w:val="clear" w:color="auto" w:fill="D4EFF3"/>
          </w:tcPr>
          <w:p>
            <w:pPr>
              <w:spacing w:after="0"/>
              <w:rPr>
                <w:sz w:val="19"/>
                <w:szCs w:val="19"/>
                <w:color w:val="auto"/>
              </w:rPr>
            </w:pPr>
          </w:p>
        </w:tc>
        <w:tc>
          <w:tcPr>
            <w:tcW w:w="11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9/13/2031</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19"/>
                <w:szCs w:val="19"/>
                <w:color w:val="auto"/>
              </w:rPr>
            </w:pPr>
          </w:p>
        </w:tc>
        <w:tc>
          <w:tcPr>
            <w:tcW w:w="12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10/23/2020</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(3)</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10/7/2020</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33,400</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28,250</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10/22/2030</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19"/>
                <w:szCs w:val="19"/>
                <w:color w:val="auto"/>
              </w:rPr>
            </w:pPr>
          </w:p>
        </w:tc>
        <w:tc>
          <w:tcPr>
            <w:tcW w:w="12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3/11/2020</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(4)</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2/25/2020</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172,775</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71,136</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3/10/2030</w:t>
            </w:r>
          </w:p>
        </w:tc>
        <w:tc>
          <w:tcPr>
            <w:tcW w:w="0" w:type="dxa"/>
            <w:vAlign w:val="bottom"/>
          </w:tcPr>
          <w:p>
            <w:pPr>
              <w:spacing w:after="0"/>
              <w:rPr>
                <w:sz w:val="1"/>
                <w:szCs w:val="1"/>
                <w:color w:val="auto"/>
              </w:rPr>
            </w:pPr>
          </w:p>
        </w:tc>
      </w:tr>
      <w:tr>
        <w:trPr>
          <w:trHeight w:val="211"/>
        </w:trPr>
        <w:tc>
          <w:tcPr>
            <w:tcW w:w="26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William Savage, MD, Ph.D.</w:t>
            </w:r>
          </w:p>
        </w:tc>
        <w:tc>
          <w:tcPr>
            <w:tcW w:w="126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12/29/2022</w:t>
            </w:r>
          </w:p>
        </w:tc>
        <w:tc>
          <w:tcPr>
            <w:tcW w:w="42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2"/>
              </w:rPr>
              <w:t>(2)</w:t>
            </w: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12/29/2022</w:t>
            </w:r>
          </w:p>
        </w:tc>
        <w:tc>
          <w:tcPr>
            <w:tcW w:w="100" w:type="dxa"/>
            <w:vAlign w:val="bottom"/>
          </w:tcPr>
          <w:p>
            <w:pPr>
              <w:spacing w:after="0"/>
              <w:rPr>
                <w:sz w:val="18"/>
                <w:szCs w:val="18"/>
                <w:color w:val="auto"/>
              </w:rPr>
            </w:pPr>
          </w:p>
        </w:tc>
        <w:tc>
          <w:tcPr>
            <w:tcW w:w="1140" w:type="dxa"/>
            <w:vAlign w:val="bottom"/>
          </w:tcPr>
          <w:p>
            <w:pPr>
              <w:jc w:val="right"/>
              <w:ind w:right="5"/>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6"/>
              <w:spacing w:after="0" w:line="210" w:lineRule="exact"/>
              <w:rPr>
                <w:sz w:val="20"/>
                <w:szCs w:val="20"/>
                <w:color w:val="auto"/>
              </w:rPr>
            </w:pPr>
            <w:r>
              <w:rPr>
                <w:rFonts w:ascii="Times New Roman" w:cs="Times New Roman" w:eastAsia="Times New Roman" w:hAnsi="Times New Roman"/>
                <w:sz w:val="20"/>
                <w:szCs w:val="20"/>
                <w:color w:val="auto"/>
              </w:rPr>
              <w:t>38,924</w:t>
            </w:r>
          </w:p>
        </w:tc>
        <w:tc>
          <w:tcPr>
            <w:tcW w:w="1280" w:type="dxa"/>
            <w:vAlign w:val="bottom"/>
            <w:gridSpan w:val="2"/>
          </w:tcPr>
          <w:p>
            <w:pPr>
              <w:jc w:val="right"/>
              <w:ind w:right="12"/>
              <w:spacing w:after="0" w:line="210" w:lineRule="exact"/>
              <w:rPr>
                <w:sz w:val="20"/>
                <w:szCs w:val="20"/>
                <w:color w:val="auto"/>
              </w:rPr>
            </w:pPr>
            <w:r>
              <w:rPr>
                <w:rFonts w:ascii="Times New Roman" w:cs="Times New Roman" w:eastAsia="Times New Roman" w:hAnsi="Times New Roman"/>
                <w:sz w:val="20"/>
                <w:szCs w:val="20"/>
                <w:color w:val="auto"/>
              </w:rPr>
              <w:t>13.50</w:t>
            </w:r>
          </w:p>
        </w:tc>
        <w:tc>
          <w:tcPr>
            <w:tcW w:w="122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12/28/2032</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Chief Medical Officer</w:t>
            </w:r>
          </w:p>
        </w:tc>
        <w:tc>
          <w:tcPr>
            <w:tcW w:w="1680" w:type="dxa"/>
            <w:vAlign w:val="bottom"/>
            <w:gridSpan w:val="3"/>
          </w:tcPr>
          <w:p>
            <w:pPr>
              <w:jc w:val="right"/>
              <w:ind w:right="195"/>
              <w:spacing w:after="0" w:line="230" w:lineRule="exact"/>
              <w:rPr>
                <w:sz w:val="20"/>
                <w:szCs w:val="20"/>
                <w:color w:val="auto"/>
              </w:rPr>
            </w:pPr>
            <w:r>
              <w:rPr>
                <w:rFonts w:ascii="Times New Roman" w:cs="Times New Roman" w:eastAsia="Times New Roman" w:hAnsi="Times New Roman"/>
                <w:sz w:val="20"/>
                <w:szCs w:val="20"/>
                <w:color w:val="auto"/>
              </w:rPr>
              <w:t>9/14/2021</w:t>
            </w:r>
            <w:r>
              <w:rPr>
                <w:rFonts w:ascii="Times New Roman" w:cs="Times New Roman" w:eastAsia="Times New Roman" w:hAnsi="Times New Roman"/>
                <w:sz w:val="26"/>
                <w:szCs w:val="26"/>
                <w:color w:val="auto"/>
                <w:vertAlign w:val="superscript"/>
              </w:rPr>
              <w:t>(2)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7/1/2021</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3,732</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6,789</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9.86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9/13/2031</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1680" w:type="dxa"/>
            <w:vAlign w:val="bottom"/>
            <w:gridSpan w:val="3"/>
          </w:tcPr>
          <w:p>
            <w:pPr>
              <w:jc w:val="right"/>
              <w:ind w:right="195"/>
              <w:spacing w:after="0" w:line="230" w:lineRule="exact"/>
              <w:rPr>
                <w:sz w:val="20"/>
                <w:szCs w:val="20"/>
                <w:color w:val="auto"/>
              </w:rPr>
            </w:pPr>
            <w:r>
              <w:rPr>
                <w:rFonts w:ascii="Times New Roman" w:cs="Times New Roman" w:eastAsia="Times New Roman" w:hAnsi="Times New Roman"/>
                <w:sz w:val="20"/>
                <w:szCs w:val="20"/>
                <w:color w:val="auto"/>
              </w:rPr>
              <w:t>9/14/2021</w:t>
            </w:r>
            <w:r>
              <w:rPr>
                <w:rFonts w:ascii="Times New Roman" w:cs="Times New Roman" w:eastAsia="Times New Roman" w:hAnsi="Times New Roman"/>
                <w:sz w:val="26"/>
                <w:szCs w:val="26"/>
                <w:color w:val="auto"/>
                <w:vertAlign w:val="superscript"/>
              </w:rPr>
              <w:t>(2)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9/1/2021</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14,125</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31,067</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9.86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9/13/2031</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1680" w:type="dxa"/>
            <w:vAlign w:val="bottom"/>
            <w:gridSpan w:val="3"/>
          </w:tcPr>
          <w:p>
            <w:pPr>
              <w:jc w:val="right"/>
              <w:ind w:right="195"/>
              <w:spacing w:after="0" w:line="230" w:lineRule="exact"/>
              <w:rPr>
                <w:sz w:val="20"/>
                <w:szCs w:val="20"/>
                <w:color w:val="auto"/>
              </w:rPr>
            </w:pPr>
            <w:r>
              <w:rPr>
                <w:rFonts w:ascii="Times New Roman" w:cs="Times New Roman" w:eastAsia="Times New Roman" w:hAnsi="Times New Roman"/>
                <w:sz w:val="20"/>
                <w:szCs w:val="20"/>
                <w:color w:val="auto"/>
              </w:rPr>
              <w:t>10/23/2020</w:t>
            </w:r>
            <w:r>
              <w:rPr>
                <w:rFonts w:ascii="Times New Roman" w:cs="Times New Roman" w:eastAsia="Times New Roman" w:hAnsi="Times New Roman"/>
                <w:sz w:val="26"/>
                <w:szCs w:val="26"/>
                <w:color w:val="auto"/>
                <w:vertAlign w:val="superscript"/>
              </w:rPr>
              <w:t>(5)</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10/7/2020</w:t>
            </w:r>
          </w:p>
        </w:tc>
        <w:tc>
          <w:tcPr>
            <w:tcW w:w="100" w:type="dxa"/>
            <w:vAlign w:val="bottom"/>
          </w:tcPr>
          <w:p>
            <w:pPr>
              <w:spacing w:after="0"/>
              <w:rPr>
                <w:sz w:val="19"/>
                <w:szCs w:val="19"/>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5,567</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4,708</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10/22/2030</w:t>
            </w:r>
          </w:p>
        </w:tc>
        <w:tc>
          <w:tcPr>
            <w:tcW w:w="0" w:type="dxa"/>
            <w:vAlign w:val="bottom"/>
          </w:tcPr>
          <w:p>
            <w:pPr>
              <w:spacing w:after="0"/>
              <w:rPr>
                <w:sz w:val="1"/>
                <w:szCs w:val="1"/>
                <w:color w:val="auto"/>
              </w:rPr>
            </w:pPr>
          </w:p>
        </w:tc>
      </w:tr>
      <w:tr>
        <w:trPr>
          <w:trHeight w:val="272"/>
        </w:trPr>
        <w:tc>
          <w:tcPr>
            <w:tcW w:w="2600" w:type="dxa"/>
            <w:vAlign w:val="bottom"/>
          </w:tcPr>
          <w:p>
            <w:pPr>
              <w:spacing w:after="0"/>
              <w:rPr>
                <w:sz w:val="23"/>
                <w:szCs w:val="23"/>
                <w:color w:val="auto"/>
              </w:rPr>
            </w:pPr>
          </w:p>
        </w:tc>
        <w:tc>
          <w:tcPr>
            <w:tcW w:w="1680" w:type="dxa"/>
            <w:vAlign w:val="bottom"/>
            <w:gridSpan w:val="3"/>
          </w:tcPr>
          <w:p>
            <w:pPr>
              <w:jc w:val="right"/>
              <w:ind w:right="195"/>
              <w:spacing w:after="0" w:line="272" w:lineRule="exact"/>
              <w:rPr>
                <w:sz w:val="20"/>
                <w:szCs w:val="20"/>
                <w:color w:val="auto"/>
              </w:rPr>
            </w:pPr>
            <w:r>
              <w:rPr>
                <w:rFonts w:ascii="Times New Roman" w:cs="Times New Roman" w:eastAsia="Times New Roman" w:hAnsi="Times New Roman"/>
                <w:sz w:val="20"/>
                <w:szCs w:val="20"/>
                <w:color w:val="auto"/>
              </w:rPr>
              <w:t>8/11/2020</w:t>
            </w:r>
            <w:r>
              <w:rPr>
                <w:rFonts w:ascii="Times New Roman" w:cs="Times New Roman" w:eastAsia="Times New Roman" w:hAnsi="Times New Roman"/>
                <w:sz w:val="26"/>
                <w:szCs w:val="26"/>
                <w:color w:val="auto"/>
                <w:vertAlign w:val="superscript"/>
              </w:rPr>
              <w:t>(4)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8/3/2020</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3,388</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16,938</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8/10/2030</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Joanne Bryce, CPA</w:t>
            </w:r>
          </w:p>
        </w:tc>
        <w:tc>
          <w:tcPr>
            <w:tcW w:w="1680" w:type="dxa"/>
            <w:vAlign w:val="bottom"/>
            <w:gridSpan w:val="3"/>
            <w:shd w:val="clear" w:color="auto" w:fill="D4EFF3"/>
          </w:tcPr>
          <w:p>
            <w:pPr>
              <w:jc w:val="right"/>
              <w:ind w:right="195"/>
              <w:spacing w:after="0" w:line="230" w:lineRule="exact"/>
              <w:rPr>
                <w:sz w:val="20"/>
                <w:szCs w:val="20"/>
                <w:color w:val="auto"/>
              </w:rPr>
            </w:pPr>
            <w:r>
              <w:rPr>
                <w:rFonts w:ascii="Times New Roman" w:cs="Times New Roman" w:eastAsia="Times New Roman" w:hAnsi="Times New Roman"/>
                <w:sz w:val="20"/>
                <w:szCs w:val="20"/>
                <w:color w:val="auto"/>
              </w:rPr>
              <w:t>12/29/2022</w:t>
            </w:r>
            <w:r>
              <w:rPr>
                <w:rFonts w:ascii="Times New Roman" w:cs="Times New Roman" w:eastAsia="Times New Roman" w:hAnsi="Times New Roman"/>
                <w:sz w:val="26"/>
                <w:szCs w:val="26"/>
                <w:color w:val="auto"/>
                <w:vertAlign w:val="superscript"/>
              </w:rPr>
              <w:t>(2)</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12/29/2022</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33,847</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13.50</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12/28/2032</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12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9/14/2021</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(2)</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9/1/2021</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24,765</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54,480</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9.86</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9/13/2031</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19"/>
                <w:szCs w:val="19"/>
                <w:color w:val="auto"/>
              </w:rPr>
            </w:pPr>
          </w:p>
        </w:tc>
        <w:tc>
          <w:tcPr>
            <w:tcW w:w="12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10/23/2020</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(2)</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10/7/2020</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2,575</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2,178</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10/22/2030</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20"/>
                <w:szCs w:val="20"/>
                <w:color w:val="auto"/>
              </w:rPr>
            </w:pPr>
          </w:p>
        </w:tc>
        <w:tc>
          <w:tcPr>
            <w:tcW w:w="12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10/23/2020</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(2)</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1/1/2020</w:t>
            </w:r>
          </w:p>
        </w:tc>
        <w:tc>
          <w:tcPr>
            <w:tcW w:w="100" w:type="dxa"/>
            <w:vAlign w:val="bottom"/>
            <w:shd w:val="clear" w:color="auto" w:fill="D4EFF3"/>
          </w:tcPr>
          <w:p>
            <w:pPr>
              <w:spacing w:after="0"/>
              <w:rPr>
                <w:sz w:val="20"/>
                <w:szCs w:val="20"/>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3,466</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1,287</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10/22/2030</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19"/>
                <w:szCs w:val="19"/>
                <w:color w:val="auto"/>
              </w:rPr>
            </w:pPr>
          </w:p>
        </w:tc>
        <w:tc>
          <w:tcPr>
            <w:tcW w:w="12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11/6/2019</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(6)</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5/1/2020</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3,770</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2,258</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11/5/2029</w:t>
            </w:r>
          </w:p>
        </w:tc>
        <w:tc>
          <w:tcPr>
            <w:tcW w:w="0" w:type="dxa"/>
            <w:vAlign w:val="bottom"/>
          </w:tcPr>
          <w:p>
            <w:pPr>
              <w:spacing w:after="0"/>
              <w:rPr>
                <w:sz w:val="1"/>
                <w:szCs w:val="1"/>
                <w:color w:val="auto"/>
              </w:rPr>
            </w:pPr>
          </w:p>
        </w:tc>
      </w:tr>
      <w:tr>
        <w:trPr>
          <w:trHeight w:val="230"/>
        </w:trPr>
        <w:tc>
          <w:tcPr>
            <w:tcW w:w="2600" w:type="dxa"/>
            <w:vAlign w:val="bottom"/>
            <w:shd w:val="clear" w:color="auto" w:fill="D4EFF3"/>
          </w:tcPr>
          <w:p>
            <w:pPr>
              <w:spacing w:after="0"/>
              <w:rPr>
                <w:sz w:val="19"/>
                <w:szCs w:val="19"/>
                <w:color w:val="auto"/>
              </w:rPr>
            </w:pPr>
          </w:p>
        </w:tc>
        <w:tc>
          <w:tcPr>
            <w:tcW w:w="12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11/6/2019</w:t>
            </w:r>
          </w:p>
        </w:tc>
        <w:tc>
          <w:tcPr>
            <w:tcW w:w="420" w:type="dxa"/>
            <w:vAlign w:val="bottom"/>
            <w:shd w:val="clear" w:color="auto" w:fill="D4EFF3"/>
          </w:tcPr>
          <w:p>
            <w:pPr>
              <w:jc w:val="right"/>
              <w:ind w:right="195"/>
              <w:spacing w:after="0"/>
              <w:rPr>
                <w:sz w:val="20"/>
                <w:szCs w:val="20"/>
                <w:color w:val="auto"/>
              </w:rPr>
            </w:pPr>
            <w:r>
              <w:rPr>
                <w:rFonts w:ascii="Times New Roman" w:cs="Times New Roman" w:eastAsia="Times New Roman" w:hAnsi="Times New Roman"/>
                <w:sz w:val="13"/>
                <w:szCs w:val="13"/>
                <w:color w:val="auto"/>
                <w:w w:val="92"/>
              </w:rPr>
              <w:t>(6)</w:t>
            </w:r>
          </w:p>
        </w:tc>
        <w:tc>
          <w:tcPr>
            <w:tcW w:w="11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9/13/2019</w:t>
            </w: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6,831</w:t>
            </w:r>
          </w:p>
        </w:tc>
        <w:tc>
          <w:tcPr>
            <w:tcW w:w="1260" w:type="dxa"/>
            <w:vAlign w:val="bottom"/>
            <w:gridSpan w:val="2"/>
            <w:shd w:val="clear" w:color="auto" w:fill="D4EFF3"/>
          </w:tcPr>
          <w:p>
            <w:pPr>
              <w:jc w:val="right"/>
              <w:ind w:right="16"/>
              <w:spacing w:after="0"/>
              <w:rPr>
                <w:sz w:val="20"/>
                <w:szCs w:val="20"/>
                <w:color w:val="auto"/>
              </w:rPr>
            </w:pPr>
            <w:r>
              <w:rPr>
                <w:rFonts w:ascii="Times New Roman" w:cs="Times New Roman" w:eastAsia="Times New Roman" w:hAnsi="Times New Roman"/>
                <w:sz w:val="20"/>
                <w:szCs w:val="20"/>
                <w:color w:val="auto"/>
              </w:rPr>
              <w:t>1,575</w:t>
            </w:r>
          </w:p>
        </w:tc>
        <w:tc>
          <w:tcPr>
            <w:tcW w:w="1280" w:type="dxa"/>
            <w:vAlign w:val="bottom"/>
            <w:gridSpan w:val="2"/>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11/5/2029</w:t>
            </w:r>
          </w:p>
        </w:tc>
        <w:tc>
          <w:tcPr>
            <w:tcW w:w="0" w:type="dxa"/>
            <w:vAlign w:val="bottom"/>
          </w:tcPr>
          <w:p>
            <w:pPr>
              <w:spacing w:after="0"/>
              <w:rPr>
                <w:sz w:val="1"/>
                <w:szCs w:val="1"/>
                <w:color w:val="auto"/>
              </w:rPr>
            </w:pPr>
          </w:p>
        </w:tc>
      </w:tr>
      <w:tr>
        <w:trPr>
          <w:trHeight w:val="210"/>
        </w:trPr>
        <w:tc>
          <w:tcPr>
            <w:tcW w:w="26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Jonathan Yu</w:t>
            </w:r>
          </w:p>
        </w:tc>
        <w:tc>
          <w:tcPr>
            <w:tcW w:w="126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12/29/2022</w:t>
            </w:r>
          </w:p>
        </w:tc>
        <w:tc>
          <w:tcPr>
            <w:tcW w:w="42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2"/>
              </w:rPr>
              <w:t>(2)</w:t>
            </w: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12/29/2022</w:t>
            </w:r>
          </w:p>
        </w:tc>
        <w:tc>
          <w:tcPr>
            <w:tcW w:w="100" w:type="dxa"/>
            <w:vAlign w:val="bottom"/>
          </w:tcPr>
          <w:p>
            <w:pPr>
              <w:spacing w:after="0"/>
              <w:rPr>
                <w:sz w:val="18"/>
                <w:szCs w:val="18"/>
                <w:color w:val="auto"/>
              </w:rPr>
            </w:pPr>
          </w:p>
        </w:tc>
        <w:tc>
          <w:tcPr>
            <w:tcW w:w="1140" w:type="dxa"/>
            <w:vAlign w:val="bottom"/>
          </w:tcPr>
          <w:p>
            <w:pPr>
              <w:jc w:val="right"/>
              <w:ind w:right="5"/>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6"/>
              <w:spacing w:after="0" w:line="210" w:lineRule="exact"/>
              <w:rPr>
                <w:sz w:val="20"/>
                <w:szCs w:val="20"/>
                <w:color w:val="auto"/>
              </w:rPr>
            </w:pPr>
            <w:r>
              <w:rPr>
                <w:rFonts w:ascii="Times New Roman" w:cs="Times New Roman" w:eastAsia="Times New Roman" w:hAnsi="Times New Roman"/>
                <w:sz w:val="20"/>
                <w:szCs w:val="20"/>
                <w:color w:val="auto"/>
              </w:rPr>
              <w:t>33,847</w:t>
            </w:r>
          </w:p>
        </w:tc>
        <w:tc>
          <w:tcPr>
            <w:tcW w:w="1280" w:type="dxa"/>
            <w:vAlign w:val="bottom"/>
            <w:gridSpan w:val="2"/>
          </w:tcPr>
          <w:p>
            <w:pPr>
              <w:jc w:val="right"/>
              <w:ind w:right="12"/>
              <w:spacing w:after="0" w:line="210" w:lineRule="exact"/>
              <w:rPr>
                <w:sz w:val="20"/>
                <w:szCs w:val="20"/>
                <w:color w:val="auto"/>
              </w:rPr>
            </w:pPr>
            <w:r>
              <w:rPr>
                <w:rFonts w:ascii="Times New Roman" w:cs="Times New Roman" w:eastAsia="Times New Roman" w:hAnsi="Times New Roman"/>
                <w:sz w:val="20"/>
                <w:szCs w:val="20"/>
                <w:color w:val="auto"/>
              </w:rPr>
              <w:t>13.50</w:t>
            </w:r>
          </w:p>
        </w:tc>
        <w:tc>
          <w:tcPr>
            <w:tcW w:w="122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12/28/2032</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Chief Business Officer</w:t>
            </w:r>
          </w:p>
        </w:tc>
        <w:tc>
          <w:tcPr>
            <w:tcW w:w="1680" w:type="dxa"/>
            <w:vAlign w:val="bottom"/>
            <w:gridSpan w:val="3"/>
          </w:tcPr>
          <w:p>
            <w:pPr>
              <w:jc w:val="right"/>
              <w:ind w:right="195"/>
              <w:spacing w:after="0" w:line="230" w:lineRule="exact"/>
              <w:rPr>
                <w:sz w:val="20"/>
                <w:szCs w:val="20"/>
                <w:color w:val="auto"/>
              </w:rPr>
            </w:pPr>
            <w:r>
              <w:rPr>
                <w:rFonts w:ascii="Times New Roman" w:cs="Times New Roman" w:eastAsia="Times New Roman" w:hAnsi="Times New Roman"/>
                <w:sz w:val="20"/>
                <w:szCs w:val="20"/>
                <w:color w:val="auto"/>
              </w:rPr>
              <w:t>9/14/2021</w:t>
            </w:r>
            <w:r>
              <w:rPr>
                <w:rFonts w:ascii="Times New Roman" w:cs="Times New Roman" w:eastAsia="Times New Roman" w:hAnsi="Times New Roman"/>
                <w:sz w:val="26"/>
                <w:szCs w:val="26"/>
                <w:color w:val="auto"/>
                <w:vertAlign w:val="superscript"/>
              </w:rPr>
              <w:t>(2)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7/1/2021</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2,488</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4,526</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9.86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9/13/2031</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1680" w:type="dxa"/>
            <w:vAlign w:val="bottom"/>
            <w:gridSpan w:val="3"/>
          </w:tcPr>
          <w:p>
            <w:pPr>
              <w:jc w:val="right"/>
              <w:ind w:right="195"/>
              <w:spacing w:after="0" w:line="230" w:lineRule="exact"/>
              <w:rPr>
                <w:sz w:val="20"/>
                <w:szCs w:val="20"/>
                <w:color w:val="auto"/>
              </w:rPr>
            </w:pPr>
            <w:r>
              <w:rPr>
                <w:rFonts w:ascii="Times New Roman" w:cs="Times New Roman" w:eastAsia="Times New Roman" w:hAnsi="Times New Roman"/>
                <w:sz w:val="20"/>
                <w:szCs w:val="20"/>
                <w:color w:val="auto"/>
              </w:rPr>
              <w:t>9/14/2021</w:t>
            </w:r>
            <w:r>
              <w:rPr>
                <w:rFonts w:ascii="Times New Roman" w:cs="Times New Roman" w:eastAsia="Times New Roman" w:hAnsi="Times New Roman"/>
                <w:sz w:val="26"/>
                <w:szCs w:val="26"/>
                <w:color w:val="auto"/>
                <w:vertAlign w:val="superscript"/>
              </w:rPr>
              <w:t>(2)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9/1/2021</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14,161</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31,141</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9.86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9/13/2031</w:t>
            </w:r>
          </w:p>
        </w:tc>
        <w:tc>
          <w:tcPr>
            <w:tcW w:w="0" w:type="dxa"/>
            <w:vAlign w:val="bottom"/>
          </w:tcPr>
          <w:p>
            <w:pPr>
              <w:spacing w:after="0"/>
              <w:rPr>
                <w:sz w:val="1"/>
                <w:szCs w:val="1"/>
                <w:color w:val="auto"/>
              </w:rPr>
            </w:pPr>
          </w:p>
        </w:tc>
      </w:tr>
      <w:tr>
        <w:trPr>
          <w:trHeight w:val="253"/>
        </w:trPr>
        <w:tc>
          <w:tcPr>
            <w:tcW w:w="2600" w:type="dxa"/>
            <w:vAlign w:val="bottom"/>
          </w:tcPr>
          <w:p>
            <w:pPr>
              <w:spacing w:after="0"/>
              <w:rPr>
                <w:sz w:val="22"/>
                <w:szCs w:val="22"/>
                <w:color w:val="auto"/>
              </w:rPr>
            </w:pPr>
          </w:p>
        </w:tc>
        <w:tc>
          <w:tcPr>
            <w:tcW w:w="1680" w:type="dxa"/>
            <w:vAlign w:val="bottom"/>
            <w:gridSpan w:val="3"/>
          </w:tcPr>
          <w:p>
            <w:pPr>
              <w:jc w:val="right"/>
              <w:ind w:right="195"/>
              <w:spacing w:after="0" w:line="253" w:lineRule="exact"/>
              <w:rPr>
                <w:sz w:val="20"/>
                <w:szCs w:val="20"/>
                <w:color w:val="auto"/>
              </w:rPr>
            </w:pPr>
            <w:r>
              <w:rPr>
                <w:rFonts w:ascii="Times New Roman" w:cs="Times New Roman" w:eastAsia="Times New Roman" w:hAnsi="Times New Roman"/>
                <w:sz w:val="20"/>
                <w:szCs w:val="20"/>
                <w:color w:val="auto"/>
              </w:rPr>
              <w:t>10/23/2020</w:t>
            </w:r>
            <w:r>
              <w:rPr>
                <w:rFonts w:ascii="Times New Roman" w:cs="Times New Roman" w:eastAsia="Times New Roman" w:hAnsi="Times New Roman"/>
                <w:sz w:val="26"/>
                <w:szCs w:val="26"/>
                <w:color w:val="auto"/>
                <w:vertAlign w:val="superscript"/>
              </w:rPr>
              <w:t>(5)</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10/7/2020</w:t>
            </w:r>
          </w:p>
        </w:tc>
        <w:tc>
          <w:tcPr>
            <w:tcW w:w="100" w:type="dxa"/>
            <w:vAlign w:val="bottom"/>
          </w:tcPr>
          <w:p>
            <w:pPr>
              <w:spacing w:after="0"/>
              <w:rPr>
                <w:sz w:val="22"/>
                <w:szCs w:val="22"/>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8,537</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7,843</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10/22/2030</w:t>
            </w:r>
          </w:p>
        </w:tc>
        <w:tc>
          <w:tcPr>
            <w:tcW w:w="0" w:type="dxa"/>
            <w:vAlign w:val="bottom"/>
          </w:tcPr>
          <w:p>
            <w:pPr>
              <w:spacing w:after="0"/>
              <w:rPr>
                <w:sz w:val="1"/>
                <w:szCs w:val="1"/>
                <w:color w:val="auto"/>
              </w:rPr>
            </w:pPr>
          </w:p>
        </w:tc>
      </w:tr>
      <w:tr>
        <w:trPr>
          <w:trHeight w:val="357"/>
        </w:trPr>
        <w:tc>
          <w:tcPr>
            <w:tcW w:w="2600" w:type="dxa"/>
            <w:vAlign w:val="bottom"/>
          </w:tcPr>
          <w:p>
            <w:pPr>
              <w:spacing w:after="0"/>
              <w:rPr>
                <w:sz w:val="24"/>
                <w:szCs w:val="24"/>
                <w:color w:val="auto"/>
              </w:rPr>
            </w:pPr>
          </w:p>
        </w:tc>
        <w:tc>
          <w:tcPr>
            <w:tcW w:w="1680" w:type="dxa"/>
            <w:vAlign w:val="bottom"/>
            <w:gridSpan w:val="3"/>
          </w:tcPr>
          <w:p>
            <w:pPr>
              <w:jc w:val="right"/>
              <w:ind w:right="195"/>
              <w:spacing w:after="0"/>
              <w:rPr>
                <w:sz w:val="20"/>
                <w:szCs w:val="20"/>
                <w:color w:val="auto"/>
              </w:rPr>
            </w:pPr>
            <w:r>
              <w:rPr>
                <w:rFonts w:ascii="Times New Roman" w:cs="Times New Roman" w:eastAsia="Times New Roman" w:hAnsi="Times New Roman"/>
                <w:sz w:val="20"/>
                <w:szCs w:val="20"/>
                <w:color w:val="auto"/>
              </w:rPr>
              <w:t>8/11/2020</w:t>
            </w:r>
            <w:r>
              <w:rPr>
                <w:rFonts w:ascii="Times New Roman" w:cs="Times New Roman" w:eastAsia="Times New Roman" w:hAnsi="Times New Roman"/>
                <w:sz w:val="26"/>
                <w:szCs w:val="26"/>
                <w:color w:val="auto"/>
                <w:vertAlign w:val="superscript"/>
              </w:rPr>
              <w:t>(4)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7/1/2021</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22,923</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15,018</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8/10/2030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67" w:hanging="367"/>
        <w:spacing w:after="0" w:line="246" w:lineRule="auto"/>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stock options granted in years 2020 and 2021 have been granted pursuant to the terms of our 2017 Stock Option and Grant Plan, as amended, or our 2017 Plan. All stock options granted in year 2022 have been granted pursuant to the terms of our Amended and Restated 2021 Stock Option and Incentive Plan, or our 2021 Plan. Pursuant to provisions in our stock plans, the exercise price and number of shares subject to certain of these stock options were adjusted in connection with (i) the 1-for-10 reverse stock split that occurred on December 29, 2022 and (ii) our prior merger with Gemini Therapeutics, Inc., pursuant to which all of our shares of common stock were converted into shares of Gemini’s common stock based on an exchange ratio of 0.1096. Accordingly, the exercise prices shown in the table above (and in the corresponding footnotes) reflect our named executive officers’ post-reverse stock split holdings and post-conversion holdings.</w:t>
      </w:r>
    </w:p>
    <w:p>
      <w:pPr>
        <w:spacing w:after="0" w:line="87" w:lineRule="exact"/>
        <w:rPr>
          <w:rFonts w:ascii="Times New Roman" w:cs="Times New Roman" w:eastAsia="Times New Roman" w:hAnsi="Times New Roman"/>
          <w:sz w:val="16"/>
          <w:szCs w:val="16"/>
          <w:color w:val="auto"/>
        </w:rPr>
      </w:pPr>
    </w:p>
    <w:p>
      <w:pPr>
        <w:ind w:left="367" w:right="240" w:hanging="367"/>
        <w:spacing w:after="0" w:line="277" w:lineRule="auto"/>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stock option vests in 48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auto"/>
        </w:rPr>
      </w:pPr>
    </w:p>
    <w:p>
      <w:pPr>
        <w:ind w:left="367" w:right="140" w:hanging="367"/>
        <w:spacing w:after="0" w:line="277" w:lineRule="auto"/>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5,138 shares vested on February 25, 2021. The remaining 56,512 shares vest in 44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auto"/>
        </w:rPr>
      </w:pPr>
    </w:p>
    <w:p>
      <w:pPr>
        <w:ind w:left="367" w:right="400" w:hanging="367"/>
        <w:spacing w:after="0" w:line="277" w:lineRule="auto"/>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the shares vested on the one-year anniversary of the Vesting Commencement Date. The remaining shares vest in 36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auto"/>
        </w:rPr>
      </w:pPr>
    </w:p>
    <w:p>
      <w:pPr>
        <w:ind w:left="367" w:right="420" w:hanging="367"/>
        <w:spacing w:after="0" w:line="277" w:lineRule="auto"/>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2,140 shares vested on August 3, 2021. The remaining 8,135 shares vest in 38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auto"/>
        </w:rPr>
      </w:pPr>
    </w:p>
    <w:p>
      <w:pPr>
        <w:ind w:left="367" w:right="220" w:hanging="367"/>
        <w:spacing w:after="0" w:line="277" w:lineRule="auto"/>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stock option vests in 16 equal quarterly installments commencing on the three-month anniversary of the Vesting Commencement Date, subject to the named executive officer’s continuous service.</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Employment Arrangements for Named Executive Officers</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Dr. John Quisel</w:t>
      </w:r>
    </w:p>
    <w:p>
      <w:pPr>
        <w:spacing w:after="0" w:line="118" w:lineRule="exact"/>
        <w:rPr>
          <w:sz w:val="20"/>
          <w:szCs w:val="20"/>
          <w:color w:val="auto"/>
        </w:rPr>
      </w:pPr>
    </w:p>
    <w:p>
      <w:pPr>
        <w:ind w:left="7" w:right="100" w:firstLine="490"/>
        <w:spacing w:after="0" w:line="257" w:lineRule="auto"/>
        <w:rPr>
          <w:sz w:val="20"/>
          <w:szCs w:val="20"/>
          <w:color w:val="auto"/>
        </w:rPr>
      </w:pPr>
      <w:r>
        <w:rPr>
          <w:rFonts w:ascii="Times New Roman" w:cs="Times New Roman" w:eastAsia="Times New Roman" w:hAnsi="Times New Roman"/>
          <w:sz w:val="19"/>
          <w:szCs w:val="19"/>
          <w:color w:val="auto"/>
        </w:rPr>
        <w:t>On August 9, 2022, we entered into an employment agreement with Dr. Quisel effective as of December 29, 2022, or the Quisel Employment Agreement, who currently serves as our Chief Executive Officer, that supersedes his previous employment agreement. The Quisel Employment Agreement provides for Dr. Quisel’s at-will employment, an annual salary of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 The Quisel Employment Agreement also provides that upon a termination 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the executive’s target bonus pro-rated for the year of termination, any earned, but unpaid bonus for the fiscal year prior to the fiscal year of termination; acceleration of 25% of Dr. Quisel’s unvested and outstanding time-based vesting equity awards</w:t>
      </w:r>
    </w:p>
    <w:p>
      <w:pPr>
        <w:sectPr>
          <w:pgSz w:w="12240" w:h="15840" w:orient="portrait"/>
          <w:cols w:equalWidth="0" w:num="1">
            <w:col w:w="10447"/>
          </w:cols>
          <w:pgMar w:left="893" w:top="700" w:right="900" w:bottom="175" w:gutter="0" w:footer="0" w:header="0"/>
        </w:sectPr>
      </w:pPr>
    </w:p>
    <w:p>
      <w:pPr>
        <w:spacing w:after="0" w:line="37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10447"/>
          </w:cols>
          <w:pgMar w:left="893" w:top="700" w:right="900" w:bottom="175" w:gutter="0" w:footer="0" w:header="0"/>
          <w:type w:val="continuous"/>
        </w:sectPr>
      </w:pPr>
    </w:p>
    <w:bookmarkStart w:id="151" w:name="page152"/>
    <w:bookmarkEnd w:id="151"/>
    <w:p>
      <w:pPr>
        <w:spacing w:after="0" w:line="242" w:lineRule="auto"/>
        <w:rPr>
          <w:sz w:val="20"/>
          <w:szCs w:val="20"/>
          <w:color w:val="auto"/>
        </w:rPr>
      </w:pPr>
      <w:r>
        <w:rPr>
          <w:rFonts w:ascii="Times New Roman" w:cs="Times New Roman" w:eastAsia="Times New Roman" w:hAnsi="Times New Roman"/>
          <w:sz w:val="20"/>
          <w:szCs w:val="20"/>
          <w:color w:val="auto"/>
        </w:rPr>
        <w:t>and payment of COBRA premiums (subject to Dr. Quisel’s continued copayment of such premiums at the active employees’ rate) for up to 12 months following the termination date. 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 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Dr. William Savage</w:t>
      </w:r>
    </w:p>
    <w:p>
      <w:pPr>
        <w:spacing w:after="0" w:line="11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On August 9, 2022, we entered into an employment agreement with Dr. Savage effective as of December 29, 2022,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 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this then current base salary, plus 100% of his target bonus for the year of termination, plus any earned, but unpaid bonus for the fiscal year prior to the fiscal year of termination. .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 All severance 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Ms. Joanne Bryce</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On August 9, 2022, we entered into an employment agreement with Ms. Bryce effective as of December 29, 2022, or the Bryce Employment Agreement, who currently serves as our Chief Financial Officer, that supersedes her previous offer letter. The Bryce Employment Agreement provides for Ms. Bryce’s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her base salary and her eligibility to participate in the employee benefit plans generally available to our employees. The Bryce Employment Agreement also provides that upon a termination without cause (and not due to death or disability) or if Ms. Bryce resigns for good reason, in each case, outside of the period that is within 3 months prior to, or within 12 months after, the occurrence of the first event constituting a change in control, then Ms. Bryce is entitled to receive cash severance equal to continued base salary payments for 9 months, any earned, but unpaid bonus for the fiscal year prior to the fiscal year of termination, and payment of COBRA premiums (subject to Ms. Bryce’s continued copayment of such premiums at the active employees’ rate) for up to 9 months. If within 3 months prior to 12 months following a change of control, Ms. Bryce is terminated by the Company or successor involuntarily without cause (and not due to death or disability) or Ms. Bryce resigns for good reason, Ms. Bryce shall be entitled to cash severance equal to a lump sum cash payment equal to 12 months of her then current base salary, plus 100% of her target bonus for the year of termination, plus any earned, but unpaid bonus for the fiscal year prior to the fiscal year of termination. In addition, upon such a termination, all of Ms. Bryce’s outstanding equity awards subject to time-based vesting shall be immediately and fully accelerated and she shall be entitled to the</w:t>
      </w:r>
    </w:p>
    <w:p>
      <w:pPr>
        <w:sectPr>
          <w:pgSz w:w="12240" w:h="15840" w:orient="portrait"/>
          <w:cols w:equalWidth="0" w:num="1">
            <w:col w:w="10440"/>
          </w:cols>
          <w:pgMar w:left="900" w:top="700" w:right="900" w:bottom="175"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10440"/>
          </w:cols>
          <w:pgMar w:left="900" w:top="700" w:right="900" w:bottom="175" w:gutter="0" w:footer="0" w:header="0"/>
          <w:type w:val="continuous"/>
        </w:sectPr>
      </w:pPr>
    </w:p>
    <w:bookmarkStart w:id="152" w:name="page153"/>
    <w:bookmarkEnd w:id="152"/>
    <w:p>
      <w:pPr>
        <w:ind w:right="40"/>
        <w:spacing w:after="0" w:line="245" w:lineRule="auto"/>
        <w:rPr>
          <w:sz w:val="20"/>
          <w:szCs w:val="20"/>
          <w:color w:val="auto"/>
        </w:rPr>
      </w:pPr>
      <w:r>
        <w:rPr>
          <w:rFonts w:ascii="Times New Roman" w:cs="Times New Roman" w:eastAsia="Times New Roman" w:hAnsi="Times New Roman"/>
          <w:sz w:val="20"/>
          <w:szCs w:val="20"/>
          <w:color w:val="auto"/>
        </w:rPr>
        <w:t>payment of COBRA premiums (subject to Ms. Bryce’s continued copayment of such premiums at the active employees’ rate) for up to 12 months. All severance payments and benefits are conditioned upon Ms. Bryce’s execution of a release of claims in our favor. If as a result of a termination of his employment Ms. Bryce becomes subject to the excise tax imposed by Section 4999 of the Internal Revenue Code, Ms. Bryce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Bryce is also subject to our confidentiality, assignment, non-solicitation, and noncompetition policies.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Mr. Jonathan Yu</w:t>
      </w:r>
    </w:p>
    <w:p>
      <w:pPr>
        <w:spacing w:after="0" w:line="118"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On August 9, 2022, we entered into an employment agreement with Mr. Yu effective December 29, 2022, or the Yu Employment Agreement, who currently serves as our Chief Business Officer, that supersedes his previous offer letter. The Yu Employment Agreement provides for Mr. Yu’s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Yu Employment Agreement also provides that upon a termination without cause (and not due to death or disability) or if Mr. Yu resigns for good reason, in each case, outside of the period that is within 3 months prior to, or within 12 months after, the occurrence of the first event constituting a change in control, then Mr. Yu is entitled to receive cash severance equal to continued base salary payments for 9 months, any earned, but unpaid bonus for the fiscal year prior to the fiscal year of termination, and payment of COBRA premiums (subject to Mr. Yu’s continued copayment of such premiums at the active employees’ rate) for up to 9 months. If within 3 months prior to or 12 months following a change of control, Mr. Yu is terminated by the Company or successor involuntarily without cause (and not due to death or disability) or Mr. Yu resigns for good reason, Mr. Yu shall be entitled to a lump sum cash payment equal to 12 months of his then current base salary, plus 100% of his target bonus for the year of termination, plus any earned, but unpaid bonus for the fiscal year prior to the fiscal year of termination. In addition, upon such a termination, all of Mr. Yu’s outstanding equity awards subject to time-based vesting shall be immediately and fully accelerated and he shall be entitled to the payment of COBRA premiums (subject to Mr. Yu’s continued copayment of such premiums at the active employees’ rate) for up to 12 months. All severance payments and benefits are conditioned upon Mr. Yu’s execution of a release of claims in our favor. If as a result of a termination of his employment Mr. Yu becomes subject to the excise tax imposed by Section 4999 of the Internal Revenue Code, Mr. Yu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Mr. Yu is also subject to our confidentiality, assignment, non-solicitation, and noncompetition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Welfare Benefits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named executive officers, like all full-time employees, are eligible to participate in our health and welfare benefit plans.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Perquisites and Personal Benefits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generally do not provide perquisites to our executives.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401(k) Plan</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We did not provide a matching contribution to the named executive officers or to any employees in 2022.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r>
        <w:rPr>
          <w:rFonts w:ascii="Times New Roman" w:cs="Times New Roman" w:eastAsia="Times New Roman" w:hAnsi="Times New Roman"/>
          <w:sz w:val="20"/>
          <w:szCs w:val="20"/>
          <w:b w:val="1"/>
          <w:bCs w:val="1"/>
          <w:color w:val="auto"/>
        </w:rPr>
        <w:t>.</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10440"/>
          </w:cols>
          <w:pgMar w:left="900" w:top="700" w:right="900" w:bottom="175" w:gutter="0" w:footer="0" w:header="0"/>
          <w:type w:val="continuous"/>
        </w:sectPr>
      </w:pPr>
    </w:p>
    <w:bookmarkStart w:id="153" w:name="page154"/>
    <w:bookmarkEnd w:id="15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Non-Employee Director Compensation Table</w:t>
      </w:r>
    </w:p>
    <w:p>
      <w:pPr>
        <w:spacing w:after="0" w:line="120" w:lineRule="exact"/>
        <w:rPr>
          <w:sz w:val="20"/>
          <w:szCs w:val="20"/>
          <w:color w:val="auto"/>
        </w:rPr>
      </w:pPr>
    </w:p>
    <w:p>
      <w:pPr>
        <w:ind w:left="7" w:right="40" w:firstLine="490"/>
        <w:spacing w:after="0" w:line="249" w:lineRule="auto"/>
        <w:rPr>
          <w:sz w:val="20"/>
          <w:szCs w:val="20"/>
          <w:color w:val="auto"/>
        </w:rPr>
      </w:pPr>
      <w:r>
        <w:rPr>
          <w:rFonts w:ascii="Times New Roman" w:cs="Times New Roman" w:eastAsia="Times New Roman" w:hAnsi="Times New Roman"/>
          <w:sz w:val="20"/>
          <w:szCs w:val="20"/>
          <w:color w:val="auto"/>
        </w:rPr>
        <w:t>The following table presents the total compensation for each person who served as a non-employee member of our board of directors during the fiscal year ended December 31, 2022. Dr. Quisel, one of our directors who also serves as our Chief Executive Officer, does not receive any additional compensation for his service as a director. Dr. Quisel is one of our named executive officers and, accordingly, the compensation that we pay to Dr. Quisel is discussed above under ‘‘—2022 Summary Compensation Table’’ and ‘‘—Narrative to Summary Compensation Table.’’</w:t>
      </w:r>
    </w:p>
    <w:p>
      <w:pPr>
        <w:spacing w:after="0" w:line="77" w:lineRule="exact"/>
        <w:rPr>
          <w:sz w:val="20"/>
          <w:szCs w:val="20"/>
          <w:color w:val="auto"/>
        </w:rPr>
      </w:pPr>
    </w:p>
    <w:p>
      <w:pPr>
        <w:ind w:left="7" w:right="360" w:firstLine="490"/>
        <w:spacing w:after="0" w:line="258" w:lineRule="auto"/>
        <w:rPr>
          <w:sz w:val="20"/>
          <w:szCs w:val="20"/>
          <w:color w:val="auto"/>
        </w:rPr>
      </w:pPr>
      <w:r>
        <w:rPr>
          <w:rFonts w:ascii="Times New Roman" w:cs="Times New Roman" w:eastAsia="Times New Roman" w:hAnsi="Times New Roman"/>
          <w:sz w:val="20"/>
          <w:szCs w:val="20"/>
          <w:color w:val="auto"/>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2022 for their services as members of the board of directors.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6"/>
                <w:szCs w:val="16"/>
                <w:color w:val="auto"/>
              </w:rPr>
            </w:pPr>
          </w:p>
        </w:tc>
        <w:tc>
          <w:tcPr>
            <w:tcW w:w="178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Fees Earned or Paid</w:t>
            </w:r>
          </w:p>
        </w:tc>
        <w:tc>
          <w:tcPr>
            <w:tcW w:w="100" w:type="dxa"/>
            <w:vAlign w:val="bottom"/>
          </w:tcPr>
          <w:p>
            <w:pPr>
              <w:spacing w:after="0"/>
              <w:rPr>
                <w:sz w:val="16"/>
                <w:szCs w:val="16"/>
                <w:color w:val="auto"/>
              </w:rPr>
            </w:pPr>
          </w:p>
        </w:tc>
        <w:tc>
          <w:tcPr>
            <w:tcW w:w="1900" w:type="dxa"/>
            <w:vAlign w:val="bottom"/>
            <w:vMerge w:val="restart"/>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Option Awards ($)</w:t>
            </w:r>
            <w:r>
              <w:rPr>
                <w:rFonts w:ascii="Times New Roman" w:cs="Times New Roman" w:eastAsia="Times New Roman" w:hAnsi="Times New Roman"/>
                <w:sz w:val="10"/>
                <w:szCs w:val="10"/>
                <w:b w:val="1"/>
                <w:bCs w:val="1"/>
                <w:color w:val="auto"/>
              </w:rPr>
              <w:t>(1)(2)</w:t>
            </w:r>
          </w:p>
        </w:tc>
        <w:tc>
          <w:tcPr>
            <w:tcW w:w="120" w:type="dxa"/>
            <w:vAlign w:val="bottom"/>
          </w:tcPr>
          <w:p>
            <w:pPr>
              <w:spacing w:after="0"/>
              <w:rPr>
                <w:sz w:val="16"/>
                <w:szCs w:val="16"/>
                <w:color w:val="auto"/>
              </w:rPr>
            </w:pPr>
          </w:p>
        </w:tc>
        <w:tc>
          <w:tcPr>
            <w:tcW w:w="1640" w:type="dxa"/>
            <w:vAlign w:val="bottom"/>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in Cash ($)</w:t>
            </w:r>
          </w:p>
        </w:tc>
        <w:tc>
          <w:tcPr>
            <w:tcW w:w="10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760" w:type="dxa"/>
            <w:vAlign w:val="bottom"/>
            <w:gridSpan w:val="2"/>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0"/>
        </w:trPr>
        <w:tc>
          <w:tcPr>
            <w:tcW w:w="4800" w:type="dxa"/>
            <w:vAlign w:val="bottom"/>
            <w:tcBorders>
              <w:top w:val="single" w:sz="8" w:color="auto"/>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Donald Nicholson, Ph.D.</w:t>
            </w:r>
          </w:p>
        </w:tc>
        <w:tc>
          <w:tcPr>
            <w:tcW w:w="100" w:type="dxa"/>
            <w:vAlign w:val="bottom"/>
            <w:tcBorders>
              <w:top w:val="single" w:sz="8" w:color="D4EFF3"/>
            </w:tcBorders>
            <w:shd w:val="clear" w:color="auto" w:fill="D4EFF3"/>
          </w:tcPr>
          <w:p>
            <w:pPr>
              <w:spacing w:after="0"/>
              <w:rPr>
                <w:sz w:val="19"/>
                <w:szCs w:val="19"/>
                <w:color w:val="auto"/>
              </w:rPr>
            </w:pPr>
          </w:p>
        </w:tc>
        <w:tc>
          <w:tcPr>
            <w:tcW w:w="1780" w:type="dxa"/>
            <w:vAlign w:val="bottom"/>
            <w:tcBorders>
              <w:top w:val="single" w:sz="8" w:color="auto"/>
            </w:tcBorders>
            <w:shd w:val="clear" w:color="auto" w:fill="D4EFF3"/>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rPr>
              <w:t>150,000</w:t>
            </w:r>
          </w:p>
        </w:tc>
        <w:tc>
          <w:tcPr>
            <w:tcW w:w="100" w:type="dxa"/>
            <w:vAlign w:val="bottom"/>
            <w:tcBorders>
              <w:top w:val="single" w:sz="8" w:color="D4EFF3"/>
            </w:tcBorders>
            <w:shd w:val="clear" w:color="auto" w:fill="D4EFF3"/>
          </w:tcPr>
          <w:p>
            <w:pPr>
              <w:spacing w:after="0"/>
              <w:rPr>
                <w:sz w:val="19"/>
                <w:szCs w:val="19"/>
                <w:color w:val="auto"/>
              </w:rPr>
            </w:pPr>
          </w:p>
        </w:tc>
        <w:tc>
          <w:tcPr>
            <w:tcW w:w="1900" w:type="dxa"/>
            <w:vAlign w:val="bottom"/>
            <w:tcBorders>
              <w:top w:val="single" w:sz="8" w:color="auto"/>
            </w:tcBorders>
            <w:shd w:val="clear" w:color="auto" w:fill="D4EFF3"/>
          </w:tcPr>
          <w:p>
            <w:pPr>
              <w:jc w:val="right"/>
              <w:ind w:right="5"/>
              <w:spacing w:after="0" w:line="220" w:lineRule="exact"/>
              <w:rPr>
                <w:sz w:val="20"/>
                <w:szCs w:val="20"/>
                <w:color w:val="auto"/>
              </w:rPr>
            </w:pPr>
            <w:r>
              <w:rPr>
                <w:rFonts w:ascii="Times New Roman" w:cs="Times New Roman" w:eastAsia="Times New Roman" w:hAnsi="Times New Roman"/>
                <w:sz w:val="20"/>
                <w:szCs w:val="20"/>
                <w:color w:val="auto"/>
              </w:rPr>
              <w:t>54,186</w:t>
            </w:r>
          </w:p>
        </w:tc>
        <w:tc>
          <w:tcPr>
            <w:tcW w:w="120" w:type="dxa"/>
            <w:vAlign w:val="bottom"/>
            <w:tcBorders>
              <w:top w:val="single" w:sz="8" w:color="D4EFF3"/>
            </w:tcBorders>
            <w:shd w:val="clear" w:color="auto" w:fill="D4EFF3"/>
          </w:tcPr>
          <w:p>
            <w:pPr>
              <w:spacing w:after="0"/>
              <w:rPr>
                <w:sz w:val="19"/>
                <w:szCs w:val="19"/>
                <w:color w:val="auto"/>
              </w:rPr>
            </w:pPr>
          </w:p>
        </w:tc>
        <w:tc>
          <w:tcPr>
            <w:tcW w:w="1640" w:type="dxa"/>
            <w:vAlign w:val="bottom"/>
            <w:tcBorders>
              <w:top w:val="single" w:sz="8" w:color="auto"/>
            </w:tcBorders>
            <w:shd w:val="clear" w:color="auto" w:fill="D4EFF3"/>
          </w:tcPr>
          <w:p>
            <w:pPr>
              <w:jc w:val="right"/>
              <w:ind w:right="5"/>
              <w:spacing w:after="0" w:line="220" w:lineRule="exact"/>
              <w:rPr>
                <w:sz w:val="20"/>
                <w:szCs w:val="20"/>
                <w:color w:val="auto"/>
              </w:rPr>
            </w:pPr>
            <w:r>
              <w:rPr>
                <w:rFonts w:ascii="Times New Roman" w:cs="Times New Roman" w:eastAsia="Times New Roman" w:hAnsi="Times New Roman"/>
                <w:sz w:val="20"/>
                <w:szCs w:val="20"/>
                <w:color w:val="auto"/>
              </w:rPr>
              <w:t>204,186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William White, MPP, J.D.</w:t>
            </w:r>
          </w:p>
        </w:tc>
        <w:tc>
          <w:tcPr>
            <w:tcW w:w="100" w:type="dxa"/>
            <w:vAlign w:val="bottom"/>
          </w:tcPr>
          <w:p>
            <w:pPr>
              <w:spacing w:after="0"/>
              <w:rPr>
                <w:sz w:val="19"/>
                <w:szCs w:val="19"/>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50,000</w:t>
            </w:r>
          </w:p>
        </w:tc>
        <w:tc>
          <w:tcPr>
            <w:tcW w:w="100" w:type="dxa"/>
            <w:vAlign w:val="bottom"/>
          </w:tcPr>
          <w:p>
            <w:pPr>
              <w:spacing w:after="0"/>
              <w:rPr>
                <w:sz w:val="19"/>
                <w:szCs w:val="19"/>
                <w:color w:val="auto"/>
              </w:rPr>
            </w:pPr>
          </w:p>
        </w:tc>
        <w:tc>
          <w:tcPr>
            <w:tcW w:w="1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120" w:type="dxa"/>
            <w:vAlign w:val="bottom"/>
          </w:tcPr>
          <w:p>
            <w:pPr>
              <w:spacing w:after="0"/>
              <w:rPr>
                <w:sz w:val="19"/>
                <w:szCs w:val="19"/>
                <w:color w:val="auto"/>
              </w:rPr>
            </w:pPr>
          </w:p>
        </w:tc>
        <w:tc>
          <w:tcPr>
            <w:tcW w:w="16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105,186</w:t>
            </w:r>
          </w:p>
        </w:tc>
        <w:tc>
          <w:tcPr>
            <w:tcW w:w="0" w:type="dxa"/>
            <w:vAlign w:val="bottom"/>
          </w:tcPr>
          <w:p>
            <w:pPr>
              <w:spacing w:after="0"/>
              <w:rPr>
                <w:sz w:val="1"/>
                <w:szCs w:val="1"/>
                <w:color w:val="auto"/>
              </w:rPr>
            </w:pPr>
          </w:p>
        </w:tc>
      </w:tr>
      <w:tr>
        <w:trPr>
          <w:trHeight w:val="230"/>
        </w:trPr>
        <w:tc>
          <w:tcPr>
            <w:tcW w:w="48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Jay Backstrom, MD, M.P.H.</w:t>
            </w:r>
          </w:p>
        </w:tc>
        <w:tc>
          <w:tcPr>
            <w:tcW w:w="1880" w:type="dxa"/>
            <w:vAlign w:val="bottom"/>
            <w:gridSpan w:val="2"/>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40,000</w:t>
            </w:r>
          </w:p>
        </w:tc>
        <w:tc>
          <w:tcPr>
            <w:tcW w:w="2000" w:type="dxa"/>
            <w:vAlign w:val="bottom"/>
            <w:gridSpan w:val="2"/>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1760" w:type="dxa"/>
            <w:vAlign w:val="bottom"/>
            <w:gridSpan w:val="2"/>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94,186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Mona Ashiya, Ph.D.</w:t>
            </w:r>
          </w:p>
        </w:tc>
        <w:tc>
          <w:tcPr>
            <w:tcW w:w="100" w:type="dxa"/>
            <w:vAlign w:val="bottom"/>
          </w:tcPr>
          <w:p>
            <w:pPr>
              <w:spacing w:after="0"/>
              <w:rPr>
                <w:sz w:val="20"/>
                <w:szCs w:val="20"/>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176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0" w:type="dxa"/>
            <w:vAlign w:val="bottom"/>
          </w:tcPr>
          <w:p>
            <w:pPr>
              <w:spacing w:after="0"/>
              <w:rPr>
                <w:sz w:val="1"/>
                <w:szCs w:val="1"/>
                <w:color w:val="auto"/>
              </w:rPr>
            </w:pPr>
          </w:p>
        </w:tc>
      </w:tr>
      <w:tr>
        <w:trPr>
          <w:trHeight w:val="230"/>
        </w:trPr>
        <w:tc>
          <w:tcPr>
            <w:tcW w:w="48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Kevin Bitterman, Ph.D.</w:t>
            </w:r>
          </w:p>
        </w:tc>
        <w:tc>
          <w:tcPr>
            <w:tcW w:w="100" w:type="dxa"/>
            <w:vAlign w:val="bottom"/>
            <w:shd w:val="clear" w:color="auto" w:fill="D4EFF3"/>
          </w:tcPr>
          <w:p>
            <w:pPr>
              <w:spacing w:after="0"/>
              <w:rPr>
                <w:sz w:val="19"/>
                <w:szCs w:val="19"/>
                <w:color w:val="auto"/>
              </w:rPr>
            </w:pPr>
          </w:p>
        </w:tc>
        <w:tc>
          <w:tcPr>
            <w:tcW w:w="178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1760" w:type="dxa"/>
            <w:vAlign w:val="bottom"/>
            <w:gridSpan w:val="2"/>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Mark Chin, MS, MBA</w:t>
            </w:r>
          </w:p>
        </w:tc>
        <w:tc>
          <w:tcPr>
            <w:tcW w:w="100" w:type="dxa"/>
            <w:vAlign w:val="bottom"/>
          </w:tcPr>
          <w:p>
            <w:pPr>
              <w:spacing w:after="0"/>
              <w:rPr>
                <w:sz w:val="19"/>
                <w:szCs w:val="19"/>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176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0" w:type="dxa"/>
            <w:vAlign w:val="bottom"/>
          </w:tcPr>
          <w:p>
            <w:pPr>
              <w:spacing w:after="0"/>
              <w:rPr>
                <w:sz w:val="1"/>
                <w:szCs w:val="1"/>
                <w:color w:val="auto"/>
              </w:rPr>
            </w:pPr>
          </w:p>
        </w:tc>
      </w:tr>
      <w:tr>
        <w:trPr>
          <w:trHeight w:val="230"/>
        </w:trPr>
        <w:tc>
          <w:tcPr>
            <w:tcW w:w="48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Liam Ratcliffe, MD, Ph.D.</w:t>
            </w:r>
          </w:p>
        </w:tc>
        <w:tc>
          <w:tcPr>
            <w:tcW w:w="100" w:type="dxa"/>
            <w:vAlign w:val="bottom"/>
            <w:shd w:val="clear" w:color="auto" w:fill="D4EFF3"/>
          </w:tcPr>
          <w:p>
            <w:pPr>
              <w:spacing w:after="0"/>
              <w:rPr>
                <w:sz w:val="19"/>
                <w:szCs w:val="19"/>
                <w:color w:val="auto"/>
              </w:rPr>
            </w:pPr>
          </w:p>
        </w:tc>
        <w:tc>
          <w:tcPr>
            <w:tcW w:w="178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1760" w:type="dxa"/>
            <w:vAlign w:val="bottom"/>
            <w:gridSpan w:val="2"/>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0" w:type="dxa"/>
            <w:vAlign w:val="bottom"/>
          </w:tcPr>
          <w:p>
            <w:pPr>
              <w:spacing w:after="0"/>
              <w:rPr>
                <w:sz w:val="1"/>
                <w:szCs w:val="1"/>
                <w:color w:val="auto"/>
              </w:rPr>
            </w:pPr>
          </w:p>
        </w:tc>
      </w:tr>
      <w:tr>
        <w:trPr>
          <w:trHeight w:val="230"/>
        </w:trPr>
        <w:tc>
          <w:tcPr>
            <w:tcW w:w="48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Georges Gemayel, Ph.D</w:t>
            </w:r>
            <w:r>
              <w:rPr>
                <w:rFonts w:ascii="Times New Roman" w:cs="Times New Roman" w:eastAsia="Times New Roman" w:hAnsi="Times New Roman"/>
                <w:sz w:val="26"/>
                <w:szCs w:val="26"/>
                <w:color w:val="auto"/>
                <w:vertAlign w:val="superscript"/>
              </w:rPr>
              <w:t>(3)</w:t>
            </w:r>
          </w:p>
        </w:tc>
        <w:tc>
          <w:tcPr>
            <w:tcW w:w="100" w:type="dxa"/>
            <w:vAlign w:val="bottom"/>
          </w:tcPr>
          <w:p>
            <w:pPr>
              <w:spacing w:after="0"/>
              <w:rPr>
                <w:sz w:val="19"/>
                <w:szCs w:val="19"/>
                <w:color w:val="auto"/>
              </w:rPr>
            </w:pPr>
          </w:p>
        </w:tc>
        <w:tc>
          <w:tcPr>
            <w:tcW w:w="1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176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54,186</w:t>
            </w:r>
          </w:p>
        </w:tc>
        <w:tc>
          <w:tcPr>
            <w:tcW w:w="0" w:type="dxa"/>
            <w:vAlign w:val="bottom"/>
          </w:tcPr>
          <w:p>
            <w:pPr>
              <w:spacing w:after="0"/>
              <w:rPr>
                <w:sz w:val="1"/>
                <w:szCs w:val="1"/>
                <w:color w:val="auto"/>
              </w:rPr>
            </w:pPr>
          </w:p>
        </w:tc>
      </w:tr>
      <w:tr>
        <w:trPr>
          <w:trHeight w:val="230"/>
        </w:trPr>
        <w:tc>
          <w:tcPr>
            <w:tcW w:w="4800" w:type="dxa"/>
            <w:vAlign w:val="bottom"/>
            <w:shd w:val="clear" w:color="auto" w:fill="D4EFF3"/>
          </w:tcPr>
          <w:p>
            <w:pPr>
              <w:spacing w:after="0" w:line="230" w:lineRule="exact"/>
              <w:rPr>
                <w:sz w:val="20"/>
                <w:szCs w:val="20"/>
                <w:color w:val="auto"/>
              </w:rPr>
            </w:pPr>
            <w:r>
              <w:rPr>
                <w:rFonts w:ascii="Times New Roman" w:cs="Times New Roman" w:eastAsia="Times New Roman" w:hAnsi="Times New Roman"/>
                <w:sz w:val="20"/>
                <w:szCs w:val="20"/>
                <w:color w:val="auto"/>
              </w:rPr>
              <w:t>Eric Snyder, Ph.D</w:t>
            </w:r>
            <w:r>
              <w:rPr>
                <w:rFonts w:ascii="Times New Roman" w:cs="Times New Roman" w:eastAsia="Times New Roman" w:hAnsi="Times New Roman"/>
                <w:sz w:val="26"/>
                <w:szCs w:val="26"/>
                <w:color w:val="auto"/>
                <w:vertAlign w:val="superscript"/>
              </w:rPr>
              <w:t>(4)</w:t>
            </w:r>
          </w:p>
        </w:tc>
        <w:tc>
          <w:tcPr>
            <w:tcW w:w="100" w:type="dxa"/>
            <w:vAlign w:val="bottom"/>
            <w:shd w:val="clear" w:color="auto" w:fill="D4EFF3"/>
          </w:tcPr>
          <w:p>
            <w:pPr>
              <w:spacing w:after="0"/>
              <w:rPr>
                <w:sz w:val="19"/>
                <w:szCs w:val="19"/>
                <w:color w:val="auto"/>
              </w:rPr>
            </w:pPr>
          </w:p>
        </w:tc>
        <w:tc>
          <w:tcPr>
            <w:tcW w:w="1780" w:type="dxa"/>
            <w:vAlign w:val="bottom"/>
            <w:shd w:val="clear" w:color="auto" w:fill="D4EFF3"/>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3"/>
          </w:tcPr>
          <w:p>
            <w:pPr>
              <w:spacing w:after="0"/>
              <w:rPr>
                <w:sz w:val="19"/>
                <w:szCs w:val="19"/>
                <w:color w:val="auto"/>
              </w:rPr>
            </w:pPr>
          </w:p>
        </w:tc>
        <w:tc>
          <w:tcPr>
            <w:tcW w:w="190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spacing w:after="0"/>
              <w:rPr>
                <w:sz w:val="19"/>
                <w:szCs w:val="19"/>
                <w:color w:val="auto"/>
              </w:rPr>
            </w:pPr>
          </w:p>
        </w:tc>
        <w:tc>
          <w:tcPr>
            <w:tcW w:w="164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7" w:hanging="367"/>
        <w:spacing w:after="0" w:line="249" w:lineRule="auto"/>
        <w:tabs>
          <w:tab w:leader="none" w:pos="36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aggregate grant date fair value of the stock options awarded to the non-employee directors during fiscal year 2022, calculated in accordance with FASB ASC Topic 718. The assumptions used in calculating the grant date fair value of the awards reported in this column are set forth in Note 2 to our consolidated financial statements included in this Annual Report on Form 10-K. The amounts reported in this column reflect the accounting cost for the stock options and does not correspond to the actual economic value that may be received upon exercise of the stock option or any sale of any of the underlying shares of common stock.</w:t>
      </w:r>
    </w:p>
    <w:p>
      <w:pPr>
        <w:spacing w:after="0" w:line="85" w:lineRule="exact"/>
        <w:rPr>
          <w:rFonts w:ascii="Times New Roman" w:cs="Times New Roman" w:eastAsia="Times New Roman" w:hAnsi="Times New Roman"/>
          <w:sz w:val="16"/>
          <w:szCs w:val="16"/>
          <w:color w:val="auto"/>
        </w:rPr>
      </w:pPr>
    </w:p>
    <w:p>
      <w:pPr>
        <w:ind w:left="367" w:right="180" w:hanging="367"/>
        <w:spacing w:after="0" w:line="277" w:lineRule="auto"/>
        <w:tabs>
          <w:tab w:leader="none" w:pos="36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our non-employee members of our board of directors held the following aggregate number of unexercised options and unvested shares of restricted stock as of such date:</w:t>
      </w:r>
    </w:p>
    <w:p>
      <w:pPr>
        <w:spacing w:after="0" w:line="123" w:lineRule="exact"/>
        <w:rPr>
          <w:sz w:val="20"/>
          <w:szCs w:val="20"/>
          <w:color w:val="auto"/>
        </w:rPr>
      </w:pPr>
    </w:p>
    <w:tbl>
      <w:tblPr>
        <w:tblLayout w:type="fixed"/>
        <w:tblInd w:w="427"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00" w:type="dxa"/>
            <w:vAlign w:val="bottom"/>
          </w:tcPr>
          <w:p>
            <w:pPr>
              <w:spacing w:after="0"/>
              <w:rPr>
                <w:sz w:val="15"/>
                <w:szCs w:val="15"/>
                <w:color w:val="auto"/>
              </w:rPr>
            </w:pPr>
          </w:p>
        </w:tc>
        <w:tc>
          <w:tcPr>
            <w:tcW w:w="15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Unvested</w:t>
            </w:r>
          </w:p>
        </w:tc>
        <w:tc>
          <w:tcPr>
            <w:tcW w:w="0" w:type="dxa"/>
            <w:vAlign w:val="bottom"/>
          </w:tcPr>
          <w:p>
            <w:pPr>
              <w:spacing w:after="0"/>
              <w:rPr>
                <w:sz w:val="1"/>
                <w:szCs w:val="1"/>
                <w:color w:val="auto"/>
              </w:rPr>
            </w:pPr>
          </w:p>
        </w:tc>
      </w:tr>
      <w:tr>
        <w:trPr>
          <w:trHeight w:val="184"/>
        </w:trPr>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5"/>
                <w:szCs w:val="15"/>
                <w:color w:val="auto"/>
              </w:rPr>
            </w:pPr>
          </w:p>
        </w:tc>
        <w:tc>
          <w:tcPr>
            <w:tcW w:w="15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4EFF3"/>
            </w:tcBorders>
          </w:tcPr>
          <w:p>
            <w:pPr>
              <w:spacing w:after="0"/>
              <w:rPr>
                <w:sz w:val="17"/>
                <w:szCs w:val="17"/>
                <w:color w:val="auto"/>
              </w:rPr>
            </w:pPr>
          </w:p>
        </w:tc>
        <w:tc>
          <w:tcPr>
            <w:tcW w:w="15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Borders>
              <w:bottom w:val="single" w:sz="8" w:color="D4EFF3"/>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174"/>
        </w:trPr>
        <w:tc>
          <w:tcPr>
            <w:tcW w:w="6720" w:type="dxa"/>
            <w:vAlign w:val="bottom"/>
            <w:shd w:val="clear" w:color="auto" w:fill="D4EFF3"/>
          </w:tcPr>
          <w:p>
            <w:pPr>
              <w:spacing w:after="0" w:line="174" w:lineRule="exact"/>
              <w:rPr>
                <w:sz w:val="20"/>
                <w:szCs w:val="20"/>
                <w:color w:val="auto"/>
              </w:rPr>
            </w:pPr>
            <w:r>
              <w:rPr>
                <w:rFonts w:ascii="Times New Roman" w:cs="Times New Roman" w:eastAsia="Times New Roman" w:hAnsi="Times New Roman"/>
                <w:sz w:val="16"/>
                <w:szCs w:val="16"/>
                <w:color w:val="auto"/>
              </w:rPr>
              <w:t>Donald Nicholson, Ph.D</w:t>
            </w:r>
          </w:p>
        </w:tc>
        <w:tc>
          <w:tcPr>
            <w:tcW w:w="100" w:type="dxa"/>
            <w:vAlign w:val="bottom"/>
            <w:shd w:val="clear" w:color="auto" w:fill="D4EFF3"/>
          </w:tcPr>
          <w:p>
            <w:pPr>
              <w:spacing w:after="0"/>
              <w:rPr>
                <w:sz w:val="15"/>
                <w:szCs w:val="15"/>
                <w:color w:val="auto"/>
              </w:rPr>
            </w:pPr>
          </w:p>
        </w:tc>
        <w:tc>
          <w:tcPr>
            <w:tcW w:w="1560" w:type="dxa"/>
            <w:vAlign w:val="bottom"/>
            <w:shd w:val="clear" w:color="auto" w:fill="D4EFF3"/>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128,462</w:t>
            </w:r>
          </w:p>
        </w:tc>
        <w:tc>
          <w:tcPr>
            <w:tcW w:w="100" w:type="dxa"/>
            <w:vAlign w:val="bottom"/>
            <w:shd w:val="clear" w:color="auto" w:fill="D4EFF3"/>
          </w:tcPr>
          <w:p>
            <w:pPr>
              <w:spacing w:after="0"/>
              <w:rPr>
                <w:sz w:val="15"/>
                <w:szCs w:val="15"/>
                <w:color w:val="auto"/>
              </w:rPr>
            </w:pPr>
          </w:p>
        </w:tc>
        <w:tc>
          <w:tcPr>
            <w:tcW w:w="1540" w:type="dxa"/>
            <w:vAlign w:val="bottom"/>
            <w:shd w:val="clear" w:color="auto" w:fill="D4EFF3"/>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William White, MPP, J.D</w:t>
            </w:r>
          </w:p>
        </w:tc>
        <w:tc>
          <w:tcPr>
            <w:tcW w:w="100" w:type="dxa"/>
            <w:vAlign w:val="bottom"/>
          </w:tcPr>
          <w:p>
            <w:pPr>
              <w:spacing w:after="0"/>
              <w:rPr>
                <w:sz w:val="15"/>
                <w:szCs w:val="15"/>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44,751</w:t>
            </w:r>
          </w:p>
        </w:tc>
        <w:tc>
          <w:tcPr>
            <w:tcW w:w="100" w:type="dxa"/>
            <w:vAlign w:val="bottom"/>
          </w:tcPr>
          <w:p>
            <w:pPr>
              <w:spacing w:after="0"/>
              <w:rPr>
                <w:sz w:val="15"/>
                <w:szCs w:val="15"/>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16"/>
                <w:szCs w:val="16"/>
                <w:color w:val="auto"/>
              </w:rPr>
              <w:t>Jay Backstrom, MD, M.P.H</w:t>
            </w:r>
          </w:p>
        </w:tc>
        <w:tc>
          <w:tcPr>
            <w:tcW w:w="1660" w:type="dxa"/>
            <w:vAlign w:val="bottom"/>
            <w:gridSpan w:val="2"/>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21,028</w:t>
            </w:r>
          </w:p>
        </w:tc>
        <w:tc>
          <w:tcPr>
            <w:tcW w:w="100" w:type="dxa"/>
            <w:vAlign w:val="bottom"/>
            <w:shd w:val="clear" w:color="auto" w:fill="D4EFF3"/>
          </w:tcPr>
          <w:p>
            <w:pPr>
              <w:spacing w:after="0"/>
              <w:rPr>
                <w:sz w:val="15"/>
                <w:szCs w:val="15"/>
                <w:color w:val="auto"/>
              </w:rPr>
            </w:pPr>
          </w:p>
        </w:tc>
        <w:tc>
          <w:tcPr>
            <w:tcW w:w="1540" w:type="dxa"/>
            <w:vAlign w:val="bottom"/>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Mona Ashiya, Ph.D</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5"/>
                <w:szCs w:val="15"/>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16"/>
                <w:szCs w:val="16"/>
                <w:color w:val="auto"/>
              </w:rPr>
              <w:t>Kevin Bitterman, Ph.D</w:t>
            </w:r>
          </w:p>
        </w:tc>
        <w:tc>
          <w:tcPr>
            <w:tcW w:w="1660" w:type="dxa"/>
            <w:vAlign w:val="bottom"/>
            <w:gridSpan w:val="2"/>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D4EFF3"/>
          </w:tcPr>
          <w:p>
            <w:pPr>
              <w:spacing w:after="0"/>
              <w:rPr>
                <w:sz w:val="15"/>
                <w:szCs w:val="15"/>
                <w:color w:val="auto"/>
              </w:rPr>
            </w:pPr>
          </w:p>
        </w:tc>
        <w:tc>
          <w:tcPr>
            <w:tcW w:w="1540" w:type="dxa"/>
            <w:vAlign w:val="bottom"/>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Mark Chin, MS, MBA</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5"/>
                <w:szCs w:val="15"/>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16"/>
                <w:szCs w:val="16"/>
                <w:color w:val="auto"/>
              </w:rPr>
              <w:t>Liam Ratcliffe, MD, Ph.D</w:t>
            </w:r>
          </w:p>
        </w:tc>
        <w:tc>
          <w:tcPr>
            <w:tcW w:w="1660" w:type="dxa"/>
            <w:vAlign w:val="bottom"/>
            <w:gridSpan w:val="2"/>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D4EFF3"/>
          </w:tcPr>
          <w:p>
            <w:pPr>
              <w:spacing w:after="0"/>
              <w:rPr>
                <w:sz w:val="15"/>
                <w:szCs w:val="15"/>
                <w:color w:val="auto"/>
              </w:rPr>
            </w:pPr>
          </w:p>
        </w:tc>
        <w:tc>
          <w:tcPr>
            <w:tcW w:w="1540" w:type="dxa"/>
            <w:vAlign w:val="bottom"/>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Georges Gemayel, Ph.D</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94,946</w:t>
            </w:r>
          </w:p>
        </w:tc>
        <w:tc>
          <w:tcPr>
            <w:tcW w:w="100" w:type="dxa"/>
            <w:vAlign w:val="bottom"/>
          </w:tcPr>
          <w:p>
            <w:pPr>
              <w:spacing w:after="0"/>
              <w:rPr>
                <w:sz w:val="15"/>
                <w:szCs w:val="15"/>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16"/>
                <w:szCs w:val="16"/>
                <w:color w:val="auto"/>
              </w:rPr>
              <w:t>Eric Snyder, Ph.D.</w:t>
            </w:r>
          </w:p>
        </w:tc>
        <w:tc>
          <w:tcPr>
            <w:tcW w:w="100" w:type="dxa"/>
            <w:vAlign w:val="bottom"/>
            <w:shd w:val="clear" w:color="auto" w:fill="D4EFF3"/>
          </w:tcPr>
          <w:p>
            <w:pPr>
              <w:spacing w:after="0"/>
              <w:rPr>
                <w:sz w:val="15"/>
                <w:szCs w:val="15"/>
                <w:color w:val="auto"/>
              </w:rPr>
            </w:pPr>
          </w:p>
        </w:tc>
        <w:tc>
          <w:tcPr>
            <w:tcW w:w="1560" w:type="dxa"/>
            <w:vAlign w:val="bottom"/>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4EFF3"/>
          </w:tcPr>
          <w:p>
            <w:pPr>
              <w:spacing w:after="0"/>
              <w:rPr>
                <w:sz w:val="15"/>
                <w:szCs w:val="15"/>
                <w:color w:val="auto"/>
              </w:rPr>
            </w:pPr>
          </w:p>
        </w:tc>
        <w:tc>
          <w:tcPr>
            <w:tcW w:w="1540" w:type="dxa"/>
            <w:vAlign w:val="bottom"/>
            <w:shd w:val="clear" w:color="auto" w:fill="D4EFF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255905</wp:posOffset>
                </wp:positionH>
                <wp:positionV relativeFrom="paragraph">
                  <wp:posOffset>104775</wp:posOffset>
                </wp:positionV>
                <wp:extent cx="13716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5pt,8.25pt" to="128.15pt,8.25pt" o:allowincell="f" strokecolor="#000000" strokeweight="0.75pt"/>
            </w:pict>
          </mc:Fallback>
        </mc:AlternateContent>
      </w:r>
    </w:p>
    <w:p>
      <w:pPr>
        <w:spacing w:after="0" w:line="178" w:lineRule="exact"/>
        <w:rPr>
          <w:sz w:val="20"/>
          <w:szCs w:val="20"/>
          <w:color w:val="auto"/>
        </w:rPr>
      </w:pPr>
    </w:p>
    <w:p>
      <w:pPr>
        <w:ind w:left="367" w:hanging="367"/>
        <w:spacing w:after="0"/>
        <w:tabs>
          <w:tab w:leader="none" w:pos="36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Gemayel joined our board of directors on December 29, 2022.</w:t>
      </w:r>
    </w:p>
    <w:p>
      <w:pPr>
        <w:spacing w:after="0" w:line="119" w:lineRule="exact"/>
        <w:rPr>
          <w:rFonts w:ascii="Times New Roman" w:cs="Times New Roman" w:eastAsia="Times New Roman" w:hAnsi="Times New Roman"/>
          <w:sz w:val="16"/>
          <w:szCs w:val="16"/>
          <w:color w:val="auto"/>
        </w:rPr>
      </w:pPr>
    </w:p>
    <w:p>
      <w:pPr>
        <w:ind w:left="367" w:right="80" w:hanging="367"/>
        <w:spacing w:after="0" w:line="277" w:lineRule="auto"/>
        <w:tabs>
          <w:tab w:leader="none" w:pos="36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Snyder resigned from our board of directors on December 29, 2022, and held no outstanding stock as he was not an independent member of the board of directors.</w:t>
      </w:r>
    </w:p>
    <w:p>
      <w:pPr>
        <w:spacing w:after="0" w:line="175" w:lineRule="exact"/>
        <w:rPr>
          <w:sz w:val="20"/>
          <w:szCs w:val="20"/>
          <w:color w:val="auto"/>
        </w:rPr>
      </w:pPr>
    </w:p>
    <w:p>
      <w:pPr>
        <w:ind w:left="1227" w:right="840" w:hanging="1223"/>
        <w:spacing w:after="0" w:line="286" w:lineRule="auto"/>
        <w:tabs>
          <w:tab w:leader="none" w:pos="1207"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3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Ownership of Our Common Stock</w:t>
      </w:r>
    </w:p>
    <w:p>
      <w:pPr>
        <w:spacing w:after="0" w:line="124" w:lineRule="exact"/>
        <w:rPr>
          <w:sz w:val="20"/>
          <w:szCs w:val="20"/>
          <w:color w:val="auto"/>
        </w:rPr>
      </w:pPr>
    </w:p>
    <w:p>
      <w:pPr>
        <w:ind w:left="7" w:right="60" w:firstLine="490"/>
        <w:spacing w:after="0" w:line="277" w:lineRule="auto"/>
        <w:rPr>
          <w:sz w:val="20"/>
          <w:szCs w:val="20"/>
          <w:color w:val="auto"/>
        </w:rPr>
      </w:pPr>
      <w:r>
        <w:rPr>
          <w:rFonts w:ascii="Times New Roman" w:cs="Times New Roman" w:eastAsia="Times New Roman" w:hAnsi="Times New Roman"/>
          <w:sz w:val="20"/>
          <w:szCs w:val="20"/>
          <w:color w:val="auto"/>
        </w:rPr>
        <w:t>Unless otherwise provided below, the following table sets forth information regarding beneficial ownership of our common stock as of February 28, 2023 by:</w:t>
      </w:r>
    </w:p>
    <w:p>
      <w:pPr>
        <w:spacing w:after="0" w:line="63" w:lineRule="exact"/>
        <w:rPr>
          <w:sz w:val="20"/>
          <w:szCs w:val="20"/>
          <w:color w:val="auto"/>
        </w:rPr>
      </w:pPr>
    </w:p>
    <w:p>
      <w:pPr>
        <w:ind w:left="727" w:right="440" w:hanging="367"/>
        <w:spacing w:after="0" w:line="276" w:lineRule="auto"/>
        <w:tabs>
          <w:tab w:leader="none" w:pos="727"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each person, or group of affiliated persons, known to us to be the beneficial owner of 5% or more of the outstanding shares of our common stock;</w:t>
      </w:r>
    </w:p>
    <w:p>
      <w:pPr>
        <w:spacing w:after="0" w:line="64" w:lineRule="exact"/>
        <w:rPr>
          <w:rFonts w:ascii="Arial" w:cs="Arial" w:eastAsia="Arial" w:hAnsi="Arial"/>
          <w:sz w:val="20"/>
          <w:szCs w:val="20"/>
          <w:color w:val="auto"/>
        </w:rPr>
      </w:pPr>
    </w:p>
    <w:p>
      <w:pPr>
        <w:ind w:left="727" w:hanging="367"/>
        <w:spacing w:after="0"/>
        <w:tabs>
          <w:tab w:leader="none" w:pos="727"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each of our current directors;</w:t>
      </w:r>
    </w:p>
    <w:p>
      <w:pPr>
        <w:sectPr>
          <w:pgSz w:w="12240" w:h="15840" w:orient="portrait"/>
          <w:cols w:equalWidth="0" w:num="1">
            <w:col w:w="10447"/>
          </w:cols>
          <w:pgMar w:left="893"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10447"/>
          </w:cols>
          <w:pgMar w:left="893" w:top="696" w:right="900" w:bottom="175" w:gutter="0" w:footer="0" w:header="0"/>
          <w:type w:val="continuous"/>
        </w:sectPr>
      </w:pPr>
    </w:p>
    <w:bookmarkStart w:id="154" w:name="page155"/>
    <w:bookmarkEnd w:id="154"/>
    <w:p>
      <w:pPr>
        <w:ind w:left="727" w:right="100" w:hanging="367"/>
        <w:spacing w:after="0" w:line="304" w:lineRule="auto"/>
        <w:tabs>
          <w:tab w:leader="none" w:pos="727" w:val="left"/>
        </w:tabs>
        <w:numPr>
          <w:ilvl w:val="0"/>
          <w:numId w:val="70"/>
        </w:numPr>
        <w:rPr>
          <w:rFonts w:ascii="Arial" w:cs="Arial" w:eastAsia="Arial" w:hAnsi="Arial"/>
          <w:sz w:val="19"/>
          <w:szCs w:val="19"/>
          <w:color w:val="auto"/>
        </w:rPr>
      </w:pPr>
      <w:r>
        <w:rPr>
          <w:rFonts w:ascii="Times New Roman" w:cs="Times New Roman" w:eastAsia="Times New Roman" w:hAnsi="Times New Roman"/>
          <w:sz w:val="19"/>
          <w:szCs w:val="19"/>
          <w:color w:val="auto"/>
        </w:rPr>
        <w:t>our principal executive officer and our other executive officers who served during the year ended December 31, 2022, named in the Summary Compensation table above, whom, collectively, we refer to as our named executive officers; and</w:t>
      </w:r>
    </w:p>
    <w:p>
      <w:pPr>
        <w:spacing w:after="0" w:line="39" w:lineRule="exact"/>
        <w:rPr>
          <w:rFonts w:ascii="Arial" w:cs="Arial" w:eastAsia="Arial" w:hAnsi="Arial"/>
          <w:sz w:val="19"/>
          <w:szCs w:val="19"/>
          <w:color w:val="auto"/>
        </w:rPr>
      </w:pPr>
    </w:p>
    <w:p>
      <w:pPr>
        <w:ind w:left="727" w:hanging="367"/>
        <w:spacing w:after="0"/>
        <w:tabs>
          <w:tab w:leader="none" w:pos="727"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all of our directors and executive officers as a group.</w:t>
      </w:r>
    </w:p>
    <w:p>
      <w:pPr>
        <w:spacing w:after="0" w:line="119" w:lineRule="exact"/>
        <w:rPr>
          <w:sz w:val="20"/>
          <w:szCs w:val="20"/>
          <w:color w:val="auto"/>
        </w:rPr>
      </w:pPr>
    </w:p>
    <w:p>
      <w:pPr>
        <w:ind w:left="7" w:firstLine="490"/>
        <w:spacing w:after="0" w:line="263" w:lineRule="auto"/>
        <w:rPr>
          <w:sz w:val="20"/>
          <w:szCs w:val="20"/>
          <w:color w:val="auto"/>
        </w:rPr>
      </w:pPr>
      <w:r>
        <w:rPr>
          <w:rFonts w:ascii="Times New Roman" w:cs="Times New Roman" w:eastAsia="Times New Roman" w:hAnsi="Times New Roman"/>
          <w:sz w:val="19"/>
          <w:szCs w:val="19"/>
          <w:color w:val="auto"/>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February 28, 2023.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63" w:lineRule="exact"/>
        <w:rPr>
          <w:sz w:val="20"/>
          <w:szCs w:val="20"/>
          <w:color w:val="auto"/>
        </w:rPr>
      </w:pPr>
    </w:p>
    <w:p>
      <w:pPr>
        <w:ind w:left="7" w:right="300" w:firstLine="490"/>
        <w:spacing w:after="0" w:line="258" w:lineRule="auto"/>
        <w:rPr>
          <w:sz w:val="20"/>
          <w:szCs w:val="20"/>
          <w:color w:val="auto"/>
        </w:rPr>
      </w:pPr>
      <w:r>
        <w:rPr>
          <w:rFonts w:ascii="Times New Roman" w:cs="Times New Roman" w:eastAsia="Times New Roman" w:hAnsi="Times New Roman"/>
          <w:sz w:val="20"/>
          <w:szCs w:val="20"/>
          <w:color w:val="auto"/>
        </w:rPr>
        <w:t>The column entitled “Percentage of Shares Beneficially Owned” is based on a total of 18,988,025 shares of our common stock outstanding as of February 28, 2023. Except as otherwise indicated in the footnotes below, the address of the beneficial owner is c/o Disc Medicine, Inc., 321 Arsenal Street, Suite 101, Watertown, MA 02472.</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152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60" w:type="dxa"/>
            <w:vAlign w:val="bottom"/>
          </w:tcPr>
          <w:p>
            <w:pPr>
              <w:spacing w:after="0"/>
              <w:rPr>
                <w:sz w:val="15"/>
                <w:szCs w:val="15"/>
                <w:color w:val="auto"/>
              </w:rPr>
            </w:pPr>
          </w:p>
        </w:tc>
        <w:tc>
          <w:tcPr>
            <w:tcW w:w="15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 w:type="dxa"/>
            <w:vAlign w:val="bottom"/>
          </w:tcPr>
          <w:p>
            <w:pPr>
              <w:spacing w:after="0"/>
              <w:rPr>
                <w:sz w:val="15"/>
                <w:szCs w:val="15"/>
                <w:color w:val="auto"/>
              </w:rPr>
            </w:pPr>
          </w:p>
        </w:tc>
        <w:tc>
          <w:tcPr>
            <w:tcW w:w="1640" w:type="dxa"/>
            <w:vAlign w:val="bottom"/>
            <w:vMerge w:val="restart"/>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0" w:type="dxa"/>
            <w:vAlign w:val="bottom"/>
          </w:tcPr>
          <w:p>
            <w:pPr>
              <w:spacing w:after="0"/>
              <w:rPr>
                <w:sz w:val="1"/>
                <w:szCs w:val="1"/>
                <w:color w:val="auto"/>
              </w:rPr>
            </w:pPr>
          </w:p>
        </w:tc>
      </w:tr>
      <w:tr>
        <w:trPr>
          <w:trHeight w:val="184"/>
        </w:trPr>
        <w:tc>
          <w:tcPr>
            <w:tcW w:w="7160" w:type="dxa"/>
            <w:vAlign w:val="bottom"/>
          </w:tcPr>
          <w:p>
            <w:pPr>
              <w:spacing w:after="0"/>
              <w:rPr>
                <w:sz w:val="15"/>
                <w:szCs w:val="15"/>
                <w:color w:val="auto"/>
              </w:rPr>
            </w:pPr>
          </w:p>
        </w:tc>
        <w:tc>
          <w:tcPr>
            <w:tcW w:w="152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60" w:type="dxa"/>
            <w:vAlign w:val="bottom"/>
          </w:tcPr>
          <w:p>
            <w:pPr>
              <w:spacing w:after="0"/>
              <w:rPr>
                <w:sz w:val="15"/>
                <w:szCs w:val="15"/>
                <w:color w:val="auto"/>
              </w:rPr>
            </w:pPr>
          </w:p>
        </w:tc>
        <w:tc>
          <w:tcPr>
            <w:tcW w:w="152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5"/>
                <w:szCs w:val="15"/>
                <w:color w:val="auto"/>
              </w:rPr>
            </w:pPr>
          </w:p>
        </w:tc>
        <w:tc>
          <w:tcPr>
            <w:tcW w:w="164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184"/>
        </w:trPr>
        <w:tc>
          <w:tcPr>
            <w:tcW w:w="7160" w:type="dxa"/>
            <w:vAlign w:val="bottom"/>
          </w:tcPr>
          <w:p>
            <w:pPr>
              <w:spacing w:after="0"/>
              <w:rPr>
                <w:sz w:val="15"/>
                <w:szCs w:val="15"/>
                <w:color w:val="auto"/>
              </w:rPr>
            </w:pPr>
          </w:p>
        </w:tc>
        <w:tc>
          <w:tcPr>
            <w:tcW w:w="15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0" w:type="dxa"/>
            <w:vAlign w:val="bottom"/>
          </w:tcPr>
          <w:p>
            <w:pPr>
              <w:spacing w:after="0"/>
              <w:rPr>
                <w:sz w:val="15"/>
                <w:szCs w:val="15"/>
                <w:color w:val="auto"/>
              </w:rPr>
            </w:pPr>
          </w:p>
        </w:tc>
        <w:tc>
          <w:tcPr>
            <w:tcW w:w="164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0" w:type="dxa"/>
            <w:vAlign w:val="bottom"/>
          </w:tcPr>
          <w:p>
            <w:pPr>
              <w:spacing w:after="0"/>
              <w:rPr>
                <w:sz w:val="1"/>
                <w:szCs w:val="1"/>
                <w:color w:val="auto"/>
              </w:rPr>
            </w:pPr>
          </w:p>
        </w:tc>
      </w:tr>
      <w:tr>
        <w:trPr>
          <w:trHeight w:val="203"/>
        </w:trPr>
        <w:tc>
          <w:tcPr>
            <w:tcW w:w="7160" w:type="dxa"/>
            <w:vAlign w:val="bottom"/>
            <w:tcBorders>
              <w:bottom w:val="single" w:sz="8" w:color="D4EFF3"/>
            </w:tcBorders>
          </w:tcPr>
          <w:p>
            <w:pPr>
              <w:spacing w:after="0"/>
              <w:rPr>
                <w:sz w:val="17"/>
                <w:szCs w:val="17"/>
                <w:color w:val="auto"/>
              </w:rPr>
            </w:pPr>
          </w:p>
        </w:tc>
        <w:tc>
          <w:tcPr>
            <w:tcW w:w="15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0" w:type="dxa"/>
            <w:vAlign w:val="bottom"/>
            <w:tcBorders>
              <w:bottom w:val="single" w:sz="8" w:color="D4EFF3"/>
            </w:tcBorders>
          </w:tcPr>
          <w:p>
            <w:pPr>
              <w:spacing w:after="0"/>
              <w:rPr>
                <w:sz w:val="17"/>
                <w:szCs w:val="17"/>
                <w:color w:val="auto"/>
              </w:rPr>
            </w:pPr>
          </w:p>
        </w:tc>
        <w:tc>
          <w:tcPr>
            <w:tcW w:w="16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20"/>
        </w:trPr>
        <w:tc>
          <w:tcPr>
            <w:tcW w:w="71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5% or Greater Stockholders</w:t>
            </w:r>
          </w:p>
        </w:tc>
        <w:tc>
          <w:tcPr>
            <w:tcW w:w="152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164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Entities affiliated with Atlas Venture Fund </w:t>
            </w:r>
            <w:r>
              <w:rPr>
                <w:rFonts w:ascii="Times New Roman" w:cs="Times New Roman" w:eastAsia="Times New Roman" w:hAnsi="Times New Roman"/>
                <w:sz w:val="26"/>
                <w:szCs w:val="26"/>
                <w:color w:val="auto"/>
                <w:vertAlign w:val="superscript"/>
              </w:rPr>
              <w:t>(1)</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3,461,784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AI DMI LLC </w:t>
            </w:r>
            <w:r>
              <w:rPr>
                <w:rFonts w:ascii="Times New Roman" w:cs="Times New Roman" w:eastAsia="Times New Roman" w:hAnsi="Times New Roman"/>
                <w:sz w:val="26"/>
                <w:szCs w:val="26"/>
                <w:color w:val="auto"/>
                <w:vertAlign w:val="superscript"/>
              </w:rPr>
              <w:t>(2)</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3,141,759</w:t>
            </w:r>
          </w:p>
        </w:tc>
        <w:tc>
          <w:tcPr>
            <w:tcW w:w="17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Novo Holdings A/S </w:t>
            </w:r>
            <w:r>
              <w:rPr>
                <w:rFonts w:ascii="Times New Roman" w:cs="Times New Roman" w:eastAsia="Times New Roman" w:hAnsi="Times New Roman"/>
                <w:sz w:val="26"/>
                <w:szCs w:val="26"/>
                <w:color w:val="auto"/>
                <w:vertAlign w:val="superscript"/>
              </w:rPr>
              <w:t>(3)</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2,340,772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12.33%</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Entities affiliated with OrbiMed </w:t>
            </w:r>
            <w:r>
              <w:rPr>
                <w:rFonts w:ascii="Times New Roman" w:cs="Times New Roman" w:eastAsia="Times New Roman" w:hAnsi="Times New Roman"/>
                <w:sz w:val="26"/>
                <w:szCs w:val="26"/>
                <w:color w:val="auto"/>
                <w:vertAlign w:val="superscript"/>
              </w:rPr>
              <w:t>(4)</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2,269,637</w:t>
            </w:r>
          </w:p>
        </w:tc>
        <w:tc>
          <w:tcPr>
            <w:tcW w:w="176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11.95%</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Bain Capital Life Sciences Opportunities III, LP </w:t>
            </w:r>
            <w:r>
              <w:rPr>
                <w:rFonts w:ascii="Times New Roman" w:cs="Times New Roman" w:eastAsia="Times New Roman" w:hAnsi="Times New Roman"/>
                <w:sz w:val="26"/>
                <w:szCs w:val="26"/>
                <w:color w:val="auto"/>
                <w:vertAlign w:val="superscript"/>
              </w:rPr>
              <w:t>(5)</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1,896,903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9.99%</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Directors, Named Executive Officers and Other Executive Officers</w:t>
            </w:r>
          </w:p>
        </w:tc>
        <w:tc>
          <w:tcPr>
            <w:tcW w:w="152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164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John Quisel, J.D., Ph.D.</w:t>
            </w:r>
            <w:r>
              <w:rPr>
                <w:rFonts w:ascii="Times New Roman" w:cs="Times New Roman" w:eastAsia="Times New Roman" w:hAnsi="Times New Roman"/>
                <w:sz w:val="26"/>
                <w:szCs w:val="26"/>
                <w:color w:val="auto"/>
                <w:vertAlign w:val="superscript"/>
              </w:rPr>
              <w:t>(6)</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309,202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line="230" w:lineRule="exact"/>
              <w:rPr>
                <w:sz w:val="20"/>
                <w:szCs w:val="20"/>
                <w:color w:val="auto"/>
              </w:rPr>
            </w:pPr>
            <w:r>
              <w:rPr>
                <w:rFonts w:ascii="Times New Roman" w:cs="Times New Roman" w:eastAsia="Times New Roman" w:hAnsi="Times New Roman"/>
                <w:sz w:val="20"/>
                <w:szCs w:val="20"/>
                <w:color w:val="auto"/>
              </w:rPr>
              <w:t>William Savage, MD, Ph.D.</w:t>
            </w:r>
            <w:r>
              <w:rPr>
                <w:rFonts w:ascii="Times New Roman" w:cs="Times New Roman" w:eastAsia="Times New Roman" w:hAnsi="Times New Roman"/>
                <w:sz w:val="26"/>
                <w:szCs w:val="26"/>
                <w:color w:val="auto"/>
                <w:vertAlign w:val="superscript"/>
              </w:rPr>
              <w:t>(7)</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59,265</w:t>
            </w:r>
          </w:p>
        </w:tc>
        <w:tc>
          <w:tcPr>
            <w:tcW w:w="1760" w:type="dxa"/>
            <w:vAlign w:val="bottom"/>
            <w:gridSpan w:val="2"/>
            <w:shd w:val="clear" w:color="auto" w:fill="D4EFF3"/>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Joanne Bryce, CPA </w:t>
            </w:r>
            <w:r>
              <w:rPr>
                <w:rFonts w:ascii="Times New Roman" w:cs="Times New Roman" w:eastAsia="Times New Roman" w:hAnsi="Times New Roman"/>
                <w:sz w:val="26"/>
                <w:szCs w:val="26"/>
                <w:color w:val="auto"/>
                <w:vertAlign w:val="superscript"/>
              </w:rPr>
              <w:t>(8)</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55,977</w:t>
            </w:r>
          </w:p>
        </w:tc>
        <w:tc>
          <w:tcPr>
            <w:tcW w:w="1760" w:type="dxa"/>
            <w:vAlign w:val="bottom"/>
            <w:gridSpan w:val="2"/>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Jonathan Yu </w:t>
            </w:r>
            <w:r>
              <w:rPr>
                <w:rFonts w:ascii="Times New Roman" w:cs="Times New Roman" w:eastAsia="Times New Roman" w:hAnsi="Times New Roman"/>
                <w:sz w:val="26"/>
                <w:szCs w:val="26"/>
                <w:color w:val="auto"/>
                <w:vertAlign w:val="superscript"/>
              </w:rPr>
              <w:t>(9)</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59,815</w:t>
            </w:r>
          </w:p>
        </w:tc>
        <w:tc>
          <w:tcPr>
            <w:tcW w:w="1760" w:type="dxa"/>
            <w:vAlign w:val="bottom"/>
            <w:gridSpan w:val="2"/>
            <w:shd w:val="clear" w:color="auto" w:fill="D4EFF3"/>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Mona Ashiya, Ph.D.</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40" w:type="dxa"/>
            <w:vAlign w:val="bottom"/>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line="230" w:lineRule="exact"/>
              <w:rPr>
                <w:sz w:val="20"/>
                <w:szCs w:val="20"/>
                <w:color w:val="auto"/>
              </w:rPr>
            </w:pPr>
            <w:r>
              <w:rPr>
                <w:rFonts w:ascii="Times New Roman" w:cs="Times New Roman" w:eastAsia="Times New Roman" w:hAnsi="Times New Roman"/>
                <w:sz w:val="20"/>
                <w:szCs w:val="20"/>
                <w:color w:val="auto"/>
              </w:rPr>
              <w:t>Jay Backstrom, MD, M.P.H.</w:t>
            </w:r>
            <w:r>
              <w:rPr>
                <w:rFonts w:ascii="Times New Roman" w:cs="Times New Roman" w:eastAsia="Times New Roman" w:hAnsi="Times New Roman"/>
                <w:sz w:val="26"/>
                <w:szCs w:val="26"/>
                <w:color w:val="auto"/>
                <w:vertAlign w:val="superscript"/>
              </w:rPr>
              <w:t>(10)</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8,907</w:t>
            </w:r>
          </w:p>
        </w:tc>
        <w:tc>
          <w:tcPr>
            <w:tcW w:w="1760" w:type="dxa"/>
            <w:vAlign w:val="bottom"/>
            <w:gridSpan w:val="2"/>
            <w:shd w:val="clear" w:color="auto" w:fill="D4EFF3"/>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Kevin Bitterman, Ph.D.</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40" w:type="dxa"/>
            <w:vAlign w:val="bottom"/>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rPr>
                <w:sz w:val="20"/>
                <w:szCs w:val="20"/>
                <w:color w:val="auto"/>
              </w:rPr>
            </w:pPr>
            <w:r>
              <w:rPr>
                <w:rFonts w:ascii="Times New Roman" w:cs="Times New Roman" w:eastAsia="Times New Roman" w:hAnsi="Times New Roman"/>
                <w:sz w:val="20"/>
                <w:szCs w:val="20"/>
                <w:color w:val="auto"/>
              </w:rPr>
              <w:t>Mark Chin, MS, MBA</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spacing w:after="0"/>
              <w:rPr>
                <w:sz w:val="19"/>
                <w:szCs w:val="19"/>
                <w:color w:val="auto"/>
              </w:rPr>
            </w:pPr>
          </w:p>
        </w:tc>
        <w:tc>
          <w:tcPr>
            <w:tcW w:w="1640" w:type="dxa"/>
            <w:vAlign w:val="bottom"/>
            <w:shd w:val="clear" w:color="auto" w:fill="D4EFF3"/>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Georges Gemayel</w:t>
            </w:r>
            <w:r>
              <w:rPr>
                <w:rFonts w:ascii="Times New Roman" w:cs="Times New Roman" w:eastAsia="Times New Roman" w:hAnsi="Times New Roman"/>
                <w:sz w:val="26"/>
                <w:szCs w:val="26"/>
                <w:color w:val="auto"/>
                <w:vertAlign w:val="superscript"/>
              </w:rPr>
              <w:t>(11)</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87,946</w:t>
            </w:r>
          </w:p>
        </w:tc>
        <w:tc>
          <w:tcPr>
            <w:tcW w:w="1760" w:type="dxa"/>
            <w:vAlign w:val="bottom"/>
            <w:gridSpan w:val="2"/>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line="230" w:lineRule="exact"/>
              <w:rPr>
                <w:sz w:val="20"/>
                <w:szCs w:val="20"/>
                <w:color w:val="auto"/>
              </w:rPr>
            </w:pPr>
            <w:r>
              <w:rPr>
                <w:rFonts w:ascii="Times New Roman" w:cs="Times New Roman" w:eastAsia="Times New Roman" w:hAnsi="Times New Roman"/>
                <w:sz w:val="20"/>
                <w:szCs w:val="20"/>
                <w:color w:val="auto"/>
              </w:rPr>
              <w:t>Donald Nicholson, Ph.D.</w:t>
            </w:r>
            <w:r>
              <w:rPr>
                <w:rFonts w:ascii="Times New Roman" w:cs="Times New Roman" w:eastAsia="Times New Roman" w:hAnsi="Times New Roman"/>
                <w:sz w:val="26"/>
                <w:szCs w:val="26"/>
                <w:color w:val="auto"/>
                <w:vertAlign w:val="superscript"/>
              </w:rPr>
              <w:t>(12)</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104,871</w:t>
            </w:r>
          </w:p>
        </w:tc>
        <w:tc>
          <w:tcPr>
            <w:tcW w:w="1760" w:type="dxa"/>
            <w:vAlign w:val="bottom"/>
            <w:gridSpan w:val="2"/>
            <w:shd w:val="clear" w:color="auto" w:fill="D4EFF3"/>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Liam Ratcliffe, MD, Ph.D.</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640" w:type="dxa"/>
            <w:vAlign w:val="bottom"/>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D4EFF3"/>
          </w:tcPr>
          <w:p>
            <w:pPr>
              <w:ind w:left="200"/>
              <w:spacing w:after="0" w:line="230" w:lineRule="exact"/>
              <w:rPr>
                <w:sz w:val="20"/>
                <w:szCs w:val="20"/>
                <w:color w:val="auto"/>
              </w:rPr>
            </w:pPr>
            <w:r>
              <w:rPr>
                <w:rFonts w:ascii="Times New Roman" w:cs="Times New Roman" w:eastAsia="Times New Roman" w:hAnsi="Times New Roman"/>
                <w:sz w:val="20"/>
                <w:szCs w:val="20"/>
                <w:color w:val="auto"/>
              </w:rPr>
              <w:t>William White, MPP, J.D.</w:t>
            </w:r>
            <w:r>
              <w:rPr>
                <w:rFonts w:ascii="Times New Roman" w:cs="Times New Roman" w:eastAsia="Times New Roman" w:hAnsi="Times New Roman"/>
                <w:sz w:val="26"/>
                <w:szCs w:val="26"/>
                <w:color w:val="auto"/>
                <w:vertAlign w:val="superscript"/>
              </w:rPr>
              <w:t>(13)</w:t>
            </w:r>
          </w:p>
        </w:tc>
        <w:tc>
          <w:tcPr>
            <w:tcW w:w="1520" w:type="dxa"/>
            <w:vAlign w:val="bottom"/>
            <w:shd w:val="clear" w:color="auto" w:fill="D4EFF3"/>
          </w:tcPr>
          <w:p>
            <w:pPr>
              <w:jc w:val="right"/>
              <w:ind w:right="5"/>
              <w:spacing w:after="0"/>
              <w:rPr>
                <w:sz w:val="20"/>
                <w:szCs w:val="20"/>
                <w:color w:val="auto"/>
              </w:rPr>
            </w:pPr>
            <w:r>
              <w:rPr>
                <w:rFonts w:ascii="Times New Roman" w:cs="Times New Roman" w:eastAsia="Times New Roman" w:hAnsi="Times New Roman"/>
                <w:sz w:val="20"/>
                <w:szCs w:val="20"/>
                <w:color w:val="auto"/>
              </w:rPr>
              <w:t>19,632</w:t>
            </w:r>
          </w:p>
        </w:tc>
        <w:tc>
          <w:tcPr>
            <w:tcW w:w="1760" w:type="dxa"/>
            <w:vAlign w:val="bottom"/>
            <w:gridSpan w:val="2"/>
            <w:shd w:val="clear" w:color="auto" w:fill="D4EFF3"/>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All executive officers and directors as a group (14 persons)</w:t>
            </w: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735,353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76835</wp:posOffset>
                </wp:positionV>
                <wp:extent cx="164592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59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05pt" to="128.15pt,6.05pt" o:allowincell="f" strokecolor="#000000" strokeweight="0.75pt"/>
            </w:pict>
          </mc:Fallback>
        </mc:AlternateContent>
      </w:r>
    </w:p>
    <w:p>
      <w:pPr>
        <w:spacing w:after="0" w:line="13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Represents beneficial ownership of less than 1% of our outstanding common stock.</w:t>
      </w:r>
    </w:p>
    <w:p>
      <w:pPr>
        <w:spacing w:after="0" w:line="120" w:lineRule="exact"/>
        <w:rPr>
          <w:sz w:val="20"/>
          <w:szCs w:val="20"/>
          <w:color w:val="auto"/>
        </w:rPr>
      </w:pPr>
    </w:p>
    <w:p>
      <w:pPr>
        <w:ind w:left="367" w:right="40" w:hanging="367"/>
        <w:spacing w:after="0" w:line="241" w:lineRule="auto"/>
        <w:tabs>
          <w:tab w:leader="none" w:pos="36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2,237,303 shares held by Atlas Venture Fund X, L.P., or Atlas Fund X, 955,155 shares held by Atlas Venture Opportunity Fund I, L.P., or AVOF I, 218,326 shares held by Atlas Venture Opportunity Fund II, L.P., or AVOF II, and 51,000 shares held by Atlas Venture Fund XII, L.P., or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or AVAO I LP, and the general partner of AVAO I LP is Atlas Venture Associates Opportunity I, LLC, or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or AVAO II LP, and the general partner of AVAO II LP is Atlas Venture Associates Opportunity II, LLC, or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or AVA XII LP. Atlas Venture Associates XII, LLC, or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sectPr>
          <w:pgSz w:w="12240" w:h="15840" w:orient="portrait"/>
          <w:cols w:equalWidth="0" w:num="1">
            <w:col w:w="10447"/>
          </w:cols>
          <w:pgMar w:left="893" w:top="71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10447"/>
          </w:cols>
          <w:pgMar w:left="893" w:top="714" w:right="900" w:bottom="175" w:gutter="0" w:footer="0" w:header="0"/>
          <w:type w:val="continuous"/>
        </w:sectPr>
      </w:pPr>
    </w:p>
    <w:bookmarkStart w:id="155" w:name="page156"/>
    <w:bookmarkEnd w:id="155"/>
    <w:p>
      <w:pPr>
        <w:ind w:left="367" w:right="120" w:hanging="367"/>
        <w:spacing w:after="0" w:line="247" w:lineRule="auto"/>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held by AI DMI LLC may be deemed to be beneficially owned by Access Industries Holdings LLC, or AIH, Access Industries Management, LLC, or AIM, and Len Blavatnik because (i) AIH indirectly controls all of the outstanding voting interests in AI ETI LLC, (ii) AIM controls AIH and (iii) Mr. Blavatnik controls AIM and holds a majority of the outstanding voting interests in AIH. Liam Ratcliffe, a member of our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spacing w:after="0" w:line="87" w:lineRule="exact"/>
        <w:rPr>
          <w:rFonts w:ascii="Times New Roman" w:cs="Times New Roman" w:eastAsia="Times New Roman" w:hAnsi="Times New Roman"/>
          <w:sz w:val="16"/>
          <w:szCs w:val="16"/>
          <w:color w:val="auto"/>
        </w:rPr>
      </w:pPr>
    </w:p>
    <w:p>
      <w:pPr>
        <w:ind w:left="367" w:right="20" w:hanging="367"/>
        <w:spacing w:after="0" w:line="252" w:lineRule="auto"/>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Novo Holdings A/S has the sole power to vote and dispose of the shares, and no individual or other entity is deemed to hold any beneficial ownership in the shares. Eric Snyder, Ph.D. is employed as a Partner at Novo Ventures (US), Inc., which provides certain consultancy services to Novo Holdings A/S, and is a former member of the Company’s Board. Dr. Snyder is not deemed to hold any beneficiary ownership or reportable pecuniary interest in the shares held by Novo Holdings A/S. The business address of Novo Holdings A/S is Tuborg Havnevej 19, 2900 Hellerup, Denmark.</w:t>
      </w:r>
    </w:p>
    <w:p>
      <w:pPr>
        <w:spacing w:after="0" w:line="83" w:lineRule="exact"/>
        <w:rPr>
          <w:rFonts w:ascii="Times New Roman" w:cs="Times New Roman" w:eastAsia="Times New Roman" w:hAnsi="Times New Roman"/>
          <w:sz w:val="16"/>
          <w:szCs w:val="16"/>
          <w:color w:val="auto"/>
        </w:rPr>
      </w:pPr>
    </w:p>
    <w:p>
      <w:pPr>
        <w:ind w:left="367" w:right="320" w:hanging="367"/>
        <w:spacing w:after="0" w:line="277" w:lineRule="auto"/>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OrbiMed Advisors LLC exercises voting and investment power through a management committee comprised of Carl L. Gordon, Sven H. Borho, and W. Carter Neild. The business address is 601 Lexington Avenue, 54th Floor, New York, NY 10022.</w:t>
      </w:r>
    </w:p>
    <w:p>
      <w:pPr>
        <w:spacing w:after="0" w:line="63" w:lineRule="exact"/>
        <w:rPr>
          <w:rFonts w:ascii="Times New Roman" w:cs="Times New Roman" w:eastAsia="Times New Roman" w:hAnsi="Times New Roman"/>
          <w:sz w:val="16"/>
          <w:szCs w:val="16"/>
          <w:color w:val="auto"/>
        </w:rPr>
      </w:pPr>
    </w:p>
    <w:p>
      <w:pPr>
        <w:ind w:left="367" w:hanging="367"/>
        <w:spacing w:after="0" w:line="244" w:lineRule="auto"/>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Bain Capital Life Sciences Investors, LLC, a Delaware limited liability company, or BCLSI, is the manager of Bain Capital Life Sciences III General Partner, LLC, a Delaware limited liability company, or BCLS Fund III GP, which is the general partner of Bain Capital Life Sciences Fund III, L.P., a Delaware limited partnership, or BCLS Fund III, which is the sole member of Bain Capital Life Sciences Opportunities III GP, a Delaware limited liability company, or BCLS III Opportunities GP, and, together with BCLSI, BCLS Fund III GP and BCLS Fund III, the Bain Capital Life Sciences Entities, which is the general partner of BCLSI. As a result, BCLSI may be deemed to share voting and dispositive power with respect to the securities held by BCLSI. As of February 24, 2022, BCLS III Opportunities GP holds 944,687 shares of Common Stock and pre-funded warrants to purchase 1,229,224 shares of Common Stock. As a result of a beneficial ownership blocker, beneficial ownership of Bain Capital Life Sciences Opportunities III, LP is capped at 9.99% of the outstanding shares of Common Stock, representing 1,896,903 shares of Common Stock calculated as described herein as of February 28, 2023.The business address of these entities is 200 Clarendon Street, Boston, Massachusetts 02116.</w:t>
      </w:r>
    </w:p>
    <w:p>
      <w:pPr>
        <w:spacing w:after="0" w:line="92"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309,202 shares of our common stock that are exercisable within 60 days of February 28, 2023.</w:t>
      </w:r>
    </w:p>
    <w:p>
      <w:pPr>
        <w:spacing w:after="0" w:line="119" w:lineRule="exact"/>
        <w:rPr>
          <w:rFonts w:ascii="Times New Roman" w:cs="Times New Roman" w:eastAsia="Times New Roman" w:hAnsi="Times New Roman"/>
          <w:sz w:val="16"/>
          <w:szCs w:val="16"/>
          <w:color w:val="auto"/>
        </w:rPr>
      </w:pPr>
    </w:p>
    <w:p>
      <w:pPr>
        <w:ind w:left="367" w:right="140" w:hanging="367"/>
        <w:spacing w:after="0" w:line="277" w:lineRule="auto"/>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20,325 shares of common stock and options to purchase 38,940 shares of our common stock that are exercisable within 60 days of February 28, 2023.</w:t>
      </w:r>
    </w:p>
    <w:p>
      <w:pPr>
        <w:spacing w:after="0" w:line="63" w:lineRule="exact"/>
        <w:rPr>
          <w:rFonts w:ascii="Times New Roman" w:cs="Times New Roman" w:eastAsia="Times New Roman" w:hAnsi="Times New Roman"/>
          <w:sz w:val="16"/>
          <w:szCs w:val="16"/>
          <w:color w:val="auto"/>
        </w:rPr>
      </w:pPr>
    </w:p>
    <w:p>
      <w:pPr>
        <w:ind w:left="367" w:right="220" w:hanging="367"/>
        <w:spacing w:after="0" w:line="277" w:lineRule="auto"/>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3,452 shares of common stock and options to purchase 52,525 shares of our common stock that are exercisable within 60 days of February 28, 2023.</w:t>
      </w:r>
    </w:p>
    <w:p>
      <w:pPr>
        <w:spacing w:after="0" w:line="63"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59,815 shares of our common stock that are exercisable within 60 days of February 28, 2023.</w:t>
      </w:r>
    </w:p>
    <w:p>
      <w:pPr>
        <w:spacing w:after="0" w:line="119"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8,907 shares of our common stock that are exercisable within 60 days of February 28, 2023.</w:t>
      </w:r>
    </w:p>
    <w:p>
      <w:pPr>
        <w:spacing w:after="0" w:line="119"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87,946 shares of our common stock that are exercisable within 60 days of February 28, 2023.</w:t>
      </w:r>
    </w:p>
    <w:p>
      <w:pPr>
        <w:spacing w:after="0" w:line="119" w:lineRule="exact"/>
        <w:rPr>
          <w:rFonts w:ascii="Times New Roman" w:cs="Times New Roman" w:eastAsia="Times New Roman" w:hAnsi="Times New Roman"/>
          <w:sz w:val="16"/>
          <w:szCs w:val="16"/>
          <w:color w:val="auto"/>
        </w:rPr>
      </w:pPr>
    </w:p>
    <w:p>
      <w:pPr>
        <w:ind w:left="367" w:right="140" w:hanging="367"/>
        <w:spacing w:after="0" w:line="277" w:lineRule="auto"/>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15,332 shares of common stock and options to purchase 89,539 shares of our common stock that are exercisable within 60 days of February 28, 2023.</w:t>
      </w:r>
    </w:p>
    <w:p>
      <w:pPr>
        <w:spacing w:after="0" w:line="63"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19,632 shares of our common stock that are exercisable within 60 days of February 28, 2023.</w:t>
      </w: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u w:val="single" w:color="auto"/>
          <w:color w:val="auto"/>
        </w:rPr>
        <w:t>Equity Compensation Plan Information</w:t>
      </w:r>
    </w:p>
    <w:p>
      <w:pPr>
        <w:spacing w:after="0" w:line="120"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The following table contains information about our equity compensation plans as of December 31, 2022.</w:t>
      </w:r>
    </w:p>
    <w:p>
      <w:pPr>
        <w:spacing w:after="0" w:line="116" w:lineRule="exact"/>
        <w:rPr>
          <w:sz w:val="20"/>
          <w:szCs w:val="20"/>
          <w:color w:val="auto"/>
        </w:rPr>
      </w:pPr>
    </w:p>
    <w:p>
      <w:pPr>
        <w:ind w:left="3527"/>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34"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20" w:type="dxa"/>
            <w:vAlign w:val="bottom"/>
          </w:tcPr>
          <w:p>
            <w:pPr>
              <w:spacing w:after="0"/>
              <w:rPr>
                <w:sz w:val="15"/>
                <w:szCs w:val="15"/>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securities to be</w:t>
            </w:r>
          </w:p>
        </w:tc>
        <w:tc>
          <w:tcPr>
            <w:tcW w:w="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20" w:type="dxa"/>
            <w:vAlign w:val="bottom"/>
          </w:tcPr>
          <w:p>
            <w:pPr>
              <w:spacing w:after="0"/>
              <w:rPr>
                <w:sz w:val="15"/>
                <w:szCs w:val="15"/>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future issuance</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issued upon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20" w:type="dxa"/>
            <w:vAlign w:val="bottom"/>
          </w:tcPr>
          <w:p>
            <w:pPr>
              <w:spacing w:after="0"/>
              <w:rPr>
                <w:sz w:val="15"/>
                <w:szCs w:val="15"/>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under equity</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5"/>
                <w:szCs w:val="15"/>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5"/>
                <w:szCs w:val="15"/>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plans (excluding</w:t>
            </w:r>
          </w:p>
        </w:tc>
        <w:tc>
          <w:tcPr>
            <w:tcW w:w="0" w:type="dxa"/>
            <w:vAlign w:val="bottom"/>
          </w:tcPr>
          <w:p>
            <w:pPr>
              <w:spacing w:after="0"/>
              <w:rPr>
                <w:sz w:val="1"/>
                <w:szCs w:val="1"/>
                <w:color w:val="auto"/>
              </w:rPr>
            </w:pPr>
          </w:p>
        </w:tc>
      </w:tr>
      <w:tr>
        <w:trPr>
          <w:trHeight w:val="184"/>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 w:type="dxa"/>
            <w:vAlign w:val="bottom"/>
          </w:tcPr>
          <w:p>
            <w:pPr>
              <w:spacing w:after="0"/>
              <w:rPr>
                <w:sz w:val="15"/>
                <w:szCs w:val="15"/>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options, warrants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warrants and</w:t>
            </w:r>
          </w:p>
        </w:tc>
        <w:tc>
          <w:tcPr>
            <w:tcW w:w="120" w:type="dxa"/>
            <w:vAlign w:val="bottom"/>
          </w:tcPr>
          <w:p>
            <w:pPr>
              <w:spacing w:after="0"/>
              <w:rPr>
                <w:sz w:val="15"/>
                <w:szCs w:val="15"/>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securities reflected</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in column (a))</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8"/>
              <w:spacing w:after="0" w:line="174"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12"/>
              <w:spacing w:after="0" w:line="174" w:lineRule="exact"/>
              <w:rPr>
                <w:sz w:val="20"/>
                <w:szCs w:val="20"/>
                <w:color w:val="auto"/>
              </w:rPr>
            </w:pPr>
            <w:r>
              <w:rPr>
                <w:rFonts w:ascii="Times New Roman" w:cs="Times New Roman" w:eastAsia="Times New Roman" w:hAnsi="Times New Roman"/>
                <w:sz w:val="16"/>
                <w:szCs w:val="16"/>
                <w:b w:val="1"/>
                <w:bCs w:val="1"/>
                <w:color w:val="auto"/>
                <w:w w:val="95"/>
              </w:rPr>
              <w:t>(b)</w:t>
            </w:r>
            <w:r>
              <w:rPr>
                <w:rFonts w:ascii="Times New Roman" w:cs="Times New Roman" w:eastAsia="Times New Roman" w:hAnsi="Times New Roman"/>
                <w:sz w:val="10"/>
                <w:szCs w:val="10"/>
                <w:b w:val="1"/>
                <w:bCs w:val="1"/>
                <w:color w:val="auto"/>
                <w:w w:val="95"/>
              </w:rPr>
              <w:t>(3)</w:t>
            </w:r>
          </w:p>
        </w:tc>
        <w:tc>
          <w:tcPr>
            <w:tcW w:w="120" w:type="dxa"/>
            <w:vAlign w:val="bottom"/>
          </w:tcPr>
          <w:p>
            <w:pPr>
              <w:spacing w:after="0"/>
              <w:rPr>
                <w:sz w:val="15"/>
                <w:szCs w:val="15"/>
                <w:color w:val="auto"/>
              </w:rPr>
            </w:pPr>
          </w:p>
        </w:tc>
        <w:tc>
          <w:tcPr>
            <w:tcW w:w="1380" w:type="dxa"/>
            <w:vAlign w:val="bottom"/>
          </w:tcPr>
          <w:p>
            <w:pPr>
              <w:jc w:val="center"/>
              <w:ind w:right="37"/>
              <w:spacing w:after="0" w:line="174" w:lineRule="exact"/>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D4EFF3"/>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20" w:type="dxa"/>
            <w:vAlign w:val="bottom"/>
            <w:shd w:val="clear" w:color="auto" w:fill="D4EFF3"/>
          </w:tcPr>
          <w:p>
            <w:pPr>
              <w:spacing w:after="0"/>
              <w:rPr>
                <w:sz w:val="19"/>
                <w:szCs w:val="19"/>
                <w:color w:val="auto"/>
              </w:rPr>
            </w:pPr>
          </w:p>
        </w:tc>
        <w:tc>
          <w:tcPr>
            <w:tcW w:w="1380" w:type="dxa"/>
            <w:vAlign w:val="bottom"/>
            <w:shd w:val="clear" w:color="auto" w:fill="D4EFF3"/>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114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138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5380" w:type="dxa"/>
            <w:vAlign w:val="bottom"/>
          </w:tcPr>
          <w:p>
            <w:pPr>
              <w:ind w:left="40"/>
              <w:spacing w:after="0" w:line="243" w:lineRule="exact"/>
              <w:rPr>
                <w:sz w:val="20"/>
                <w:szCs w:val="20"/>
                <w:color w:val="auto"/>
              </w:rPr>
            </w:pPr>
            <w:r>
              <w:rPr>
                <w:rFonts w:ascii="Times New Roman" w:cs="Times New Roman" w:eastAsia="Times New Roman" w:hAnsi="Times New Roman"/>
                <w:sz w:val="20"/>
                <w:szCs w:val="20"/>
                <w:color w:val="auto"/>
              </w:rPr>
              <w:t>Stock Option and Incentive Plan</w:t>
            </w:r>
            <w:r>
              <w:rPr>
                <w:rFonts w:ascii="Times New Roman" w:cs="Times New Roman" w:eastAsia="Times New Roman" w:hAnsi="Times New Roman"/>
                <w:sz w:val="26"/>
                <w:szCs w:val="26"/>
                <w:color w:val="auto"/>
                <w:vertAlign w:val="superscript"/>
              </w:rPr>
              <w:t>(1)</w:t>
            </w:r>
          </w:p>
        </w:tc>
        <w:tc>
          <w:tcPr>
            <w:tcW w:w="1500" w:type="dxa"/>
            <w:vAlign w:val="bottom"/>
            <w:gridSpan w:val="2"/>
          </w:tcPr>
          <w:p>
            <w:pPr>
              <w:jc w:val="right"/>
              <w:ind w:right="18"/>
              <w:spacing w:after="0"/>
              <w:rPr>
                <w:sz w:val="20"/>
                <w:szCs w:val="20"/>
                <w:color w:val="auto"/>
              </w:rPr>
            </w:pPr>
            <w:r>
              <w:rPr>
                <w:rFonts w:ascii="Times New Roman" w:cs="Times New Roman" w:eastAsia="Times New Roman" w:hAnsi="Times New Roman"/>
                <w:sz w:val="20"/>
                <w:szCs w:val="20"/>
                <w:color w:val="auto"/>
              </w:rPr>
              <w:t>833,812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25.98</w:t>
            </w:r>
          </w:p>
        </w:tc>
        <w:tc>
          <w:tcPr>
            <w:tcW w:w="150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color w:val="auto"/>
              </w:rPr>
              <w:t>1,031,615</w:t>
            </w:r>
          </w:p>
        </w:tc>
        <w:tc>
          <w:tcPr>
            <w:tcW w:w="0" w:type="dxa"/>
            <w:vAlign w:val="bottom"/>
          </w:tcPr>
          <w:p>
            <w:pPr>
              <w:spacing w:after="0"/>
              <w:rPr>
                <w:sz w:val="1"/>
                <w:szCs w:val="1"/>
                <w:color w:val="auto"/>
              </w:rPr>
            </w:pPr>
          </w:p>
        </w:tc>
      </w:tr>
      <w:tr>
        <w:trPr>
          <w:trHeight w:val="244"/>
        </w:trPr>
        <w:tc>
          <w:tcPr>
            <w:tcW w:w="6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5380" w:type="dxa"/>
            <w:vAlign w:val="bottom"/>
            <w:shd w:val="clear" w:color="auto" w:fill="D4EFF3"/>
          </w:tcPr>
          <w:p>
            <w:pPr>
              <w:ind w:left="40"/>
              <w:spacing w:after="0" w:line="243" w:lineRule="exact"/>
              <w:rPr>
                <w:sz w:val="20"/>
                <w:szCs w:val="20"/>
                <w:color w:val="auto"/>
              </w:rPr>
            </w:pPr>
            <w:r>
              <w:rPr>
                <w:rFonts w:ascii="Times New Roman" w:cs="Times New Roman" w:eastAsia="Times New Roman" w:hAnsi="Times New Roman"/>
                <w:sz w:val="20"/>
                <w:szCs w:val="20"/>
                <w:color w:val="auto"/>
              </w:rPr>
              <w:t>Employee Stock Purchase Plan</w:t>
            </w:r>
            <w:r>
              <w:rPr>
                <w:rFonts w:ascii="Times New Roman" w:cs="Times New Roman" w:eastAsia="Times New Roman" w:hAnsi="Times New Roman"/>
                <w:sz w:val="26"/>
                <w:szCs w:val="26"/>
                <w:color w:val="auto"/>
                <w:vertAlign w:val="superscript"/>
              </w:rPr>
              <w:t>(2)</w:t>
            </w:r>
          </w:p>
        </w:tc>
        <w:tc>
          <w:tcPr>
            <w:tcW w:w="120" w:type="dxa"/>
            <w:vAlign w:val="bottom"/>
            <w:shd w:val="clear" w:color="auto" w:fill="D4EFF3"/>
          </w:tcPr>
          <w:p>
            <w:pPr>
              <w:spacing w:after="0"/>
              <w:rPr>
                <w:sz w:val="21"/>
                <w:szCs w:val="21"/>
                <w:color w:val="auto"/>
              </w:rPr>
            </w:pPr>
          </w:p>
        </w:tc>
        <w:tc>
          <w:tcPr>
            <w:tcW w:w="1380" w:type="dxa"/>
            <w:vAlign w:val="bottom"/>
            <w:shd w:val="clear" w:color="auto" w:fill="D4EFF3"/>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D4EFF3"/>
          </w:tcPr>
          <w:p>
            <w:pPr>
              <w:ind w:left="1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gridSpan w:val="2"/>
            <w:shd w:val="clear" w:color="auto" w:fill="D4EFF3"/>
          </w:tcPr>
          <w:p>
            <w:pPr>
              <w:jc w:val="right"/>
              <w:ind w:right="17"/>
              <w:spacing w:after="0"/>
              <w:rPr>
                <w:sz w:val="20"/>
                <w:szCs w:val="20"/>
                <w:color w:val="auto"/>
              </w:rPr>
            </w:pPr>
            <w:r>
              <w:rPr>
                <w:rFonts w:ascii="Times New Roman" w:cs="Times New Roman" w:eastAsia="Times New Roman" w:hAnsi="Times New Roman"/>
                <w:sz w:val="20"/>
                <w:szCs w:val="20"/>
                <w:color w:val="auto"/>
              </w:rPr>
              <w:t>179,898</w:t>
            </w:r>
          </w:p>
        </w:tc>
        <w:tc>
          <w:tcPr>
            <w:tcW w:w="0" w:type="dxa"/>
            <w:vAlign w:val="bottom"/>
          </w:tcPr>
          <w:p>
            <w:pPr>
              <w:spacing w:after="0"/>
              <w:rPr>
                <w:sz w:val="1"/>
                <w:szCs w:val="1"/>
                <w:color w:val="auto"/>
              </w:rPr>
            </w:pPr>
          </w:p>
        </w:tc>
      </w:tr>
      <w:tr>
        <w:trPr>
          <w:trHeight w:val="244"/>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5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Option and Grant Plan of Disc</w:t>
            </w:r>
          </w:p>
        </w:tc>
        <w:tc>
          <w:tcPr>
            <w:tcW w:w="1500" w:type="dxa"/>
            <w:vAlign w:val="bottom"/>
            <w:gridSpan w:val="2"/>
          </w:tcPr>
          <w:p>
            <w:pPr>
              <w:jc w:val="right"/>
              <w:ind w:right="18"/>
              <w:spacing w:after="0"/>
              <w:rPr>
                <w:sz w:val="20"/>
                <w:szCs w:val="20"/>
                <w:color w:val="auto"/>
              </w:rPr>
            </w:pPr>
            <w:r>
              <w:rPr>
                <w:rFonts w:ascii="Times New Roman" w:cs="Times New Roman" w:eastAsia="Times New Roman" w:hAnsi="Times New Roman"/>
                <w:sz w:val="20"/>
                <w:szCs w:val="20"/>
                <w:color w:val="auto"/>
              </w:rPr>
              <w:t>1,670,839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7.20</w:t>
            </w:r>
          </w:p>
        </w:tc>
        <w:tc>
          <w:tcPr>
            <w:tcW w:w="1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44"/>
        </w:trPr>
        <w:tc>
          <w:tcPr>
            <w:tcW w:w="6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538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Stock Option and Grant Plan of Gemini</w:t>
            </w:r>
          </w:p>
        </w:tc>
        <w:tc>
          <w:tcPr>
            <w:tcW w:w="1500" w:type="dxa"/>
            <w:vAlign w:val="bottom"/>
            <w:gridSpan w:val="2"/>
            <w:shd w:val="clear" w:color="auto" w:fill="D4EFF3"/>
          </w:tcPr>
          <w:p>
            <w:pPr>
              <w:jc w:val="right"/>
              <w:ind w:right="18"/>
              <w:spacing w:after="0"/>
              <w:rPr>
                <w:sz w:val="20"/>
                <w:szCs w:val="20"/>
                <w:color w:val="auto"/>
              </w:rPr>
            </w:pPr>
            <w:r>
              <w:rPr>
                <w:rFonts w:ascii="Times New Roman" w:cs="Times New Roman" w:eastAsia="Times New Roman" w:hAnsi="Times New Roman"/>
                <w:sz w:val="20"/>
                <w:szCs w:val="20"/>
                <w:color w:val="auto"/>
              </w:rPr>
              <w:t>90,189</w:t>
            </w:r>
          </w:p>
        </w:tc>
        <w:tc>
          <w:tcPr>
            <w:tcW w:w="260" w:type="dxa"/>
            <w:vAlign w:val="bottom"/>
            <w:gridSpan w:val="2"/>
            <w:shd w:val="clear" w:color="auto" w:fill="D4EFF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36.44</w:t>
            </w:r>
          </w:p>
        </w:tc>
        <w:tc>
          <w:tcPr>
            <w:tcW w:w="120" w:type="dxa"/>
            <w:vAlign w:val="bottom"/>
            <w:shd w:val="clear" w:color="auto" w:fill="D4EFF3"/>
          </w:tcPr>
          <w:p>
            <w:pPr>
              <w:spacing w:after="0"/>
              <w:rPr>
                <w:sz w:val="21"/>
                <w:szCs w:val="21"/>
                <w:color w:val="auto"/>
              </w:rPr>
            </w:pPr>
          </w:p>
        </w:tc>
        <w:tc>
          <w:tcPr>
            <w:tcW w:w="1380" w:type="dxa"/>
            <w:vAlign w:val="bottom"/>
            <w:shd w:val="clear" w:color="auto" w:fill="D4EFF3"/>
          </w:tcPr>
          <w:p>
            <w:pPr>
              <w:jc w:val="right"/>
              <w:ind w:right="17"/>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44"/>
        </w:trPr>
        <w:tc>
          <w:tcPr>
            <w:tcW w:w="6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538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Inducement Plan</w:t>
            </w:r>
          </w:p>
        </w:tc>
        <w:tc>
          <w:tcPr>
            <w:tcW w:w="1500" w:type="dxa"/>
            <w:vAlign w:val="bottom"/>
            <w:gridSpan w:val="2"/>
            <w:shd w:val="clear" w:color="auto" w:fill="D4EFF3"/>
          </w:tcPr>
          <w:p>
            <w:pPr>
              <w:jc w:val="right"/>
              <w:ind w:right="18"/>
              <w:spacing w:after="0"/>
              <w:rPr>
                <w:sz w:val="20"/>
                <w:szCs w:val="20"/>
                <w:color w:val="auto"/>
              </w:rPr>
            </w:pPr>
            <w:r>
              <w:rPr>
                <w:rFonts w:ascii="Times New Roman" w:cs="Times New Roman" w:eastAsia="Times New Roman" w:hAnsi="Times New Roman"/>
                <w:sz w:val="20"/>
                <w:szCs w:val="20"/>
                <w:color w:val="auto"/>
              </w:rPr>
              <w:t>45,750</w:t>
            </w:r>
          </w:p>
        </w:tc>
        <w:tc>
          <w:tcPr>
            <w:tcW w:w="260" w:type="dxa"/>
            <w:vAlign w:val="bottom"/>
            <w:gridSpan w:val="2"/>
            <w:shd w:val="clear" w:color="auto" w:fill="D4EFF3"/>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125.90</w:t>
            </w:r>
          </w:p>
        </w:tc>
        <w:tc>
          <w:tcPr>
            <w:tcW w:w="1500" w:type="dxa"/>
            <w:vAlign w:val="bottom"/>
            <w:gridSpan w:val="2"/>
            <w:shd w:val="clear" w:color="auto" w:fill="D4EFF3"/>
          </w:tcPr>
          <w:p>
            <w:pPr>
              <w:jc w:val="right"/>
              <w:ind w:right="17"/>
              <w:spacing w:after="0"/>
              <w:rPr>
                <w:sz w:val="20"/>
                <w:szCs w:val="20"/>
                <w:color w:val="auto"/>
              </w:rPr>
            </w:pPr>
            <w:r>
              <w:rPr>
                <w:rFonts w:ascii="Times New Roman" w:cs="Times New Roman" w:eastAsia="Times New Roman" w:hAnsi="Times New Roman"/>
                <w:sz w:val="20"/>
                <w:szCs w:val="20"/>
                <w:color w:val="auto"/>
              </w:rPr>
              <w:t>115,939</w:t>
            </w:r>
          </w:p>
        </w:tc>
        <w:tc>
          <w:tcPr>
            <w:tcW w:w="0" w:type="dxa"/>
            <w:vAlign w:val="bottom"/>
          </w:tcPr>
          <w:p>
            <w:pPr>
              <w:spacing w:after="0"/>
              <w:rPr>
                <w:sz w:val="1"/>
                <w:szCs w:val="1"/>
                <w:color w:val="auto"/>
              </w:rPr>
            </w:pPr>
          </w:p>
        </w:tc>
      </w:tr>
      <w:tr>
        <w:trPr>
          <w:trHeight w:val="266"/>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380" w:type="dxa"/>
            <w:vAlign w:val="bottom"/>
          </w:tcPr>
          <w:p>
            <w:pPr>
              <w:spacing w:after="0"/>
              <w:rPr>
                <w:sz w:val="23"/>
                <w:szCs w:val="23"/>
                <w:color w:val="auto"/>
              </w:rPr>
            </w:pPr>
          </w:p>
        </w:tc>
        <w:tc>
          <w:tcPr>
            <w:tcW w:w="1500" w:type="dxa"/>
            <w:vAlign w:val="bottom"/>
            <w:gridSpan w:val="2"/>
          </w:tcPr>
          <w:p>
            <w:pPr>
              <w:jc w:val="right"/>
              <w:ind w:right="18"/>
              <w:spacing w:after="0"/>
              <w:rPr>
                <w:sz w:val="20"/>
                <w:szCs w:val="20"/>
                <w:color w:val="auto"/>
              </w:rPr>
            </w:pPr>
            <w:r>
              <w:rPr>
                <w:rFonts w:ascii="Times New Roman" w:cs="Times New Roman" w:eastAsia="Times New Roman" w:hAnsi="Times New Roman"/>
                <w:sz w:val="20"/>
                <w:szCs w:val="20"/>
                <w:color w:val="auto"/>
              </w:rPr>
              <w:t>2,640,590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color w:val="auto"/>
              </w:rPr>
              <w:t>1,327,452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87" w:hanging="487"/>
        <w:spacing w:after="0" w:line="252" w:lineRule="auto"/>
        <w:tabs>
          <w:tab w:leader="none" w:pos="48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696,224 shares to the 2021 Stock Option and Incentive Plan effective January 1, 2023.</w:t>
      </w:r>
    </w:p>
    <w:p>
      <w:pPr>
        <w:sectPr>
          <w:pgSz w:w="12240" w:h="15840" w:orient="portrait"/>
          <w:cols w:equalWidth="0" w:num="1">
            <w:col w:w="10447"/>
          </w:cols>
          <w:pgMar w:left="893" w:top="704" w:right="90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10447"/>
          </w:cols>
          <w:pgMar w:left="893" w:top="704" w:right="900" w:bottom="175" w:gutter="0" w:footer="0" w:header="0"/>
          <w:type w:val="continuous"/>
        </w:sectPr>
      </w:pPr>
    </w:p>
    <w:bookmarkStart w:id="156" w:name="page157"/>
    <w:bookmarkEnd w:id="156"/>
    <w:p>
      <w:pPr>
        <w:ind w:left="487" w:right="40" w:hanging="487"/>
        <w:spacing w:after="0" w:line="249" w:lineRule="auto"/>
        <w:tabs>
          <w:tab w:leader="none" w:pos="48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Board. Subject to this provision, we added 43,055 shares to the 2021 Employee Stock Purchase Plan effective January 1, 2023.</w:t>
      </w:r>
    </w:p>
    <w:p>
      <w:pPr>
        <w:spacing w:after="0" w:line="85" w:lineRule="exact"/>
        <w:rPr>
          <w:rFonts w:ascii="Times New Roman" w:cs="Times New Roman" w:eastAsia="Times New Roman" w:hAnsi="Times New Roman"/>
          <w:sz w:val="16"/>
          <w:szCs w:val="16"/>
          <w:color w:val="auto"/>
        </w:rPr>
      </w:pPr>
    </w:p>
    <w:p>
      <w:pPr>
        <w:ind w:left="487" w:right="380" w:hanging="487"/>
        <w:spacing w:after="0" w:line="277" w:lineRule="auto"/>
        <w:tabs>
          <w:tab w:leader="none" w:pos="48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is calculated based solely on outstanding stock options and does not include outstanding restricted stock awards, which do not have an exercise price.</w:t>
      </w:r>
    </w:p>
    <w:p>
      <w:pPr>
        <w:spacing w:after="0" w:line="175" w:lineRule="exact"/>
        <w:rPr>
          <w:sz w:val="20"/>
          <w:szCs w:val="20"/>
          <w:color w:val="auto"/>
        </w:rPr>
      </w:pPr>
    </w:p>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24" w:lineRule="exact"/>
        <w:rPr>
          <w:sz w:val="20"/>
          <w:szCs w:val="20"/>
          <w:color w:val="auto"/>
        </w:rPr>
      </w:pPr>
    </w:p>
    <w:p>
      <w:pPr>
        <w:ind w:left="7" w:right="140" w:firstLine="490"/>
        <w:spacing w:after="0" w:line="277" w:lineRule="auto"/>
        <w:rPr>
          <w:sz w:val="20"/>
          <w:szCs w:val="20"/>
          <w:color w:val="auto"/>
        </w:rPr>
      </w:pPr>
      <w:r>
        <w:rPr>
          <w:rFonts w:ascii="Times New Roman" w:cs="Times New Roman" w:eastAsia="Times New Roman" w:hAnsi="Times New Roman"/>
          <w:sz w:val="20"/>
          <w:szCs w:val="20"/>
          <w:color w:val="auto"/>
        </w:rPr>
        <w:t>The following is a description of transactions or series of transactions since January 1, 2022, to which we were or will be a party, in which:</w:t>
      </w:r>
    </w:p>
    <w:p>
      <w:pPr>
        <w:spacing w:after="0" w:line="63" w:lineRule="exact"/>
        <w:rPr>
          <w:sz w:val="20"/>
          <w:szCs w:val="20"/>
          <w:color w:val="auto"/>
        </w:rPr>
      </w:pPr>
    </w:p>
    <w:p>
      <w:pPr>
        <w:ind w:left="727" w:right="220" w:hanging="367"/>
        <w:spacing w:after="0" w:line="276" w:lineRule="auto"/>
        <w:tabs>
          <w:tab w:leader="none" w:pos="777"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involved in the transaction exceeds, or will exceed, the lesser of $120,000 or one percent of the average of our total assets for the last two completed fiscal years; and</w:t>
      </w:r>
    </w:p>
    <w:p>
      <w:pPr>
        <w:spacing w:after="0" w:line="64" w:lineRule="exact"/>
        <w:rPr>
          <w:rFonts w:ascii="Arial" w:cs="Arial" w:eastAsia="Arial" w:hAnsi="Arial"/>
          <w:sz w:val="20"/>
          <w:szCs w:val="20"/>
          <w:color w:val="auto"/>
        </w:rPr>
      </w:pPr>
    </w:p>
    <w:p>
      <w:pPr>
        <w:ind w:left="727" w:right="380" w:hanging="367"/>
        <w:spacing w:after="0" w:line="304" w:lineRule="auto"/>
        <w:tabs>
          <w:tab w:leader="none" w:pos="727" w:val="left"/>
        </w:tabs>
        <w:numPr>
          <w:ilvl w:val="0"/>
          <w:numId w:val="75"/>
        </w:numPr>
        <w:rPr>
          <w:rFonts w:ascii="Arial" w:cs="Arial" w:eastAsia="Arial" w:hAnsi="Arial"/>
          <w:sz w:val="19"/>
          <w:szCs w:val="19"/>
          <w:color w:val="auto"/>
        </w:rPr>
      </w:pPr>
      <w:r>
        <w:rPr>
          <w:rFonts w:ascii="Times New Roman" w:cs="Times New Roman" w:eastAsia="Times New Roman" w:hAnsi="Times New Roman"/>
          <w:sz w:val="19"/>
          <w:szCs w:val="19"/>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25" w:lineRule="exact"/>
        <w:rPr>
          <w:sz w:val="20"/>
          <w:szCs w:val="20"/>
          <w:color w:val="auto"/>
        </w:rPr>
      </w:pPr>
    </w:p>
    <w:p>
      <w:pPr>
        <w:ind w:left="7" w:right="940" w:firstLine="490"/>
        <w:spacing w:after="0" w:line="277" w:lineRule="auto"/>
        <w:rPr>
          <w:sz w:val="20"/>
          <w:szCs w:val="20"/>
          <w:color w:val="auto"/>
        </w:rPr>
      </w:pPr>
      <w:r>
        <w:rPr>
          <w:rFonts w:ascii="Times New Roman" w:cs="Times New Roman" w:eastAsia="Times New Roman" w:hAnsi="Times New Roman"/>
          <w:sz w:val="20"/>
          <w:szCs w:val="20"/>
          <w:color w:val="auto"/>
        </w:rPr>
        <w:t>Compensation arrangements for our named executive officers and directors are described in Item 11 – Executive Compensation.</w:t>
      </w:r>
    </w:p>
    <w:p>
      <w:pPr>
        <w:spacing w:after="0" w:line="1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Private Placements of Securities</w:t>
      </w:r>
    </w:p>
    <w:p>
      <w:pPr>
        <w:spacing w:after="0" w:line="1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2022 Registration Rights Agreement</w:t>
      </w:r>
    </w:p>
    <w:p>
      <w:pPr>
        <w:spacing w:after="0" w:line="120" w:lineRule="exact"/>
        <w:rPr>
          <w:sz w:val="20"/>
          <w:szCs w:val="20"/>
          <w:color w:val="auto"/>
        </w:rPr>
      </w:pPr>
    </w:p>
    <w:p>
      <w:pPr>
        <w:ind w:left="7" w:firstLine="490"/>
        <w:spacing w:after="0" w:line="258" w:lineRule="auto"/>
        <w:rPr>
          <w:sz w:val="20"/>
          <w:szCs w:val="20"/>
          <w:color w:val="auto"/>
        </w:rPr>
      </w:pPr>
      <w:r>
        <w:rPr>
          <w:rFonts w:ascii="Times New Roman" w:cs="Times New Roman" w:eastAsia="Times New Roman" w:hAnsi="Times New Roman"/>
          <w:sz w:val="20"/>
          <w:szCs w:val="20"/>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or the Registrable Securities, and (ii) granted certain other registration rights to the 2022 Investors.</w:t>
      </w:r>
    </w:p>
    <w:p>
      <w:pPr>
        <w:spacing w:after="0" w:line="68"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In particular, the 2022 Registration Rights Agreement provides for the following registration rights:</w:t>
      </w:r>
    </w:p>
    <w:p>
      <w:pPr>
        <w:spacing w:after="0" w:line="134" w:lineRule="exact"/>
        <w:rPr>
          <w:sz w:val="20"/>
          <w:szCs w:val="20"/>
          <w:color w:val="auto"/>
        </w:rPr>
      </w:pPr>
    </w:p>
    <w:p>
      <w:pPr>
        <w:jc w:val="both"/>
        <w:ind w:left="727" w:right="60" w:hanging="367"/>
        <w:spacing w:after="0" w:line="278" w:lineRule="auto"/>
        <w:tabs>
          <w:tab w:leader="none" w:pos="727" w:val="left"/>
        </w:tabs>
        <w:numPr>
          <w:ilvl w:val="0"/>
          <w:numId w:val="7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Shelf registration rights</w:t>
      </w:r>
      <w:r>
        <w:rPr>
          <w:rFonts w:ascii="Times New Roman" w:cs="Times New Roman" w:eastAsia="Times New Roman" w:hAnsi="Times New Roman"/>
          <w:sz w:val="19"/>
          <w:szCs w:val="19"/>
          <w:color w:val="auto"/>
        </w:rPr>
        <w:t>. No later than 45 calendar days following the completion of the merger, we were required to file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the SEC, a shelf registration statement registering the resale of the Registrable Securities, and use our commercially reasonable efforts to have such registration statement declared effective by the SEC as promptly as possible.</w:t>
      </w:r>
    </w:p>
    <w:p>
      <w:pPr>
        <w:spacing w:after="0" w:line="64" w:lineRule="exact"/>
        <w:rPr>
          <w:rFonts w:ascii="Arial" w:cs="Arial" w:eastAsia="Arial" w:hAnsi="Arial"/>
          <w:sz w:val="19"/>
          <w:szCs w:val="19"/>
          <w:color w:val="auto"/>
        </w:rPr>
      </w:pPr>
    </w:p>
    <w:p>
      <w:pPr>
        <w:ind w:left="727" w:right="100" w:hanging="367"/>
        <w:spacing w:after="0" w:line="247" w:lineRule="auto"/>
        <w:tabs>
          <w:tab w:leader="none" w:pos="727"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Expenses and indemnification</w:t>
      </w:r>
      <w:r>
        <w:rPr>
          <w:rFonts w:ascii="Times New Roman" w:cs="Times New Roman" w:eastAsia="Times New Roman" w:hAnsi="Times New Roman"/>
          <w:sz w:val="20"/>
          <w:szCs w:val="20"/>
          <w:color w:val="auto"/>
        </w:rPr>
        <w:t>. The fees, costs and expenses of registrations pursuant to the registration rights granted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2022 Investors 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Common Stock Financing</w:t>
      </w:r>
    </w:p>
    <w:p>
      <w:pPr>
        <w:spacing w:after="0" w:line="120" w:lineRule="exact"/>
        <w:rPr>
          <w:sz w:val="20"/>
          <w:szCs w:val="20"/>
          <w:color w:val="auto"/>
        </w:rPr>
      </w:pPr>
    </w:p>
    <w:p>
      <w:pPr>
        <w:ind w:left="7" w:right="120" w:firstLine="490"/>
        <w:spacing w:after="0" w:line="247" w:lineRule="auto"/>
        <w:rPr>
          <w:sz w:val="20"/>
          <w:szCs w:val="20"/>
          <w:color w:val="auto"/>
        </w:rPr>
      </w:pPr>
      <w:r>
        <w:rPr>
          <w:rFonts w:ascii="Times New Roman" w:cs="Times New Roman" w:eastAsia="Times New Roman" w:hAnsi="Times New Roman"/>
          <w:sz w:val="20"/>
          <w:szCs w:val="20"/>
          <w:color w:val="auto"/>
        </w:rPr>
        <w:t>In August 2022, in connection with our merger with Gemini, we entered into a Subscription Agreement with certain investors. Pursuant to the Subscription Agreement, we sold an aggregate of 21,341,737 shares of our common stock, at a price of $2.51 per share, for aggregate gross proceeds of $53.5 million. At the closing of the merger, shares of our common stock held before the merger were exchanged for shares of common stock in the combined publicly-traded company based on an exchange ratio of 0.1096. Four of the investors or their affiliates are beneficial holders of more than 5% of our capital stock, and the table below sets forth the number of shares of our common stock purchased by such holders:</w:t>
      </w:r>
    </w:p>
    <w:p>
      <w:pPr>
        <w:sectPr>
          <w:pgSz w:w="12240" w:h="15840" w:orient="portrait"/>
          <w:cols w:equalWidth="0" w:num="1">
            <w:col w:w="10447"/>
          </w:cols>
          <w:pgMar w:left="893" w:top="70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4444365" cy="15494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4365" cy="154940"/>
                        </a:xfrm>
                        <a:prstGeom prst="rect">
                          <a:avLst/>
                        </a:prstGeom>
                        <a:solidFill>
                          <a:srgbClr val="D4EFF3"/>
                        </a:solidFill>
                      </wps:spPr>
                      <wps:bodyPr/>
                    </wps:wsp>
                  </a:graphicData>
                </a:graphic>
              </wp:anchor>
            </w:drawing>
          </mc:Choice>
          <mc:Fallback>
            <w:pict>
              <v:rect id="Shape 64" o:spid="_x0000_s1089" style="position:absolute;margin-left:0pt;margin-top:1.45pt;width:34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444436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43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349.95pt,1.2pt" o:allowincell="f" strokecolor="#000000" strokeweight="0.5pt"/>
            </w:pict>
          </mc:Fallback>
        </mc:AlternateContent>
      </w:r>
    </w:p>
    <w:p>
      <w:pPr>
        <w:ind w:left="7"/>
        <w:spacing w:after="0" w:line="226" w:lineRule="auto"/>
        <w:rPr>
          <w:sz w:val="20"/>
          <w:szCs w:val="20"/>
          <w:color w:val="auto"/>
        </w:rPr>
      </w:pPr>
      <w:r>
        <w:rPr>
          <w:rFonts w:ascii="Times New Roman" w:cs="Times New Roman" w:eastAsia="Times New Roman" w:hAnsi="Times New Roman"/>
          <w:sz w:val="20"/>
          <w:szCs w:val="20"/>
          <w:color w:val="auto"/>
        </w:rPr>
        <w:t>Atlas Venture Opportunity Fund I, L.P.</w:t>
      </w:r>
      <w:r>
        <w:rPr>
          <w:rFonts w:ascii="Times New Roman" w:cs="Times New Roman" w:eastAsia="Times New Roman" w:hAnsi="Times New Roman"/>
          <w:sz w:val="26"/>
          <w:szCs w:val="26"/>
          <w:color w:val="auto"/>
          <w:vertAlign w:val="superscript"/>
        </w:rPr>
        <w:t>(1)</w:t>
      </w:r>
    </w:p>
    <w:p>
      <w:pPr>
        <w:ind w:left="7"/>
        <w:spacing w:after="0" w:line="196" w:lineRule="auto"/>
        <w:rPr>
          <w:sz w:val="20"/>
          <w:szCs w:val="20"/>
          <w:color w:val="auto"/>
        </w:rPr>
      </w:pPr>
      <w:r>
        <w:rPr>
          <w:rFonts w:ascii="Times New Roman" w:cs="Times New Roman" w:eastAsia="Times New Roman" w:hAnsi="Times New Roman"/>
          <w:sz w:val="20"/>
          <w:szCs w:val="20"/>
          <w:color w:val="auto"/>
        </w:rPr>
        <w:t>Novo Holdings A/S</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638290" cy="15430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8290" cy="154305"/>
                        </a:xfrm>
                        <a:prstGeom prst="rect">
                          <a:avLst/>
                        </a:prstGeom>
                        <a:solidFill>
                          <a:srgbClr val="D4EFF3"/>
                        </a:solidFill>
                      </wps:spPr>
                      <wps:bodyPr/>
                    </wps:wsp>
                  </a:graphicData>
                </a:graphic>
              </wp:anchor>
            </w:drawing>
          </mc:Choice>
          <mc:Fallback>
            <w:pict>
              <v:rect id="Shape 66" o:spid="_x0000_s1091" style="position:absolute;margin-left:0pt;margin-top:-0.3999pt;width:522.7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ind w:left="7"/>
        <w:spacing w:after="0" w:line="196" w:lineRule="auto"/>
        <w:rPr>
          <w:sz w:val="20"/>
          <w:szCs w:val="20"/>
          <w:color w:val="auto"/>
        </w:rPr>
      </w:pPr>
      <w:r>
        <w:rPr>
          <w:rFonts w:ascii="Times New Roman" w:cs="Times New Roman" w:eastAsia="Times New Roman" w:hAnsi="Times New Roman"/>
          <w:sz w:val="20"/>
          <w:szCs w:val="20"/>
          <w:color w:val="auto"/>
        </w:rPr>
        <w:t>AI DMI LLC</w:t>
      </w:r>
      <w:r>
        <w:rPr>
          <w:rFonts w:ascii="Times New Roman" w:cs="Times New Roman" w:eastAsia="Times New Roman" w:hAnsi="Times New Roman"/>
          <w:sz w:val="26"/>
          <w:szCs w:val="26"/>
          <w:color w:val="auto"/>
          <w:vertAlign w:val="superscript"/>
        </w:rPr>
        <w:t>(3)</w:t>
      </w:r>
    </w:p>
    <w:p>
      <w:pPr>
        <w:ind w:left="7"/>
        <w:spacing w:after="0"/>
        <w:rPr>
          <w:sz w:val="20"/>
          <w:szCs w:val="20"/>
          <w:color w:val="auto"/>
        </w:rPr>
      </w:pPr>
      <w:r>
        <w:rPr>
          <w:rFonts w:ascii="Times New Roman" w:cs="Times New Roman" w:eastAsia="Times New Roman" w:hAnsi="Times New Roman"/>
          <w:sz w:val="19"/>
          <w:szCs w:val="19"/>
          <w:color w:val="auto"/>
        </w:rPr>
        <w:t>Entities affiliated with OrbiMed Advisors LLC</w:t>
      </w:r>
      <w:r>
        <w:rPr>
          <w:rFonts w:ascii="Times New Roman" w:cs="Times New Roman" w:eastAsia="Times New Roman" w:hAnsi="Times New Roman"/>
          <w:sz w:val="25"/>
          <w:szCs w:val="25"/>
          <w:color w:val="auto"/>
          <w:vertAlign w:val="superscript"/>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71755</wp:posOffset>
                </wp:positionV>
                <wp:extent cx="164592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59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65pt" to="128.15pt,5.65pt" o:allowincell="f" strokecolor="#000000" strokeweight="0.75pt"/>
            </w:pict>
          </mc:Fallback>
        </mc:AlternateConten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 w:type="dxa"/>
            <w:vAlign w:val="bottom"/>
          </w:tcPr>
          <w:p>
            <w:pPr>
              <w:spacing w:after="0"/>
              <w:rPr>
                <w:sz w:val="16"/>
                <w:szCs w:val="16"/>
                <w:color w:val="auto"/>
              </w:rPr>
            </w:pP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4"/>
        </w:trPr>
        <w:tc>
          <w:tcPr>
            <w:tcW w:w="120" w:type="dxa"/>
            <w:vAlign w:val="bottom"/>
          </w:tcPr>
          <w:p>
            <w:pPr>
              <w:spacing w:after="0"/>
              <w:rPr>
                <w:sz w:val="15"/>
                <w:szCs w:val="15"/>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our</w:t>
            </w:r>
          </w:p>
        </w:tc>
        <w:tc>
          <w:tcPr>
            <w:tcW w:w="120" w:type="dxa"/>
            <w:vAlign w:val="bottom"/>
          </w:tcPr>
          <w:p>
            <w:pPr>
              <w:spacing w:after="0"/>
              <w:rPr>
                <w:sz w:val="15"/>
                <w:szCs w:val="15"/>
                <w:color w:val="auto"/>
              </w:rPr>
            </w:pP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8"/>
              </w:rPr>
              <w:t>Purchase</w:t>
            </w:r>
          </w:p>
        </w:tc>
      </w:tr>
      <w:tr>
        <w:trPr>
          <w:trHeight w:val="184"/>
        </w:trPr>
        <w:tc>
          <w:tcPr>
            <w:tcW w:w="120" w:type="dxa"/>
            <w:vAlign w:val="bottom"/>
          </w:tcPr>
          <w:p>
            <w:pPr>
              <w:spacing w:after="0"/>
              <w:rPr>
                <w:sz w:val="15"/>
                <w:szCs w:val="15"/>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5"/>
                <w:szCs w:val="15"/>
                <w:color w:val="auto"/>
              </w:rPr>
            </w:pP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5"/>
              </w:rPr>
              <w:t>Price</w:t>
            </w:r>
          </w:p>
        </w:tc>
      </w:tr>
      <w:tr>
        <w:trPr>
          <w:trHeight w:val="203"/>
        </w:trPr>
        <w:tc>
          <w:tcPr>
            <w:tcW w:w="120" w:type="dxa"/>
            <w:vAlign w:val="bottom"/>
          </w:tcPr>
          <w:p>
            <w:pPr>
              <w:spacing w:after="0"/>
              <w:rPr>
                <w:sz w:val="17"/>
                <w:szCs w:val="17"/>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234"/>
        </w:trPr>
        <w:tc>
          <w:tcPr>
            <w:tcW w:w="120" w:type="dxa"/>
            <w:vAlign w:val="bottom"/>
            <w:tcBorders>
              <w:top w:val="single" w:sz="8" w:color="D4EFF3"/>
            </w:tcBorders>
            <w:shd w:val="clear" w:color="auto" w:fill="D4EFF3"/>
          </w:tcPr>
          <w:p>
            <w:pPr>
              <w:spacing w:after="0"/>
              <w:rPr>
                <w:sz w:val="20"/>
                <w:szCs w:val="20"/>
                <w:color w:val="auto"/>
              </w:rPr>
            </w:pPr>
          </w:p>
        </w:tc>
        <w:tc>
          <w:tcPr>
            <w:tcW w:w="1600" w:type="dxa"/>
            <w:vAlign w:val="bottom"/>
            <w:tcBorders>
              <w:top w:val="single" w:sz="8" w:color="auto"/>
            </w:tcBorders>
            <w:shd w:val="clear" w:color="auto" w:fill="D4EFF3"/>
          </w:tcPr>
          <w:p>
            <w:pPr>
              <w:jc w:val="right"/>
              <w:ind w:right="10"/>
              <w:spacing w:after="0"/>
              <w:rPr>
                <w:sz w:val="20"/>
                <w:szCs w:val="20"/>
                <w:color w:val="auto"/>
              </w:rPr>
            </w:pPr>
            <w:r>
              <w:rPr>
                <w:rFonts w:ascii="Times New Roman" w:cs="Times New Roman" w:eastAsia="Times New Roman" w:hAnsi="Times New Roman"/>
                <w:sz w:val="20"/>
                <w:szCs w:val="20"/>
                <w:color w:val="auto"/>
              </w:rPr>
              <w:t>1,992,031</w:t>
            </w:r>
          </w:p>
        </w:tc>
        <w:tc>
          <w:tcPr>
            <w:tcW w:w="120" w:type="dxa"/>
            <w:vAlign w:val="bottom"/>
            <w:tcBorders>
              <w:top w:val="single" w:sz="8" w:color="D4EFF3"/>
            </w:tcBorders>
            <w:shd w:val="clear" w:color="auto" w:fill="D4EFF3"/>
          </w:tcPr>
          <w:p>
            <w:pPr>
              <w:spacing w:after="0"/>
              <w:rPr>
                <w:sz w:val="20"/>
                <w:szCs w:val="20"/>
                <w:color w:val="auto"/>
              </w:rPr>
            </w:pPr>
          </w:p>
        </w:tc>
        <w:tc>
          <w:tcPr>
            <w:tcW w:w="1600" w:type="dxa"/>
            <w:vAlign w:val="bottom"/>
            <w:tcBorders>
              <w:top w:val="single" w:sz="8" w:color="auto"/>
            </w:tcBorders>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5,000,000</w:t>
            </w:r>
          </w:p>
        </w:tc>
      </w:tr>
      <w:tr>
        <w:trPr>
          <w:trHeight w:val="239"/>
        </w:trPr>
        <w:tc>
          <w:tcPr>
            <w:tcW w:w="1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1,195,219</w:t>
            </w:r>
          </w:p>
        </w:tc>
        <w:tc>
          <w:tcPr>
            <w:tcW w:w="120" w:type="dxa"/>
            <w:vAlign w:val="bottom"/>
          </w:tcPr>
          <w:p>
            <w:pPr>
              <w:spacing w:after="0"/>
              <w:rPr>
                <w:sz w:val="20"/>
                <w:szCs w:val="20"/>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3,000,000</w:t>
            </w:r>
          </w:p>
        </w:tc>
      </w:tr>
      <w:tr>
        <w:trPr>
          <w:trHeight w:val="244"/>
        </w:trPr>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9,960,159</w:t>
            </w:r>
          </w:p>
        </w:tc>
        <w:tc>
          <w:tcPr>
            <w:tcW w:w="172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25,000,000</w:t>
            </w:r>
          </w:p>
        </w:tc>
      </w:tr>
      <w:tr>
        <w:trPr>
          <w:trHeight w:val="266"/>
        </w:trPr>
        <w:tc>
          <w:tcPr>
            <w:tcW w:w="1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3,984,063</w:t>
            </w:r>
          </w:p>
        </w:tc>
        <w:tc>
          <w:tcPr>
            <w:tcW w:w="172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9,999,998</w:t>
            </w:r>
          </w:p>
        </w:tc>
      </w:tr>
    </w:tbl>
    <w:p>
      <w:pPr>
        <w:spacing w:after="0" w:line="181" w:lineRule="exact"/>
        <w:rPr>
          <w:sz w:val="20"/>
          <w:szCs w:val="20"/>
          <w:color w:val="auto"/>
        </w:rPr>
      </w:pPr>
    </w:p>
    <w:p>
      <w:pPr>
        <w:sectPr>
          <w:pgSz w:w="12240" w:h="15840" w:orient="portrait"/>
          <w:cols w:equalWidth="0" w:num="2">
            <w:col w:w="6287" w:space="720"/>
            <w:col w:w="3440"/>
          </w:cols>
          <w:pgMar w:left="893" w:top="704" w:right="900" w:bottom="175" w:gutter="0" w:footer="0" w:header="0"/>
          <w:type w:val="continuous"/>
        </w:sectPr>
      </w:pPr>
    </w:p>
    <w:p>
      <w:pPr>
        <w:ind w:left="367" w:right="220" w:hanging="367"/>
        <w:spacing w:after="0" w:line="277" w:lineRule="auto"/>
        <w:tabs>
          <w:tab w:leader="none" w:pos="367"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affiliated with Atlas Venture Opportunity Fund I, L.P. beneficially own more than five percent of our outstanding capital stock. Dr. Bitterman is a Partner at Atlas Ventures and a member of our board of directors.</w:t>
      </w:r>
    </w:p>
    <w:p>
      <w:pPr>
        <w:spacing w:after="0" w:line="63"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Novo Holdings A/S is an affiliate of Novo Ventures (US), Inc., and beneficially owns more than five percent of our outstanding capital stock.</w:t>
      </w:r>
    </w:p>
    <w:p>
      <w:pPr>
        <w:spacing w:after="0" w:line="119" w:lineRule="exact"/>
        <w:rPr>
          <w:rFonts w:ascii="Times New Roman" w:cs="Times New Roman" w:eastAsia="Times New Roman" w:hAnsi="Times New Roman"/>
          <w:sz w:val="16"/>
          <w:szCs w:val="16"/>
          <w:color w:val="auto"/>
        </w:rPr>
      </w:pPr>
    </w:p>
    <w:p>
      <w:pPr>
        <w:ind w:left="367" w:right="80" w:hanging="367"/>
        <w:spacing w:after="0" w:line="277" w:lineRule="auto"/>
        <w:tabs>
          <w:tab w:leader="none" w:pos="367"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ectPr>
          <w:pgSz w:w="12240" w:h="15840" w:orient="portrait"/>
          <w:cols w:equalWidth="0" w:num="1">
            <w:col w:w="10447"/>
          </w:cols>
          <w:pgMar w:left="893" w:top="704" w:right="900" w:bottom="175" w:gutter="0" w:footer="0" w:header="0"/>
          <w:type w:val="continuous"/>
        </w:sectPr>
      </w:pPr>
    </w:p>
    <w:p>
      <w:pPr>
        <w:spacing w:after="0" w:line="26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10447"/>
          </w:cols>
          <w:pgMar w:left="893" w:top="704" w:right="900" w:bottom="175" w:gutter="0" w:footer="0" w:header="0"/>
          <w:type w:val="continuous"/>
        </w:sectPr>
      </w:pPr>
    </w:p>
    <w:bookmarkStart w:id="157" w:name="page158"/>
    <w:bookmarkEnd w:id="157"/>
    <w:p>
      <w:pPr>
        <w:ind w:left="367" w:right="100" w:hanging="367"/>
        <w:spacing w:after="0" w:line="277" w:lineRule="auto"/>
        <w:tabs>
          <w:tab w:leader="none" w:pos="367"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affiliated with OrbiMed Advisors LLC beneficially own more than five percent of our outstanding capital stock. Dr. Ashiya is a Partner at OrbiMed Advisors LLC and a member of our board of directors.</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w:t>
      </w:r>
    </w:p>
    <w:p>
      <w:pPr>
        <w:spacing w:after="0" w:line="120"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In February 2023, we entered into a securities purchase agreement, or the Purchase Agreement, with certain investors.</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Pursuant to the Purchase Agreement, we sold (i) an aggregate of 1,488,166 shares of our common stock, at a purchase price of</w:t>
      </w:r>
    </w:p>
    <w:p>
      <w:pPr>
        <w:ind w:left="7"/>
        <w:spacing w:after="0"/>
        <w:rPr>
          <w:sz w:val="20"/>
          <w:szCs w:val="20"/>
          <w:color w:val="auto"/>
        </w:rPr>
      </w:pPr>
      <w:r>
        <w:rPr>
          <w:rFonts w:ascii="Times New Roman" w:cs="Times New Roman" w:eastAsia="Times New Roman" w:hAnsi="Times New Roman"/>
          <w:sz w:val="20"/>
          <w:szCs w:val="20"/>
          <w:color w:val="auto"/>
        </w:rPr>
        <w:t>$23.00 per share, and (ii) with respect to certain investors, in lieu of shares of our common stock, pre-funded warrants to purchase</w:t>
      </w:r>
    </w:p>
    <w:p>
      <w:pPr>
        <w:ind w:left="7"/>
        <w:spacing w:after="0"/>
        <w:rPr>
          <w:sz w:val="20"/>
          <w:szCs w:val="20"/>
          <w:color w:val="auto"/>
        </w:rPr>
      </w:pPr>
      <w:r>
        <w:rPr>
          <w:rFonts w:ascii="Times New Roman" w:cs="Times New Roman" w:eastAsia="Times New Roman" w:hAnsi="Times New Roman"/>
          <w:sz w:val="20"/>
          <w:szCs w:val="20"/>
          <w:color w:val="auto"/>
        </w:rPr>
        <w:t>an aggregate of 1,229,224 shares of our common stock, at a purchase price of $22.9999 per pre-funded warrant, for aggregate</w:t>
      </w:r>
    </w:p>
    <w:p>
      <w:pPr>
        <w:ind w:left="7"/>
        <w:spacing w:after="0"/>
        <w:rPr>
          <w:sz w:val="20"/>
          <w:szCs w:val="20"/>
          <w:color w:val="auto"/>
        </w:rPr>
      </w:pPr>
      <w:r>
        <w:rPr>
          <w:rFonts w:ascii="Times New Roman" w:cs="Times New Roman" w:eastAsia="Times New Roman" w:hAnsi="Times New Roman"/>
          <w:sz w:val="20"/>
          <w:szCs w:val="20"/>
          <w:color w:val="auto"/>
        </w:rPr>
        <w:t>gross proceeds of approximately $62.5 million. The investors or their affiliates are beneficial holders of more than 5% of our</w:t>
      </w:r>
    </w:p>
    <w:p>
      <w:pPr>
        <w:ind w:left="7"/>
        <w:spacing w:after="0"/>
        <w:rPr>
          <w:sz w:val="20"/>
          <w:szCs w:val="20"/>
          <w:color w:val="auto"/>
        </w:rPr>
      </w:pPr>
      <w:r>
        <w:rPr>
          <w:rFonts w:ascii="Times New Roman" w:cs="Times New Roman" w:eastAsia="Times New Roman" w:hAnsi="Times New Roman"/>
          <w:sz w:val="19"/>
          <w:szCs w:val="19"/>
          <w:color w:val="auto"/>
        </w:rPr>
        <w:t>capital stock, and the table below sets forth the number of shares of our common stock and pre-funded warrants to purchase shares</w:t>
      </w:r>
    </w:p>
    <w:p>
      <w:pPr>
        <w:spacing w:after="0" w:line="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of our common stock purchased by such holders:</w:t>
      </w:r>
    </w:p>
    <w:p>
      <w:pPr>
        <w:sectPr>
          <w:pgSz w:w="12240" w:h="15840" w:orient="portrait"/>
          <w:cols w:equalWidth="0" w:num="1">
            <w:col w:w="10447"/>
          </w:cols>
          <w:pgMar w:left="893" w:top="70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812540" cy="15494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2540" cy="154940"/>
                        </a:xfrm>
                        <a:prstGeom prst="rect">
                          <a:avLst/>
                        </a:prstGeom>
                        <a:solidFill>
                          <a:srgbClr val="D4EFF3"/>
                        </a:solidFill>
                      </wps:spPr>
                      <wps:bodyPr/>
                    </wps:wsp>
                  </a:graphicData>
                </a:graphic>
              </wp:anchor>
            </w:drawing>
          </mc:Choice>
          <mc:Fallback>
            <w:pict>
              <v:rect id="Shape 68" o:spid="_x0000_s1093" style="position:absolute;margin-left:0pt;margin-top:1.45pt;width:300.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381254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25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300.2pt,1.2pt" o:allowincell="f" strokecolor="#000000" strokeweight="0.5pt"/>
            </w:pict>
          </mc:Fallback>
        </mc:AlternateContent>
      </w:r>
    </w:p>
    <w:p>
      <w:pPr>
        <w:ind w:left="7"/>
        <w:spacing w:after="0" w:line="235" w:lineRule="auto"/>
        <w:rPr>
          <w:sz w:val="20"/>
          <w:szCs w:val="20"/>
          <w:color w:val="auto"/>
        </w:rPr>
      </w:pPr>
      <w:r>
        <w:rPr>
          <w:rFonts w:ascii="Times New Roman" w:cs="Times New Roman" w:eastAsia="Times New Roman" w:hAnsi="Times New Roman"/>
          <w:sz w:val="19"/>
          <w:szCs w:val="19"/>
          <w:color w:val="auto"/>
        </w:rPr>
        <w:t>Bain Capital Life Sciences Opportunities III, L.P.</w:t>
      </w:r>
      <w:r>
        <w:rPr>
          <w:rFonts w:ascii="Times New Roman" w:cs="Times New Roman" w:eastAsia="Times New Roman" w:hAnsi="Times New Roman"/>
          <w:sz w:val="25"/>
          <w:szCs w:val="25"/>
          <w:color w:val="auto"/>
          <w:vertAlign w:val="superscript"/>
        </w:rPr>
        <w:t>(1)</w:t>
      </w:r>
    </w:p>
    <w:p>
      <w:pPr>
        <w:ind w:left="7"/>
        <w:spacing w:after="0" w:line="196" w:lineRule="auto"/>
        <w:rPr>
          <w:sz w:val="20"/>
          <w:szCs w:val="20"/>
          <w:color w:val="auto"/>
        </w:rPr>
      </w:pPr>
      <w:r>
        <w:rPr>
          <w:rFonts w:ascii="Times New Roman" w:cs="Times New Roman" w:eastAsia="Times New Roman" w:hAnsi="Times New Roman"/>
          <w:sz w:val="20"/>
          <w:szCs w:val="20"/>
          <w:color w:val="auto"/>
        </w:rPr>
        <w:t>Entities affiliated with OrbiMed Advisors LLC</w:t>
      </w:r>
      <w:r>
        <w:rPr>
          <w:rFonts w:ascii="Times New Roman" w:cs="Times New Roman" w:eastAsia="Times New Roman" w:hAnsi="Times New Roman"/>
          <w:sz w:val="26"/>
          <w:szCs w:val="26"/>
          <w:color w:val="auto"/>
          <w:vertAlign w:val="superscript"/>
        </w:rPr>
        <w:t>(2)</w:t>
      </w:r>
    </w:p>
    <w:p>
      <w:pPr>
        <w:ind w:left="7"/>
        <w:spacing w:after="0"/>
        <w:rPr>
          <w:sz w:val="20"/>
          <w:szCs w:val="20"/>
          <w:color w:val="auto"/>
        </w:rPr>
      </w:pPr>
      <w:r>
        <w:rPr>
          <w:rFonts w:ascii="Times New Roman" w:cs="Times New Roman" w:eastAsia="Times New Roman" w:hAnsi="Times New Roman"/>
          <w:sz w:val="20"/>
          <w:szCs w:val="20"/>
          <w:color w:val="auto"/>
        </w:rPr>
        <w:t>AI DMI LLC</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64770</wp:posOffset>
                </wp:positionV>
                <wp:extent cx="164592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59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1pt" to="128.15pt,5.1pt" o:allowincell="f" strokecolor="#000000" strokeweight="0.75pt"/>
            </w:pict>
          </mc:Fallback>
        </mc:AlternateConten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380" w:type="dxa"/>
            <w:vAlign w:val="bottom"/>
            <w:vMerge w:val="restart"/>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 w:type="dxa"/>
            <w:vAlign w:val="bottom"/>
          </w:tcPr>
          <w:p>
            <w:pPr>
              <w:spacing w:after="0"/>
              <w:rPr>
                <w:sz w:val="15"/>
                <w:szCs w:val="15"/>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our</w:t>
            </w:r>
          </w:p>
        </w:tc>
        <w:tc>
          <w:tcPr>
            <w:tcW w:w="100" w:type="dxa"/>
            <w:vAlign w:val="bottom"/>
          </w:tcPr>
          <w:p>
            <w:pPr>
              <w:spacing w:after="0"/>
              <w:rPr>
                <w:sz w:val="15"/>
                <w:szCs w:val="15"/>
                <w:color w:val="auto"/>
              </w:rPr>
            </w:pPr>
          </w:p>
        </w:tc>
        <w:tc>
          <w:tcPr>
            <w:tcW w:w="138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our</w:t>
            </w:r>
          </w:p>
        </w:tc>
        <w:tc>
          <w:tcPr>
            <w:tcW w:w="100" w:type="dxa"/>
            <w:vAlign w:val="bottom"/>
          </w:tcPr>
          <w:p>
            <w:pPr>
              <w:spacing w:after="0"/>
              <w:rPr>
                <w:sz w:val="15"/>
                <w:szCs w:val="15"/>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Stock Underlying</w:t>
            </w:r>
          </w:p>
        </w:tc>
        <w:tc>
          <w:tcPr>
            <w:tcW w:w="100" w:type="dxa"/>
            <w:vAlign w:val="bottom"/>
          </w:tcPr>
          <w:p>
            <w:pPr>
              <w:spacing w:after="0"/>
              <w:rPr>
                <w:sz w:val="15"/>
                <w:szCs w:val="15"/>
                <w:color w:val="auto"/>
              </w:rPr>
            </w:pPr>
          </w:p>
        </w:tc>
        <w:tc>
          <w:tcPr>
            <w:tcW w:w="13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5"/>
                <w:szCs w:val="15"/>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Pre-Funded</w:t>
            </w:r>
          </w:p>
        </w:tc>
        <w:tc>
          <w:tcPr>
            <w:tcW w:w="100" w:type="dxa"/>
            <w:vAlign w:val="bottom"/>
          </w:tcPr>
          <w:p>
            <w:pPr>
              <w:spacing w:after="0"/>
              <w:rPr>
                <w:sz w:val="15"/>
                <w:szCs w:val="15"/>
                <w:color w:val="auto"/>
              </w:rPr>
            </w:pPr>
          </w:p>
        </w:tc>
        <w:tc>
          <w:tcPr>
            <w:tcW w:w="13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3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7"/>
                <w:szCs w:val="17"/>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4"/>
        </w:trPr>
        <w:tc>
          <w:tcPr>
            <w:tcW w:w="100" w:type="dxa"/>
            <w:vAlign w:val="bottom"/>
            <w:tcBorders>
              <w:top w:val="single" w:sz="8" w:color="D4EFF3"/>
            </w:tcBorders>
            <w:shd w:val="clear" w:color="auto" w:fill="D4EFF3"/>
          </w:tcPr>
          <w:p>
            <w:pPr>
              <w:spacing w:after="0"/>
              <w:rPr>
                <w:sz w:val="20"/>
                <w:szCs w:val="20"/>
                <w:color w:val="auto"/>
              </w:rPr>
            </w:pPr>
          </w:p>
        </w:tc>
        <w:tc>
          <w:tcPr>
            <w:tcW w:w="1380" w:type="dxa"/>
            <w:vAlign w:val="bottom"/>
            <w:tcBorders>
              <w:top w:val="single" w:sz="8" w:color="auto"/>
            </w:tcBorders>
            <w:shd w:val="clear" w:color="auto" w:fill="D4EFF3"/>
          </w:tcPr>
          <w:p>
            <w:pPr>
              <w:jc w:val="right"/>
              <w:ind w:right="11"/>
              <w:spacing w:after="0"/>
              <w:rPr>
                <w:sz w:val="20"/>
                <w:szCs w:val="20"/>
                <w:color w:val="auto"/>
              </w:rPr>
            </w:pPr>
            <w:r>
              <w:rPr>
                <w:rFonts w:ascii="Times New Roman" w:cs="Times New Roman" w:eastAsia="Times New Roman" w:hAnsi="Times New Roman"/>
                <w:sz w:val="20"/>
                <w:szCs w:val="20"/>
                <w:color w:val="auto"/>
              </w:rPr>
              <w:t>944,687</w:t>
            </w:r>
          </w:p>
        </w:tc>
        <w:tc>
          <w:tcPr>
            <w:tcW w:w="100" w:type="dxa"/>
            <w:vAlign w:val="bottom"/>
            <w:tcBorders>
              <w:top w:val="single" w:sz="8" w:color="D4EFF3"/>
            </w:tcBorders>
            <w:shd w:val="clear" w:color="auto" w:fill="D4EFF3"/>
          </w:tcPr>
          <w:p>
            <w:pPr>
              <w:spacing w:after="0"/>
              <w:rPr>
                <w:sz w:val="20"/>
                <w:szCs w:val="20"/>
                <w:color w:val="auto"/>
              </w:rPr>
            </w:pPr>
          </w:p>
        </w:tc>
        <w:tc>
          <w:tcPr>
            <w:tcW w:w="1380" w:type="dxa"/>
            <w:vAlign w:val="bottom"/>
            <w:tcBorders>
              <w:top w:val="single" w:sz="8" w:color="auto"/>
            </w:tcBorders>
            <w:shd w:val="clear" w:color="auto" w:fill="D4EFF3"/>
          </w:tcPr>
          <w:p>
            <w:pPr>
              <w:jc w:val="right"/>
              <w:ind w:right="13"/>
              <w:spacing w:after="0"/>
              <w:rPr>
                <w:sz w:val="20"/>
                <w:szCs w:val="20"/>
                <w:color w:val="auto"/>
              </w:rPr>
            </w:pPr>
            <w:r>
              <w:rPr>
                <w:rFonts w:ascii="Times New Roman" w:cs="Times New Roman" w:eastAsia="Times New Roman" w:hAnsi="Times New Roman"/>
                <w:sz w:val="20"/>
                <w:szCs w:val="20"/>
                <w:color w:val="auto"/>
              </w:rPr>
              <w:t>1,229,224</w:t>
            </w:r>
          </w:p>
        </w:tc>
        <w:tc>
          <w:tcPr>
            <w:tcW w:w="100" w:type="dxa"/>
            <w:vAlign w:val="bottom"/>
            <w:tcBorders>
              <w:top w:val="single" w:sz="8" w:color="D4EFF3"/>
            </w:tcBorders>
            <w:shd w:val="clear" w:color="auto" w:fill="D4EFF3"/>
          </w:tcPr>
          <w:p>
            <w:pPr>
              <w:spacing w:after="0"/>
              <w:rPr>
                <w:sz w:val="20"/>
                <w:szCs w:val="20"/>
                <w:color w:val="auto"/>
              </w:rPr>
            </w:pPr>
          </w:p>
        </w:tc>
        <w:tc>
          <w:tcPr>
            <w:tcW w:w="1380" w:type="dxa"/>
            <w:vAlign w:val="bottom"/>
            <w:tcBorders>
              <w:top w:val="single" w:sz="8" w:color="auto"/>
            </w:tcBorders>
            <w:shd w:val="clear" w:color="auto" w:fill="D4EFF3"/>
          </w:tcPr>
          <w:p>
            <w:pPr>
              <w:jc w:val="right"/>
              <w:ind w:right="12"/>
              <w:spacing w:after="0"/>
              <w:rPr>
                <w:sz w:val="20"/>
                <w:szCs w:val="20"/>
                <w:color w:val="auto"/>
              </w:rPr>
            </w:pPr>
            <w:r>
              <w:rPr>
                <w:rFonts w:ascii="Times New Roman" w:cs="Times New Roman" w:eastAsia="Times New Roman" w:hAnsi="Times New Roman"/>
                <w:sz w:val="20"/>
                <w:szCs w:val="20"/>
                <w:color w:val="auto"/>
              </w:rPr>
              <w:t>49,999,830</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108,696</w:t>
            </w:r>
          </w:p>
        </w:tc>
        <w:tc>
          <w:tcPr>
            <w:tcW w:w="10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2,500,008</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434,783</w:t>
            </w:r>
          </w:p>
        </w:tc>
        <w:tc>
          <w:tcPr>
            <w:tcW w:w="10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10,000,009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-3813810</wp:posOffset>
                </wp:positionH>
                <wp:positionV relativeFrom="paragraph">
                  <wp:posOffset>-165100</wp:posOffset>
                </wp:positionV>
                <wp:extent cx="6637655" cy="15494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154940"/>
                        </a:xfrm>
                        <a:prstGeom prst="rect">
                          <a:avLst/>
                        </a:prstGeom>
                        <a:solidFill>
                          <a:srgbClr val="D4EFF3"/>
                        </a:solidFill>
                      </wps:spPr>
                      <wps:bodyPr/>
                    </wps:wsp>
                  </a:graphicData>
                </a:graphic>
              </wp:anchor>
            </w:drawing>
          </mc:Choice>
          <mc:Fallback>
            <w:pict>
              <v:rect id="Shape 71" o:spid="_x0000_s1096" style="position:absolute;margin-left:-300.2999pt;margin-top:-13pt;width:522.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line="180" w:lineRule="exact"/>
        <w:rPr>
          <w:sz w:val="20"/>
          <w:szCs w:val="20"/>
          <w:color w:val="auto"/>
        </w:rPr>
      </w:pPr>
    </w:p>
    <w:p>
      <w:pPr>
        <w:sectPr>
          <w:pgSz w:w="12240" w:h="15840" w:orient="portrait"/>
          <w:cols w:equalWidth="0" w:num="2">
            <w:col w:w="5287" w:space="720"/>
            <w:col w:w="4440"/>
          </w:cols>
          <w:pgMar w:left="893" w:top="704" w:right="900" w:bottom="175" w:gutter="0" w:footer="0" w:header="0"/>
          <w:type w:val="continuous"/>
        </w:sectPr>
      </w:pPr>
    </w:p>
    <w:p>
      <w:pPr>
        <w:ind w:left="367" w:hanging="367"/>
        <w:spacing w:after="0"/>
        <w:tabs>
          <w:tab w:leader="none" w:pos="36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Bain Capital Life Sciences Opportunities III, L.P. beneficially owns more than five percent of our outstanding capital stock.</w:t>
      </w:r>
    </w:p>
    <w:p>
      <w:pPr>
        <w:spacing w:after="0" w:line="119" w:lineRule="exact"/>
        <w:rPr>
          <w:rFonts w:ascii="Times New Roman" w:cs="Times New Roman" w:eastAsia="Times New Roman" w:hAnsi="Times New Roman"/>
          <w:sz w:val="16"/>
          <w:szCs w:val="16"/>
          <w:color w:val="auto"/>
        </w:rPr>
      </w:pPr>
    </w:p>
    <w:p>
      <w:pPr>
        <w:ind w:left="367" w:right="100" w:hanging="367"/>
        <w:spacing w:after="0" w:line="277" w:lineRule="auto"/>
        <w:tabs>
          <w:tab w:leader="none" w:pos="36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affiliated with OrbiMed Advisors LLC beneficially own more than five percent of our outstanding capital stock. Dr. Ashiya is a Partner at OrbiMed Advisors LLC and a member of our board of directors.</w:t>
      </w:r>
    </w:p>
    <w:p>
      <w:pPr>
        <w:spacing w:after="0" w:line="63" w:lineRule="exact"/>
        <w:rPr>
          <w:rFonts w:ascii="Times New Roman" w:cs="Times New Roman" w:eastAsia="Times New Roman" w:hAnsi="Times New Roman"/>
          <w:sz w:val="16"/>
          <w:szCs w:val="16"/>
          <w:color w:val="auto"/>
        </w:rPr>
      </w:pPr>
    </w:p>
    <w:p>
      <w:pPr>
        <w:ind w:left="367" w:right="80" w:hanging="367"/>
        <w:spacing w:after="0" w:line="277" w:lineRule="auto"/>
        <w:tabs>
          <w:tab w:leader="none" w:pos="36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License Agreements</w:t>
      </w:r>
    </w:p>
    <w:p>
      <w:pPr>
        <w:spacing w:after="0" w:line="124" w:lineRule="exact"/>
        <w:rPr>
          <w:sz w:val="20"/>
          <w:szCs w:val="20"/>
          <w:color w:val="auto"/>
        </w:rPr>
      </w:pPr>
    </w:p>
    <w:p>
      <w:pPr>
        <w:ind w:left="7" w:right="60" w:firstLine="490"/>
        <w:spacing w:after="0" w:line="252" w:lineRule="auto"/>
        <w:rPr>
          <w:sz w:val="20"/>
          <w:szCs w:val="20"/>
          <w:color w:val="auto"/>
        </w:rPr>
      </w:pPr>
      <w:r>
        <w:rPr>
          <w:rFonts w:ascii="Times New Roman" w:cs="Times New Roman" w:eastAsia="Times New Roman" w:hAnsi="Times New Roman"/>
          <w:sz w:val="20"/>
          <w:szCs w:val="20"/>
          <w:color w:val="auto"/>
        </w:rPr>
        <w:t>In connection with and as partial consideration under the Roche Agreement with Roche executed in 2021, we issue to Roche 482,313 shares of our common stock equal to 2.85% of our issued and outstanding capitalization immediately following the closing of the merger and the pre-closing financing, no additional consideration concurrent with the completion of the merger. The issuance of such shares were not registered under the Securities Act.</w:t>
      </w:r>
    </w:p>
    <w:p>
      <w:pPr>
        <w:spacing w:after="0" w:line="74" w:lineRule="exact"/>
        <w:rPr>
          <w:sz w:val="20"/>
          <w:szCs w:val="20"/>
          <w:color w:val="auto"/>
        </w:rPr>
      </w:pPr>
    </w:p>
    <w:p>
      <w:pPr>
        <w:ind w:left="7" w:right="180" w:firstLine="490"/>
        <w:spacing w:after="0" w:line="249" w:lineRule="auto"/>
        <w:rPr>
          <w:sz w:val="20"/>
          <w:szCs w:val="20"/>
          <w:color w:val="auto"/>
        </w:rPr>
      </w:pPr>
      <w:r>
        <w:rPr>
          <w:rFonts w:ascii="Times New Roman" w:cs="Times New Roman" w:eastAsia="Times New Roman" w:hAnsi="Times New Roman"/>
          <w:sz w:val="20"/>
          <w:szCs w:val="20"/>
          <w:color w:val="auto"/>
        </w:rPr>
        <w:t>In connection with and as partial consideration under the AbbVie Agreement with AbbVie executed in 2019, we issued 4,336,841 shares of our common stock to AbbVie for no additional consideration. Pursuant to this agreement, 2,295,174 shares vested immediately in September 2019, with the remaining 2,041,667 shares subject to a performance condition, which was met during 2020. At the closing of the merger, shares of our common stock held before the merger were exchanged for shares of common stock in the combined publicly-traded company based on an exchange ratio of 0.1096.</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124" w:lineRule="exact"/>
        <w:rPr>
          <w:sz w:val="20"/>
          <w:szCs w:val="20"/>
          <w:color w:val="auto"/>
        </w:rPr>
      </w:pPr>
    </w:p>
    <w:p>
      <w:pPr>
        <w:ind w:left="7" w:right="140" w:firstLine="490"/>
        <w:spacing w:after="0" w:line="249" w:lineRule="auto"/>
        <w:rPr>
          <w:sz w:val="20"/>
          <w:szCs w:val="20"/>
          <w:color w:val="auto"/>
        </w:rPr>
      </w:pPr>
      <w:r>
        <w:rPr>
          <w:rFonts w:ascii="Times New Roman" w:cs="Times New Roman" w:eastAsia="Times New Roman" w:hAnsi="Times New Roman"/>
          <w:sz w:val="20"/>
          <w:szCs w:val="20"/>
          <w:color w:val="auto"/>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Policies for Approval of Related Party Transactions</w:t>
      </w:r>
    </w:p>
    <w:p>
      <w:pPr>
        <w:spacing w:after="0" w:line="124" w:lineRule="exact"/>
        <w:rPr>
          <w:sz w:val="20"/>
          <w:szCs w:val="20"/>
          <w:color w:val="auto"/>
        </w:rPr>
      </w:pPr>
    </w:p>
    <w:p>
      <w:pPr>
        <w:ind w:left="7" w:firstLine="490"/>
        <w:spacing w:after="0" w:line="249" w:lineRule="auto"/>
        <w:rPr>
          <w:sz w:val="20"/>
          <w:szCs w:val="20"/>
          <w:color w:val="auto"/>
        </w:rPr>
      </w:pPr>
      <w:r>
        <w:rPr>
          <w:rFonts w:ascii="Times New Roman" w:cs="Times New Roman" w:eastAsia="Times New Roman" w:hAnsi="Times New Roman"/>
          <w:sz w:val="20"/>
          <w:szCs w:val="20"/>
          <w:color w:val="auto"/>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w:t>
      </w:r>
    </w:p>
    <w:p>
      <w:pPr>
        <w:sectPr>
          <w:pgSz w:w="12240" w:h="15840" w:orient="portrait"/>
          <w:cols w:equalWidth="0" w:num="1">
            <w:col w:w="10447"/>
          </w:cols>
          <w:pgMar w:left="893" w:top="704" w:right="90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10447"/>
          </w:cols>
          <w:pgMar w:left="893" w:top="704" w:right="900" w:bottom="175" w:gutter="0" w:footer="0" w:header="0"/>
          <w:type w:val="continuous"/>
        </w:sectPr>
      </w:pPr>
    </w:p>
    <w:bookmarkStart w:id="158" w:name="page159"/>
    <w:bookmarkEnd w:id="158"/>
    <w:p>
      <w:pPr>
        <w:ind w:right="160"/>
        <w:spacing w:after="0" w:line="277" w:lineRule="auto"/>
        <w:rPr>
          <w:sz w:val="20"/>
          <w:szCs w:val="20"/>
          <w:color w:val="auto"/>
        </w:rPr>
      </w:pPr>
      <w:r>
        <w:rPr>
          <w:rFonts w:ascii="Times New Roman" w:cs="Times New Roman" w:eastAsia="Times New Roman" w:hAnsi="Times New Roman"/>
          <w:sz w:val="20"/>
          <w:szCs w:val="20"/>
          <w:color w:val="auto"/>
        </w:rPr>
        <w:t>material facts of the related party’s relationship or interest in the transaction are disclosed to the stockholders, who must approve the transaction in good faith.</w:t>
      </w:r>
    </w:p>
    <w:p>
      <w:pPr>
        <w:spacing w:after="0" w:line="16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20"/>
          <w:szCs w:val="20"/>
          <w:b w:val="1"/>
          <w:bCs w:val="1"/>
          <w:color w:val="auto"/>
        </w:rPr>
        <w:t>PRINCIPAL ACCOUNTING FEES AND SERVICES</w:t>
      </w:r>
    </w:p>
    <w:p>
      <w:pPr>
        <w:spacing w:after="0" w:line="124"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19"/>
          <w:szCs w:val="19"/>
          <w:color w:val="auto"/>
        </w:rPr>
        <w:t>Ernst &amp; Young LLP, or EY, has served as our independent registered public accounting firm since 2020 and has audited our financial statements for the fiscal years ended December 31, 2022 and 2021. The following table sets forth fees billed and unbilled for professional audit services and other services rendered to us by EY for the fiscal years ended December 31, 2022 and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Borders>
              <w:bottom w:val="single" w:sz="8" w:color="D4EFF3"/>
            </w:tcBorders>
          </w:tcPr>
          <w:p>
            <w:pPr>
              <w:spacing w:after="0"/>
              <w:rPr>
                <w:sz w:val="17"/>
                <w:szCs w:val="17"/>
                <w:color w:val="auto"/>
              </w:rPr>
            </w:pPr>
          </w:p>
        </w:tc>
        <w:tc>
          <w:tcPr>
            <w:tcW w:w="2800" w:type="dxa"/>
            <w:vAlign w:val="bottom"/>
            <w:tcBorders>
              <w:bottom w:val="single" w:sz="8" w:color="D4EFF3"/>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80" w:type="dxa"/>
            <w:vAlign w:val="bottom"/>
            <w:tcBorders>
              <w:bottom w:val="single" w:sz="8" w:color="D4EFF3"/>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Fiscal 2021</w:t>
            </w:r>
          </w:p>
        </w:tc>
      </w:tr>
      <w:tr>
        <w:trPr>
          <w:trHeight w:val="220"/>
        </w:trPr>
        <w:tc>
          <w:tcPr>
            <w:tcW w:w="43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Audit Fees</w:t>
            </w:r>
          </w:p>
        </w:tc>
        <w:tc>
          <w:tcPr>
            <w:tcW w:w="2800" w:type="dxa"/>
            <w:vAlign w:val="bottom"/>
            <w:shd w:val="clear" w:color="auto" w:fill="D4EFF3"/>
          </w:tcPr>
          <w:p>
            <w:pPr>
              <w:spacing w:after="0"/>
              <w:rPr>
                <w:sz w:val="19"/>
                <w:szCs w:val="19"/>
                <w:color w:val="auto"/>
              </w:rPr>
            </w:pPr>
          </w:p>
        </w:tc>
        <w:tc>
          <w:tcPr>
            <w:tcW w:w="220" w:type="dxa"/>
            <w:vAlign w:val="bottom"/>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1,145,000</w:t>
            </w:r>
          </w:p>
        </w:tc>
        <w:tc>
          <w:tcPr>
            <w:tcW w:w="180" w:type="dxa"/>
            <w:vAlign w:val="bottom"/>
            <w:shd w:val="clear" w:color="auto" w:fill="D4EFF3"/>
          </w:tcPr>
          <w:p>
            <w:pPr>
              <w:spacing w:after="0"/>
              <w:rPr>
                <w:sz w:val="19"/>
                <w:szCs w:val="19"/>
                <w:color w:val="auto"/>
              </w:rPr>
            </w:pPr>
          </w:p>
        </w:tc>
        <w:tc>
          <w:tcPr>
            <w:tcW w:w="220" w:type="dxa"/>
            <w:vAlign w:val="bottom"/>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1,085,000</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Audit-Related Fees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3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Tax Fees</w:t>
            </w:r>
          </w:p>
        </w:tc>
        <w:tc>
          <w:tcPr>
            <w:tcW w:w="280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34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35,000</w:t>
            </w:r>
          </w:p>
        </w:tc>
        <w:tc>
          <w:tcPr>
            <w:tcW w:w="180" w:type="dxa"/>
            <w:vAlign w:val="bottom"/>
            <w:shd w:val="clear" w:color="auto" w:fill="D4EFF3"/>
          </w:tcPr>
          <w:p>
            <w:pPr>
              <w:spacing w:after="0"/>
              <w:rPr>
                <w:sz w:val="19"/>
                <w:szCs w:val="19"/>
                <w:color w:val="auto"/>
              </w:rPr>
            </w:pPr>
          </w:p>
        </w:tc>
        <w:tc>
          <w:tcPr>
            <w:tcW w:w="220" w:type="dxa"/>
            <w:vAlign w:val="bottom"/>
            <w:shd w:val="clear" w:color="auto" w:fill="D4EFF3"/>
          </w:tcPr>
          <w:p>
            <w:pPr>
              <w:spacing w:after="0"/>
              <w:rPr>
                <w:sz w:val="19"/>
                <w:szCs w:val="19"/>
                <w:color w:val="auto"/>
              </w:rPr>
            </w:pPr>
          </w:p>
        </w:tc>
        <w:tc>
          <w:tcPr>
            <w:tcW w:w="1320" w:type="dxa"/>
            <w:vAlign w:val="bottom"/>
            <w:shd w:val="clear" w:color="auto" w:fill="D4EFF3"/>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3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All Other Fees</w:t>
            </w:r>
          </w:p>
        </w:tc>
        <w:tc>
          <w:tcPr>
            <w:tcW w:w="280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4EFF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3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80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1,180,000</w:t>
            </w:r>
          </w:p>
        </w:tc>
        <w:tc>
          <w:tcPr>
            <w:tcW w:w="18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D4EFF3"/>
          </w:tcPr>
          <w:p>
            <w:pPr>
              <w:jc w:val="right"/>
              <w:ind w:right="3"/>
              <w:spacing w:after="0" w:line="220" w:lineRule="exact"/>
              <w:rPr>
                <w:sz w:val="20"/>
                <w:szCs w:val="20"/>
                <w:color w:val="auto"/>
              </w:rPr>
            </w:pPr>
            <w:r>
              <w:rPr>
                <w:rFonts w:ascii="Times New Roman" w:cs="Times New Roman" w:eastAsia="Times New Roman" w:hAnsi="Times New Roman"/>
                <w:sz w:val="20"/>
                <w:szCs w:val="20"/>
                <w:color w:val="auto"/>
              </w:rPr>
              <w:t>1,085,000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Fees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Audit fees consist of fees billed and unbilled for professional services performed by EY for the audit of our annual consolidated financial statements, the review of interim consolidated financial statements, and services that are normally provided in connection with registration statements. The 2022 audit fees included $565,000 of fees in connection with the filing of our Registration Statement on Form S-4 and $200,000 of fees in connection with the filing of our Registration Statement on Form S-3. The 2021 audit fees included $685,000 of fees in connection with a planned equity financing which did not occur.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Fees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Tax fees consist of tax compliance, tax advice and tax planning services.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of Audit and Non-Audit Services</w:t>
      </w:r>
    </w:p>
    <w:p>
      <w:pPr>
        <w:spacing w:after="0" w:line="12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It is the policy of our Audit Committee that all services to be provided by our independent registered public accounting firm, including audit services and permitted audit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related and non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audit services, must be approved in advance by our Audit Committee, except that pre-approval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2022 and 2021 were pre-approved by the Audit Committee in accordance with the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approval policy described above.</w:t>
      </w:r>
    </w:p>
    <w:p>
      <w:pPr>
        <w:sectPr>
          <w:pgSz w:w="12240" w:h="15840" w:orient="portrait"/>
          <w:cols w:equalWidth="0" w:num="1">
            <w:col w:w="10440"/>
          </w:cols>
          <w:pgMar w:left="900" w:top="70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10440"/>
          </w:cols>
          <w:pgMar w:left="900" w:top="700" w:right="900" w:bottom="175" w:gutter="0" w:footer="0" w:header="0"/>
          <w:type w:val="continuous"/>
        </w:sectPr>
      </w:pPr>
    </w:p>
    <w:bookmarkStart w:id="159" w:name="page160"/>
    <w:bookmarkEnd w:id="159"/>
    <w:p>
      <w:pPr>
        <w:jc w:val="center"/>
        <w:ind w:right="-46"/>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FINANCIAL STATEMENT SCHEDULES</w:t>
      </w:r>
    </w:p>
    <w:p>
      <w:pPr>
        <w:spacing w:after="0" w:line="126" w:lineRule="exact"/>
        <w:rPr>
          <w:sz w:val="20"/>
          <w:szCs w:val="20"/>
          <w:color w:val="auto"/>
        </w:rPr>
      </w:pPr>
    </w:p>
    <w:p>
      <w:pPr>
        <w:ind w:left="487" w:hanging="487"/>
        <w:spacing w:after="0"/>
        <w:tabs>
          <w:tab w:leader="none" w:pos="487" w:val="left"/>
        </w:tabs>
        <w:numPr>
          <w:ilvl w:val="0"/>
          <w:numId w:val="8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Statements</w:t>
      </w:r>
    </w:p>
    <w:p>
      <w:pPr>
        <w:spacing w:after="0" w:line="118" w:lineRule="exact"/>
        <w:rPr>
          <w:sz w:val="20"/>
          <w:szCs w:val="20"/>
          <w:color w:val="auto"/>
        </w:rPr>
      </w:pPr>
    </w:p>
    <w:p>
      <w:pPr>
        <w:ind w:left="7" w:firstLine="490"/>
        <w:spacing w:after="0" w:line="277" w:lineRule="auto"/>
        <w:rPr>
          <w:sz w:val="20"/>
          <w:szCs w:val="20"/>
          <w:color w:val="auto"/>
        </w:rPr>
      </w:pPr>
      <w:r>
        <w:rPr>
          <w:rFonts w:ascii="Times New Roman" w:cs="Times New Roman" w:eastAsia="Times New Roman" w:hAnsi="Times New Roman"/>
          <w:sz w:val="20"/>
          <w:szCs w:val="20"/>
          <w:color w:val="auto"/>
        </w:rPr>
        <w:t>For a list of the financial statements included herein, see Index to the Consolidated Financial Statements on page 108 of this Annual Report on Form 10-K, incorporated into this Item by reference.</w:t>
      </w:r>
    </w:p>
    <w:p>
      <w:pPr>
        <w:spacing w:after="0" w:line="171" w:lineRule="exact"/>
        <w:rPr>
          <w:sz w:val="20"/>
          <w:szCs w:val="20"/>
          <w:color w:val="auto"/>
        </w:rPr>
      </w:pPr>
    </w:p>
    <w:p>
      <w:pPr>
        <w:ind w:left="487" w:hanging="487"/>
        <w:spacing w:after="0"/>
        <w:tabs>
          <w:tab w:leader="none" w:pos="487" w:val="left"/>
        </w:tabs>
        <w:numPr>
          <w:ilvl w:val="0"/>
          <w:numId w:val="8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 Schedules</w:t>
      </w:r>
    </w:p>
    <w:p>
      <w:pPr>
        <w:spacing w:after="0" w:line="118" w:lineRule="exact"/>
        <w:rPr>
          <w:sz w:val="20"/>
          <w:szCs w:val="20"/>
          <w:color w:val="auto"/>
        </w:rPr>
      </w:pPr>
    </w:p>
    <w:p>
      <w:pPr>
        <w:ind w:left="7" w:right="20" w:firstLine="490"/>
        <w:spacing w:after="0" w:line="277" w:lineRule="auto"/>
        <w:rPr>
          <w:sz w:val="20"/>
          <w:szCs w:val="20"/>
          <w:color w:val="auto"/>
        </w:rPr>
      </w:pPr>
      <w:r>
        <w:rPr>
          <w:rFonts w:ascii="Times New Roman" w:cs="Times New Roman" w:eastAsia="Times New Roman" w:hAnsi="Times New Roman"/>
          <w:sz w:val="20"/>
          <w:szCs w:val="20"/>
          <w:color w:val="auto"/>
        </w:rPr>
        <w:t>Financial statement schedules have been omitted because they are either not required or not applicable or the information is included in the consolidated financial statements or the notes thereto.</w:t>
      </w:r>
    </w:p>
    <w:p>
      <w:pPr>
        <w:spacing w:after="0" w:line="171" w:lineRule="exact"/>
        <w:rPr>
          <w:sz w:val="20"/>
          <w:szCs w:val="20"/>
          <w:color w:val="auto"/>
        </w:rPr>
      </w:pPr>
    </w:p>
    <w:p>
      <w:pPr>
        <w:ind w:left="487" w:hanging="487"/>
        <w:spacing w:after="0"/>
        <w:tabs>
          <w:tab w:leader="none" w:pos="487" w:val="left"/>
        </w:tabs>
        <w:numPr>
          <w:ilvl w:val="0"/>
          <w:numId w:val="8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Exhibits</w:t>
      </w:r>
    </w:p>
    <w:p>
      <w:pPr>
        <w:spacing w:after="0" w:line="118" w:lineRule="exact"/>
        <w:rPr>
          <w:sz w:val="20"/>
          <w:szCs w:val="20"/>
          <w:color w:val="auto"/>
        </w:rPr>
      </w:pPr>
    </w:p>
    <w:p>
      <w:pPr>
        <w:jc w:val="both"/>
        <w:ind w:left="7" w:right="180" w:firstLine="490"/>
        <w:spacing w:after="0" w:line="258" w:lineRule="auto"/>
        <w:rPr>
          <w:sz w:val="20"/>
          <w:szCs w:val="20"/>
          <w:color w:val="auto"/>
        </w:rPr>
      </w:pPr>
      <w:r>
        <w:rPr>
          <w:rFonts w:ascii="Times New Roman" w:cs="Times New Roman" w:eastAsia="Times New Roman" w:hAnsi="Times New Roman"/>
          <w:sz w:val="20"/>
          <w:szCs w:val="20"/>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ectPr>
          <w:pgSz w:w="12240" w:h="15840" w:orient="portrait"/>
          <w:cols w:equalWidth="0" w:num="1">
            <w:col w:w="10407"/>
          </w:cols>
          <w:pgMar w:left="893" w:top="696" w:right="9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10407"/>
          </w:cols>
          <w:pgMar w:left="893" w:top="696" w:right="940" w:bottom="175"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9"/>
          <w:szCs w:val="19"/>
          <w:b w:val="1"/>
          <w:bCs w:val="1"/>
          <w:color w:val="auto"/>
        </w:rPr>
        <w:t>Exhibit Index</w:t>
      </w:r>
    </w:p>
    <w:p>
      <w:pPr>
        <w:sectPr>
          <w:pgSz w:w="12240" w:h="15840" w:orient="portrait"/>
          <w:cols w:equalWidth="0" w:num="1">
            <w:col w:w="10420"/>
          </w:cols>
          <w:pgMar w:left="900" w:top="696" w:right="920" w:bottom="175" w:gutter="0" w:footer="0" w:header="0"/>
        </w:sectPr>
      </w:pP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66357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1">
                      <a:extLst>
                        <a:ext uri="{28A0092B-C50C-407E-A947-70E740481C1C}"/>
                      </a:extLst>
                    </a:blip>
                    <a:srcRect/>
                    <a:stretch>
                      <a:fillRect/>
                    </a:stretch>
                  </pic:blipFill>
                  <pic:spPr bwMode="auto">
                    <a:xfrm>
                      <a:off x="0" y="0"/>
                      <a:ext cx="663575" cy="12700"/>
                    </a:xfrm>
                    <a:prstGeom prst="rect">
                      <a:avLst/>
                    </a:prstGeom>
                    <a:noFill/>
                  </pic:spPr>
                </pic:pic>
              </a:graphicData>
            </a:graphic>
          </wp:anchor>
        </w:drawing>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12065</wp:posOffset>
            </wp:positionV>
            <wp:extent cx="5901690"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2">
                      <a:extLst>
                        <a:ext uri="{28A0092B-C50C-407E-A947-70E740481C1C}"/>
                      </a:extLst>
                    </a:blip>
                    <a:srcRect/>
                    <a:stretch>
                      <a:fillRect/>
                    </a:stretch>
                  </pic:blipFill>
                  <pic:spPr bwMode="auto">
                    <a:xfrm>
                      <a:off x="0" y="0"/>
                      <a:ext cx="5901690" cy="12700"/>
                    </a:xfrm>
                    <a:prstGeom prst="rect">
                      <a:avLst/>
                    </a:prstGeom>
                    <a:noFill/>
                  </pic:spPr>
                </pic:pic>
              </a:graphicData>
            </a:graphic>
          </wp:anchor>
        </w:drawing>
      </w:r>
    </w:p>
    <w:p>
      <w:pPr>
        <w:spacing w:after="0" w:line="1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Agreement and Plan of Merger and reorganization, dated as of August 9, 2022, by and among Gemini Therapeutics, Inc. Gemstone Merger Sub, Inc. and Disc Medicine, Inc. (incorporated by reference to Exhibit 2.1 to the Registrant’s Proxy Statement/Prospectus on Form S-4 filed on September 2, 2022).</w:t>
      </w:r>
    </w:p>
    <w:p>
      <w:pPr>
        <w:spacing w:after="0" w:line="178" w:lineRule="exact"/>
        <w:rPr>
          <w:sz w:val="20"/>
          <w:szCs w:val="20"/>
          <w:color w:val="auto"/>
        </w:rPr>
      </w:pPr>
    </w:p>
    <w:p>
      <w:pPr>
        <w:sectPr>
          <w:pgSz w:w="12240" w:h="15840" w:orient="portrait"/>
          <w:cols w:equalWidth="0" w:num="2">
            <w:col w:w="800" w:space="400"/>
            <w:col w:w="9220"/>
          </w:cols>
          <w:pgMar w:left="900" w:top="696" w:right="920" w:bottom="175" w:gutter="0" w:footer="0" w:header="0"/>
          <w:type w:val="continuous"/>
        </w:sectPr>
      </w:pPr>
    </w:p>
    <w:tbl>
      <w:tblPr>
        <w:tblLayout w:type="fixed"/>
        <w:tblInd w:w="1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Amended and Restated Certificate of Incorporation of Disc Medicine, Inc. (incorporated by reference to Annex B</w:t>
            </w:r>
          </w:p>
        </w:tc>
      </w:tr>
      <w:tr>
        <w:trPr>
          <w:trHeight w:val="266"/>
        </w:trPr>
        <w:tc>
          <w:tcPr>
            <w:tcW w:w="780" w:type="dxa"/>
            <w:vAlign w:val="bottom"/>
          </w:tcPr>
          <w:p>
            <w:pPr>
              <w:spacing w:after="0"/>
              <w:rPr>
                <w:sz w:val="23"/>
                <w:szCs w:val="23"/>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 Gemini Therapeutics, Inc.’s Proxy Statement/Prospectus on Form S-4/A (Registration No. 333-249785)).</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Certificate of Amendment to the Amended and Restated Certificate of Incorporation of Disc Medicine, Inc., dated</w:t>
            </w:r>
          </w:p>
        </w:tc>
      </w:tr>
      <w:tr>
        <w:trPr>
          <w:trHeight w:val="230"/>
        </w:trPr>
        <w:tc>
          <w:tcPr>
            <w:tcW w:w="780" w:type="dxa"/>
            <w:vAlign w:val="bottom"/>
          </w:tcPr>
          <w:p>
            <w:pPr>
              <w:spacing w:after="0"/>
              <w:rPr>
                <w:sz w:val="19"/>
                <w:szCs w:val="19"/>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December 28, 2022 (incorporated by reference to Exhibit 3.1 to the Registrant’s Current Report on Form 8-K filed</w:t>
            </w:r>
          </w:p>
        </w:tc>
      </w:tr>
      <w:tr>
        <w:trPr>
          <w:trHeight w:val="266"/>
        </w:trPr>
        <w:tc>
          <w:tcPr>
            <w:tcW w:w="780" w:type="dxa"/>
            <w:vAlign w:val="bottom"/>
          </w:tcPr>
          <w:p>
            <w:pPr>
              <w:spacing w:after="0"/>
              <w:rPr>
                <w:sz w:val="23"/>
                <w:szCs w:val="23"/>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on December 29,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Certificate of Amendment to the Amended and Restated Certificate of Incorporation of Disc Medicine, Inc., dated</w:t>
            </w:r>
          </w:p>
        </w:tc>
      </w:tr>
      <w:tr>
        <w:trPr>
          <w:trHeight w:val="230"/>
        </w:trPr>
        <w:tc>
          <w:tcPr>
            <w:tcW w:w="780" w:type="dxa"/>
            <w:vAlign w:val="bottom"/>
          </w:tcPr>
          <w:p>
            <w:pPr>
              <w:spacing w:after="0"/>
              <w:rPr>
                <w:sz w:val="19"/>
                <w:szCs w:val="19"/>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December 29, 2022 (incorporated by reference to Exhibit 3.2 to the Registrant’s Current Report on Form 8-K filed</w:t>
            </w:r>
          </w:p>
        </w:tc>
      </w:tr>
      <w:tr>
        <w:trPr>
          <w:trHeight w:val="266"/>
        </w:trPr>
        <w:tc>
          <w:tcPr>
            <w:tcW w:w="780" w:type="dxa"/>
            <w:vAlign w:val="bottom"/>
          </w:tcPr>
          <w:p>
            <w:pPr>
              <w:spacing w:after="0"/>
              <w:rPr>
                <w:sz w:val="23"/>
                <w:szCs w:val="23"/>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on December 29,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Amended and Restated By-laws of Disc Medicine, Inc. (incorporated by reference to Annex C to Gemini</w:t>
            </w:r>
          </w:p>
        </w:tc>
      </w:tr>
      <w:tr>
        <w:trPr>
          <w:trHeight w:val="266"/>
        </w:trPr>
        <w:tc>
          <w:tcPr>
            <w:tcW w:w="780" w:type="dxa"/>
            <w:vAlign w:val="bottom"/>
          </w:tcPr>
          <w:p>
            <w:pPr>
              <w:spacing w:after="0"/>
              <w:rPr>
                <w:sz w:val="23"/>
                <w:szCs w:val="23"/>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Therapeutics, Inc.’s Proxy Statement/Prospectus on Form S-4/A (Registration No. 333-249785)).</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Exchange Act (incorporated by</w:t>
            </w:r>
          </w:p>
        </w:tc>
      </w:tr>
      <w:tr>
        <w:trPr>
          <w:trHeight w:val="266"/>
        </w:trPr>
        <w:tc>
          <w:tcPr>
            <w:tcW w:w="780" w:type="dxa"/>
            <w:vAlign w:val="bottom"/>
          </w:tcPr>
          <w:p>
            <w:pPr>
              <w:spacing w:after="0"/>
              <w:rPr>
                <w:sz w:val="23"/>
                <w:szCs w:val="23"/>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reference to Exhibit 4.4 to Gemini Therapeutics, Inc.’s Annual Report on Form 10-K filed on March 10,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Registration Rights Agreement, among Disc Medicine, Inc. and certain of its stockholders, dated December 28,</w:t>
            </w:r>
          </w:p>
        </w:tc>
      </w:tr>
      <w:tr>
        <w:trPr>
          <w:trHeight w:val="230"/>
        </w:trPr>
        <w:tc>
          <w:tcPr>
            <w:tcW w:w="780" w:type="dxa"/>
            <w:vAlign w:val="bottom"/>
          </w:tcPr>
          <w:p>
            <w:pPr>
              <w:spacing w:after="0"/>
              <w:rPr>
                <w:sz w:val="19"/>
                <w:szCs w:val="19"/>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2022 (incorporated by reference to Exhibit 10.1 to the Registrant’s Current Report on Form 8-K filed on December</w:t>
            </w:r>
          </w:p>
        </w:tc>
      </w:tr>
      <w:tr>
        <w:trPr>
          <w:trHeight w:val="266"/>
        </w:trPr>
        <w:tc>
          <w:tcPr>
            <w:tcW w:w="780" w:type="dxa"/>
            <w:vAlign w:val="bottom"/>
          </w:tcPr>
          <w:p>
            <w:pPr>
              <w:spacing w:after="0"/>
              <w:rPr>
                <w:sz w:val="23"/>
                <w:szCs w:val="23"/>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29,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Registration Rights Agreement, dated February 5, 2021, by and among Gemini Therapeutics, Inc. and the</w:t>
            </w:r>
          </w:p>
        </w:tc>
      </w:tr>
      <w:tr>
        <w:trPr>
          <w:trHeight w:val="230"/>
        </w:trPr>
        <w:tc>
          <w:tcPr>
            <w:tcW w:w="780" w:type="dxa"/>
            <w:vAlign w:val="bottom"/>
          </w:tcPr>
          <w:p>
            <w:pPr>
              <w:spacing w:after="0"/>
              <w:rPr>
                <w:sz w:val="19"/>
                <w:szCs w:val="19"/>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stockholder parties thereto (incorporated by reference to Exhibit 10.1 on Form 8-A12B/A filed on February 5,</w:t>
            </w:r>
          </w:p>
        </w:tc>
      </w:tr>
      <w:tr>
        <w:trPr>
          <w:trHeight w:val="266"/>
        </w:trPr>
        <w:tc>
          <w:tcPr>
            <w:tcW w:w="780" w:type="dxa"/>
            <w:vAlign w:val="bottom"/>
          </w:tcPr>
          <w:p>
            <w:pPr>
              <w:spacing w:after="0"/>
              <w:rPr>
                <w:sz w:val="23"/>
                <w:szCs w:val="23"/>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2021).</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License Agreement by and among Disc Medicine, Inc., F. Hoffmann-La Roche Ltd and Hoffmann-La Roche Inc.,</w:t>
            </w:r>
          </w:p>
        </w:tc>
      </w:tr>
      <w:tr>
        <w:trPr>
          <w:trHeight w:val="230"/>
        </w:trPr>
        <w:tc>
          <w:tcPr>
            <w:tcW w:w="78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dated May 7, 2021 (incorporated by reference to Exhibit 10.2 to the Registrant’s Proxy Statement/Prospectus on</w:t>
            </w:r>
          </w:p>
        </w:tc>
      </w:tr>
      <w:tr>
        <w:trPr>
          <w:trHeight w:val="266"/>
        </w:trPr>
        <w:tc>
          <w:tcPr>
            <w:tcW w:w="780" w:type="dxa"/>
            <w:vAlign w:val="bottom"/>
          </w:tcPr>
          <w:p>
            <w:pPr>
              <w:spacing w:after="0"/>
              <w:rPr>
                <w:sz w:val="23"/>
                <w:szCs w:val="23"/>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S-4 filed on September 2,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License Agreement by and between Disc Medicine, Inc. and AbbVie Deutschland GmbH &amp; Co, KG, dated</w:t>
            </w:r>
          </w:p>
        </w:tc>
      </w:tr>
      <w:tr>
        <w:trPr>
          <w:trHeight w:val="230"/>
        </w:trPr>
        <w:tc>
          <w:tcPr>
            <w:tcW w:w="78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September 13, 2019 (incorporated by reference to Exhibit 10.3 to the Registrant’s Proxy Statement/Prospectus on</w:t>
            </w:r>
          </w:p>
        </w:tc>
      </w:tr>
      <w:tr>
        <w:trPr>
          <w:trHeight w:val="266"/>
        </w:trPr>
        <w:tc>
          <w:tcPr>
            <w:tcW w:w="780" w:type="dxa"/>
            <w:vAlign w:val="bottom"/>
          </w:tcPr>
          <w:p>
            <w:pPr>
              <w:spacing w:after="0"/>
              <w:rPr>
                <w:sz w:val="23"/>
                <w:szCs w:val="23"/>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S-4 filed on November 23,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by and between Disc Medicine, Inc. and ARE-MA Region No. 75, LLC, dated October 29, 2021</w:t>
            </w:r>
          </w:p>
        </w:tc>
      </w:tr>
      <w:tr>
        <w:trPr>
          <w:trHeight w:val="230"/>
        </w:trPr>
        <w:tc>
          <w:tcPr>
            <w:tcW w:w="78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(incorporated by reference to Exhibit 10.4 to the Registrant’s Proxy Statement/Prospectus on Form S-4 filed on</w:t>
            </w:r>
          </w:p>
        </w:tc>
      </w:tr>
      <w:tr>
        <w:trPr>
          <w:trHeight w:val="266"/>
        </w:trPr>
        <w:tc>
          <w:tcPr>
            <w:tcW w:w="780" w:type="dxa"/>
            <w:vAlign w:val="bottom"/>
          </w:tcPr>
          <w:p>
            <w:pPr>
              <w:spacing w:after="0"/>
              <w:rPr>
                <w:sz w:val="23"/>
                <w:szCs w:val="23"/>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September 2,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Addendum to License Agreement by and among Disc Medicine, Inc., F. Hoffmann-La Roche Ltd and Hoffmann-</w:t>
            </w:r>
          </w:p>
        </w:tc>
      </w:tr>
      <w:tr>
        <w:trPr>
          <w:trHeight w:val="230"/>
        </w:trPr>
        <w:tc>
          <w:tcPr>
            <w:tcW w:w="78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La Roche Inc., dated December 7, 2021 (incorporated by reference to Exhibit 10.5 to the Registrant’s Proxy</w:t>
            </w:r>
          </w:p>
        </w:tc>
      </w:tr>
      <w:tr>
        <w:trPr>
          <w:trHeight w:val="266"/>
        </w:trPr>
        <w:tc>
          <w:tcPr>
            <w:tcW w:w="780" w:type="dxa"/>
            <w:vAlign w:val="bottom"/>
          </w:tcPr>
          <w:p>
            <w:pPr>
              <w:spacing w:after="0"/>
              <w:rPr>
                <w:sz w:val="23"/>
                <w:szCs w:val="23"/>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Statement/Prospectus on Form S-4 filed on September 2,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Amendment to Addendum to License Agreement by and among Disc Medicine, Inc., F. Hoffmann-La Roche Ltd</w:t>
            </w:r>
          </w:p>
        </w:tc>
      </w:tr>
      <w:tr>
        <w:trPr>
          <w:trHeight w:val="230"/>
        </w:trPr>
        <w:tc>
          <w:tcPr>
            <w:tcW w:w="78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and Hoffmann-La Roche Inc., dated February 28, 2022 (incorporated by reference to Exhibit 10.6 to the</w:t>
            </w:r>
          </w:p>
        </w:tc>
      </w:tr>
      <w:tr>
        <w:trPr>
          <w:trHeight w:val="266"/>
        </w:trPr>
        <w:tc>
          <w:tcPr>
            <w:tcW w:w="780" w:type="dxa"/>
            <w:vAlign w:val="bottom"/>
          </w:tcPr>
          <w:p>
            <w:pPr>
              <w:spacing w:after="0"/>
              <w:rPr>
                <w:sz w:val="23"/>
                <w:szCs w:val="23"/>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Registrant’s Proxy Statement/Prospectus on Form S-4 filed on September 2,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Second Amendment to Addendum to License Agreement by and among Disc Medicine, Inc., F. Hoffmann-La</w:t>
            </w:r>
          </w:p>
        </w:tc>
      </w:tr>
      <w:tr>
        <w:trPr>
          <w:trHeight w:val="230"/>
        </w:trPr>
        <w:tc>
          <w:tcPr>
            <w:tcW w:w="78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Roche Ltd and Hoffmann-La Roche Inc., dated May 31, 2022 (incorporated by reference to Exhibit 10.7 to the</w:t>
            </w:r>
          </w:p>
        </w:tc>
      </w:tr>
      <w:tr>
        <w:trPr>
          <w:trHeight w:val="266"/>
        </w:trPr>
        <w:tc>
          <w:tcPr>
            <w:tcW w:w="780" w:type="dxa"/>
            <w:vAlign w:val="bottom"/>
          </w:tcPr>
          <w:p>
            <w:pPr>
              <w:spacing w:after="0"/>
              <w:rPr>
                <w:sz w:val="23"/>
                <w:szCs w:val="23"/>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Registrant’s Proxy Statement/Prospectus on Form S-4 filed on September 2, 2022).</w:t>
            </w:r>
          </w:p>
        </w:tc>
      </w:tr>
    </w:tbl>
    <w:p>
      <w:pPr>
        <w:spacing w:after="0" w:line="200" w:lineRule="exact"/>
        <w:rPr>
          <w:sz w:val="20"/>
          <w:szCs w:val="20"/>
          <w:color w:val="auto"/>
        </w:rPr>
      </w:pPr>
    </w:p>
    <w:p>
      <w:pPr>
        <w:sectPr>
          <w:pgSz w:w="12240" w:h="15840" w:orient="portrait"/>
          <w:cols w:equalWidth="0" w:num="1">
            <w:col w:w="10420"/>
          </w:cols>
          <w:pgMar w:left="900" w:top="696" w:right="9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10420"/>
          </w:cols>
          <w:pgMar w:left="900" w:top="696" w:right="920" w:bottom="175" w:gutter="0" w:footer="0" w:header="0"/>
          <w:type w:val="continuous"/>
        </w:sectPr>
      </w:pPr>
    </w:p>
    <w:bookmarkStart w:id="161" w:name="page162"/>
    <w:bookmarkEnd w:id="161"/>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8255</wp:posOffset>
            </wp:positionV>
            <wp:extent cx="66357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3">
                      <a:extLst>
                        <a:ext uri="{28A0092B-C50C-407E-A947-70E740481C1C}"/>
                      </a:extLst>
                    </a:blip>
                    <a:srcRect/>
                    <a:stretch>
                      <a:fillRect/>
                    </a:stretch>
                  </pic:blipFill>
                  <pic:spPr bwMode="auto">
                    <a:xfrm>
                      <a:off x="0" y="0"/>
                      <a:ext cx="663575" cy="127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901690"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a:extLst>
                        <a:ext uri="{28A0092B-C50C-407E-A947-70E740481C1C}"/>
                      </a:extLst>
                    </a:blip>
                    <a:srcRect/>
                    <a:stretch>
                      <a:fillRect/>
                    </a:stretch>
                  </pic:blipFill>
                  <pic:spPr bwMode="auto">
                    <a:xfrm>
                      <a:off x="0" y="0"/>
                      <a:ext cx="5901690" cy="12700"/>
                    </a:xfrm>
                    <a:prstGeom prst="rect">
                      <a:avLst/>
                    </a:prstGeom>
                    <a:noFill/>
                  </pic:spPr>
                </pic:pic>
              </a:graphicData>
            </a:graphic>
          </wp:anchor>
        </w:drawing>
      </w:r>
    </w:p>
    <w:p>
      <w:pPr>
        <w:spacing w:after="0" w:line="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Third Amendment to Addendum to License Agreement by and among Disc Medicine, Inc., F. Hoffmann-La Roche Ltd and Hoffmann-La Roche Inc., dated October 19, 2022 (incorporated by reference to Exhibit 10.21 to the Registrant’s Proxy Statement/Prospectus on Form S-4 filed on November 3, 2022).</w:t>
      </w:r>
    </w:p>
    <w:p>
      <w:pPr>
        <w:spacing w:after="0" w:line="178" w:lineRule="exact"/>
        <w:rPr>
          <w:sz w:val="20"/>
          <w:szCs w:val="20"/>
          <w:color w:val="auto"/>
        </w:rPr>
      </w:pPr>
    </w:p>
    <w:p>
      <w:pPr>
        <w:sectPr>
          <w:pgSz w:w="12240" w:h="15840" w:orient="portrait"/>
          <w:cols w:equalWidth="0" w:num="2">
            <w:col w:w="660" w:space="360"/>
            <w:col w:w="9280"/>
          </w:cols>
          <w:pgMar w:left="1040" w:top="976" w:right="900" w:bottom="175" w:gutter="0" w:footer="0" w:header="0"/>
        </w:sect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Common Stock Issuance Agreement, dated as of December 29, 2022, by and between Disc Medicine Opco, Inc., F.</w:t>
            </w:r>
          </w:p>
        </w:tc>
      </w:tr>
      <w:tr>
        <w:trPr>
          <w:trHeight w:val="230"/>
        </w:trPr>
        <w:tc>
          <w:tcPr>
            <w:tcW w:w="780" w:type="dxa"/>
            <w:vAlign w:val="bottom"/>
          </w:tcPr>
          <w:p>
            <w:pPr>
              <w:spacing w:after="0"/>
              <w:rPr>
                <w:sz w:val="19"/>
                <w:szCs w:val="19"/>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Hoffmann-La Roche Ltd. and Hoffmann-La Roche Inc. (incorporated by reference to Exhibit 10.5 to the</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Registrant’s Current Report on Form 8-K filed on December 29,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 Purchase and Restriction Agreement, dated September 13, 2019, by and between Disc Medicine, Inc. and</w:t>
            </w:r>
          </w:p>
        </w:tc>
      </w:tr>
      <w:tr>
        <w:trPr>
          <w:trHeight w:val="230"/>
        </w:trPr>
        <w:tc>
          <w:tcPr>
            <w:tcW w:w="780" w:type="dxa"/>
            <w:vAlign w:val="bottom"/>
          </w:tcPr>
          <w:p>
            <w:pPr>
              <w:spacing w:after="0"/>
              <w:rPr>
                <w:sz w:val="19"/>
                <w:szCs w:val="19"/>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AbbVie Deutschland GmbH &amp; Co. KG (incorporated by reference to Exhibit 10.22 to the Registrant’s Proxy</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Statement/Prospectus on Form S-4 filed on November 23,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Disc Medicine, Inc. Amended and Restated 2021 Stock Option and Incentive Plan (incorporated by reference to</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Exhibit 99.1 of Disc Medicine, Inc.’s Form S-8 filed on January 18, 2023 (Registration No. 333-269271)).</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Forms of Award Agreements under the Disc Medicine, Inc. Amended and Restated 2021 Stock Option and</w:t>
            </w:r>
          </w:p>
        </w:tc>
      </w:tr>
      <w:tr>
        <w:trPr>
          <w:trHeight w:val="230"/>
        </w:trPr>
        <w:tc>
          <w:tcPr>
            <w:tcW w:w="780" w:type="dxa"/>
            <w:vAlign w:val="bottom"/>
          </w:tcPr>
          <w:p>
            <w:pPr>
              <w:spacing w:after="0"/>
              <w:rPr>
                <w:sz w:val="19"/>
                <w:szCs w:val="19"/>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Incentive Plan (incorporated by reference to Exhibit 99.2 of Disc Medicine, Inc.’s Form S-8 filed on January 18,</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2023 (Registration No. 333-269271)).</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Disc Medicine, Inc. Amended and Restated 2021 Employee Stock Purchase Plan (incorporated by reference to</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Exhibit 99.3 of Disc Medicine, Inc.’s Form S-8 filed on January 18, 2023 (Registration No. 333-269271)).</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2017 Stock Option and Grant Plan of Disc Medicine, Inc., and form of award agreements thereunder (incorporated</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by reference to Exhibit 10.9 to the Registrant’s Current Report on Form 8-K filed on December 29,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2021 Inducement Plan (incorporated by reference to Exhibit 99.3 of Gemini Therapeutics, Inc.’s Form S-8 filed on</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13, 2021 (Registration No. 333-255194)).</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Form of Indemnification Agreement for Directors of Disc Medicine, Inc. (incorporated by reference to Exhibit 10.3</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 the Registrant’s Current Report on Form 8-K filed on December 29,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of Indemnification Agreement for Officers of Disc Medicine, Inc. (incorporated by reference to Exhibit 10.4</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 the Registrant’s Current Report on Form 8-K filed on December 29, 2022).</w:t>
            </w:r>
          </w:p>
        </w:tc>
      </w:tr>
      <w:tr>
        <w:trPr>
          <w:trHeight w:val="42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Employment Agreement, dated as of December 29, 2022, by and between Disc Medicine, Inc. and John Quisel,</w:t>
            </w:r>
          </w:p>
        </w:tc>
      </w:tr>
      <w:tr>
        <w:trPr>
          <w:trHeight w:val="230"/>
        </w:trPr>
        <w:tc>
          <w:tcPr>
            <w:tcW w:w="780" w:type="dxa"/>
            <w:vAlign w:val="bottom"/>
          </w:tcPr>
          <w:p>
            <w:pPr>
              <w:spacing w:after="0"/>
              <w:rPr>
                <w:sz w:val="19"/>
                <w:szCs w:val="19"/>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J.D. Ph.D. (incorporated by reference to Exhibit 10.6 to the Registrant’s Current Report on Form 8-K filed on</w:t>
            </w:r>
          </w:p>
        </w:tc>
      </w:tr>
      <w:tr>
        <w:trPr>
          <w:trHeight w:val="266"/>
        </w:trPr>
        <w:tc>
          <w:tcPr>
            <w:tcW w:w="780" w:type="dxa"/>
            <w:vAlign w:val="bottom"/>
          </w:tcPr>
          <w:p>
            <w:pPr>
              <w:spacing w:after="0"/>
              <w:rPr>
                <w:sz w:val="23"/>
                <w:szCs w:val="23"/>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December 29, 2022).</w:t>
            </w:r>
          </w:p>
        </w:tc>
      </w:tr>
    </w:tbl>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color w:val="auto"/>
        </w:rPr>
        <w:t>Employment Agreement, dated as of December 29, 2022, by and between Disc Medicine, Inc. and Joanne Bryce.</w:t>
      </w:r>
    </w:p>
    <w:p>
      <w:pPr>
        <w:spacing w:after="0" w:line="230" w:lineRule="exact"/>
        <w:rPr>
          <w:sz w:val="20"/>
          <w:szCs w:val="20"/>
          <w:color w:val="auto"/>
        </w:rPr>
      </w:pPr>
    </w:p>
    <w:p>
      <w:pPr>
        <w:ind w:left="900" w:right="140" w:hanging="900"/>
        <w:spacing w:after="0" w:line="277" w:lineRule="auto"/>
        <w:tabs>
          <w:tab w:leader="none" w:pos="880" w:val="left"/>
        </w:tabs>
        <w:rPr>
          <w:sz w:val="20"/>
          <w:szCs w:val="20"/>
          <w:color w:val="auto"/>
        </w:rPr>
      </w:pPr>
      <w:r>
        <w:rPr>
          <w:rFonts w:ascii="Times New Roman" w:cs="Times New Roman" w:eastAsia="Times New Roman" w:hAnsi="Times New Roman"/>
          <w:sz w:val="20"/>
          <w:szCs w:val="20"/>
          <w:color w:val="auto"/>
        </w:rPr>
        <w:t>10.19*#</w:t>
        <w:tab/>
        <w:t>Employment Agreement, dated as of December 29, 2022, by and between Disc Medicine, Inc. and William Savage, MD, Ph.D.</w:t>
      </w:r>
    </w:p>
    <w:p>
      <w:pPr>
        <w:spacing w:after="0" w:line="1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10.20*#</w:t>
        <w:tab/>
        <w:t>Employment Agreement, dated as of December 29, 2022, by and between Disc Medicine, Inc. and Jonathan Yu</w:t>
      </w:r>
    </w:p>
    <w:p>
      <w:pPr>
        <w:spacing w:after="0" w:line="230" w:lineRule="exact"/>
        <w:rPr>
          <w:sz w:val="20"/>
          <w:szCs w:val="20"/>
          <w:color w:val="auto"/>
        </w:rPr>
      </w:pPr>
    </w:p>
    <w:p>
      <w:pPr>
        <w:ind w:left="900" w:hanging="900"/>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Notice of Termination, Separation Agreement and Release, dated as of December 29, 2022, by and between Gemini Therapeutics, Inc. and Brian Piekos (incorporated by reference to Exhibit 10.10 to the Registrant’s Current Report on Form 8-K filed on December 29, 2022).</w:t>
      </w:r>
    </w:p>
    <w:p>
      <w:pPr>
        <w:spacing w:after="0" w:line="178" w:lineRule="exact"/>
        <w:rPr>
          <w:sz w:val="20"/>
          <w:szCs w:val="20"/>
          <w:color w:val="auto"/>
        </w:rPr>
      </w:pPr>
    </w:p>
    <w:p>
      <w:pPr>
        <w:ind w:left="900" w:right="620" w:hanging="900"/>
        <w:spacing w:after="0" w:line="277" w:lineRule="auto"/>
        <w:tabs>
          <w:tab w:leader="none" w:pos="88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20"/>
          <w:szCs w:val="20"/>
          <w:color w:val="auto"/>
        </w:rPr>
        <w:t>Code of Business Conduct and Ethics of Disc Medicine, Inc. (incorporated by reference to Exhibit 14.1 to the Registrant’s Current Report on Form 8-K filed on December 29, 2022).</w:t>
      </w:r>
    </w:p>
    <w:p>
      <w:pPr>
        <w:spacing w:after="0" w:line="1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List of Subsidiaries of Disc Medicine, Inc.</w:t>
      </w: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20"/>
          <w:szCs w:val="20"/>
          <w:color w:val="auto"/>
        </w:rPr>
        <w:t>Consent of Ernst &amp; Young LLP, independent registered accounting firm.</w:t>
      </w: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Certification of Principal Executive Officer pursuant to Section 302 of the Sarbanes-Oxley Act of 2002</w:t>
      </w:r>
    </w:p>
    <w:p>
      <w:pPr>
        <w:sectPr>
          <w:pgSz w:w="12240" w:h="15840" w:orient="portrait"/>
          <w:cols w:equalWidth="0" w:num="1">
            <w:col w:w="10300"/>
          </w:cols>
          <w:pgMar w:left="1040" w:top="976" w:right="900" w:bottom="175" w:gutter="0" w:footer="0" w:header="0"/>
          <w:type w:val="continuous"/>
        </w:sectPr>
      </w:pPr>
    </w:p>
    <w:p>
      <w:pPr>
        <w:spacing w:after="0" w:line="3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10300"/>
          </w:cols>
          <w:pgMar w:left="1040" w:top="976" w:right="900" w:bottom="175" w:gutter="0" w:footer="0" w:header="0"/>
          <w:type w:val="continuous"/>
        </w:sectPr>
      </w:pPr>
    </w:p>
    <w:bookmarkStart w:id="162" w:name="page163"/>
    <w:bookmarkEnd w:id="162"/>
    <w:tbl>
      <w:tblPr>
        <w:tblLayout w:type="fixed"/>
        <w:tblInd w:w="7" w:type="dxa"/>
        <w:tblCellMar>
          <w:top w:w="0" w:type="dxa"/>
          <w:left w:w="0" w:type="dxa"/>
          <w:bottom w:w="0" w:type="dxa"/>
          <w:right w:w="0" w:type="dxa"/>
        </w:tblCellMar>
      </w:tblPr>
      <w:tr>
        <w:trPr>
          <w:trHeight w:val="184"/>
        </w:trPr>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9280" w:type="dxa"/>
            <w:vAlign w:val="bottom"/>
          </w:tcPr>
          <w:p>
            <w:pPr>
              <w:spacing w:after="0"/>
              <w:rPr>
                <w:sz w:val="16"/>
                <w:szCs w:val="16"/>
                <w:color w:val="auto"/>
              </w:rPr>
            </w:pPr>
          </w:p>
        </w:tc>
      </w:tr>
      <w:tr>
        <w:trPr>
          <w:trHeight w:val="223"/>
        </w:trPr>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9"/>
                <w:szCs w:val="19"/>
                <w:color w:val="auto"/>
              </w:rPr>
            </w:pPr>
          </w:p>
        </w:tc>
        <w:tc>
          <w:tcPr>
            <w:tcW w:w="928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517"/>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31.2*</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Section 302 of the Sarbanes-Oxley Act of 2002</w:t>
            </w:r>
          </w:p>
        </w:tc>
      </w:tr>
      <w:tr>
        <w:trPr>
          <w:trHeight w:val="424"/>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32.1**</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 pursuant to Section 906 of the Sarbanes-Oxley Act of</w:t>
            </w:r>
          </w:p>
        </w:tc>
      </w:tr>
      <w:tr>
        <w:trPr>
          <w:trHeight w:val="266"/>
        </w:trPr>
        <w:tc>
          <w:tcPr>
            <w:tcW w:w="1040" w:type="dxa"/>
            <w:vAlign w:val="bottom"/>
          </w:tcPr>
          <w:p>
            <w:pPr>
              <w:spacing w:after="0"/>
              <w:rPr>
                <w:sz w:val="23"/>
                <w:szCs w:val="23"/>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2002</w:t>
            </w:r>
          </w:p>
        </w:tc>
      </w:tr>
      <w:tr>
        <w:trPr>
          <w:trHeight w:val="460"/>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101.INS</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460"/>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101.SCH</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60"/>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101.CAL</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460"/>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101.DEF</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460"/>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101.LAB</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460"/>
        </w:trPr>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101.PRE</w:t>
            </w:r>
          </w:p>
        </w:tc>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194" w:lineRule="exact"/>
        <w:rPr>
          <w:sz w:val="20"/>
          <w:szCs w:val="20"/>
          <w:color w:val="auto"/>
        </w:rPr>
      </w:pPr>
    </w:p>
    <w:p>
      <w:pPr>
        <w:ind w:left="1047" w:hanging="903"/>
        <w:spacing w:after="0"/>
        <w:tabs>
          <w:tab w:leader="none" w:pos="1047"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349" w:lineRule="exact"/>
        <w:rPr>
          <w:rFonts w:ascii="Times New Roman" w:cs="Times New Roman" w:eastAsia="Times New Roman" w:hAnsi="Times New Roman"/>
          <w:sz w:val="20"/>
          <w:szCs w:val="20"/>
          <w:color w:val="auto"/>
        </w:rPr>
      </w:pPr>
    </w:p>
    <w:p>
      <w:pPr>
        <w:ind w:left="147" w:hanging="147"/>
        <w:spacing w:after="0"/>
        <w:tabs>
          <w:tab w:leader="none" w:pos="14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rFonts w:ascii="Times New Roman" w:cs="Times New Roman" w:eastAsia="Times New Roman" w:hAnsi="Times New Roman"/>
          <w:sz w:val="20"/>
          <w:szCs w:val="20"/>
          <w:color w:val="auto"/>
        </w:rPr>
      </w:pPr>
    </w:p>
    <w:p>
      <w:pPr>
        <w:ind w:left="247" w:hanging="247"/>
        <w:spacing w:after="0"/>
        <w:tabs>
          <w:tab w:leader="none" w:pos="24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ind w:left="7"/>
        <w:spacing w:after="0"/>
        <w:rPr>
          <w:sz w:val="20"/>
          <w:szCs w:val="20"/>
          <w:color w:val="auto"/>
        </w:rPr>
      </w:pPr>
      <w:r>
        <w:rPr>
          <w:rFonts w:ascii="Times New Roman" w:cs="Times New Roman" w:eastAsia="Times New Roman" w:hAnsi="Times New Roman"/>
          <w:sz w:val="20"/>
          <w:szCs w:val="20"/>
          <w:color w:val="auto"/>
        </w:rPr>
        <w:t># Indicates a management contract or compensatory plan.</w:t>
      </w:r>
    </w:p>
    <w:p>
      <w:pPr>
        <w:jc w:val="both"/>
        <w:ind w:left="7" w:right="760" w:hanging="7"/>
        <w:spacing w:after="0"/>
        <w:tabs>
          <w:tab w:leader="none" w:pos="15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annexes, schedules, and certain exhibits to the Merger Agreement have been omitted pursuant to Item 601(b)(2) of Regulation S-K. Gemini hereby agrees to furnish supplementally a copy of any omitted annex, schedule or exhibit to the Commission upon request.</w:t>
      </w:r>
    </w:p>
    <w:p>
      <w:pPr>
        <w:ind w:left="7" w:right="12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Portions of this exhibit (indicated by asterisks) have been omitted in accordance with the rules of the Securities and Exchange Commission.</w:t>
      </w:r>
    </w:p>
    <w:p>
      <w:pPr>
        <w:spacing w:after="0" w:line="193" w:lineRule="exact"/>
        <w:rPr>
          <w:sz w:val="20"/>
          <w:szCs w:val="20"/>
          <w:color w:val="auto"/>
        </w:rPr>
      </w:pPr>
    </w:p>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24"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447"/>
          </w:cols>
          <w:pgMar w:left="893" w:top="97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10447"/>
          </w:cols>
          <w:pgMar w:left="893" w:top="976" w:right="900" w:bottom="175"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00" w:type="dxa"/>
            <w:vAlign w:val="bottom"/>
          </w:tcPr>
          <w:p>
            <w:pPr>
              <w:spacing w:after="0"/>
              <w:rPr>
                <w:sz w:val="23"/>
                <w:szCs w:val="23"/>
                <w:color w:val="auto"/>
              </w:rPr>
            </w:pPr>
          </w:p>
        </w:tc>
        <w:tc>
          <w:tcPr>
            <w:tcW w:w="7040" w:type="dxa"/>
            <w:vAlign w:val="bottom"/>
            <w:gridSpan w:val="2"/>
          </w:tcPr>
          <w:p>
            <w:pPr>
              <w:ind w:left="1640"/>
              <w:spacing w:after="0"/>
              <w:rPr>
                <w:sz w:val="20"/>
                <w:szCs w:val="20"/>
                <w:color w:val="auto"/>
              </w:rPr>
            </w:pPr>
            <w:r>
              <w:rPr>
                <w:rFonts w:ascii="Times New Roman" w:cs="Times New Roman" w:eastAsia="Times New Roman" w:hAnsi="Times New Roman"/>
                <w:sz w:val="20"/>
                <w:szCs w:val="20"/>
                <w:b w:val="1"/>
                <w:bCs w:val="1"/>
                <w:color w:val="auto"/>
              </w:rPr>
              <w:t>DISC MEDICINE, INC.</w:t>
            </w:r>
          </w:p>
        </w:tc>
      </w:tr>
      <w:tr>
        <w:trPr>
          <w:trHeight w:val="47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Date: March 31, 2023</w:t>
            </w:r>
          </w:p>
        </w:tc>
        <w:tc>
          <w:tcPr>
            <w:tcW w:w="704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By:  /s/ Joanne Bryce</w:t>
            </w:r>
          </w:p>
        </w:tc>
      </w:tr>
      <w:tr>
        <w:trPr>
          <w:trHeight w:val="251"/>
        </w:trPr>
        <w:tc>
          <w:tcPr>
            <w:tcW w:w="34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Joanne Bryce, CPA</w:t>
            </w:r>
          </w:p>
        </w:tc>
      </w:tr>
      <w:tr>
        <w:trPr>
          <w:trHeight w:val="230"/>
        </w:trPr>
        <w:tc>
          <w:tcPr>
            <w:tcW w:w="3400" w:type="dxa"/>
            <w:vAlign w:val="bottom"/>
          </w:tcPr>
          <w:p>
            <w:pPr>
              <w:spacing w:after="0"/>
              <w:rPr>
                <w:sz w:val="19"/>
                <w:szCs w:val="19"/>
                <w:color w:val="auto"/>
              </w:rPr>
            </w:pPr>
          </w:p>
        </w:tc>
        <w:tc>
          <w:tcPr>
            <w:tcW w:w="70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6"/>
        </w:trPr>
        <w:tc>
          <w:tcPr>
            <w:tcW w:w="3400" w:type="dxa"/>
            <w:vAlign w:val="bottom"/>
          </w:tcPr>
          <w:p>
            <w:pPr>
              <w:spacing w:after="0"/>
              <w:rPr>
                <w:sz w:val="23"/>
                <w:szCs w:val="23"/>
                <w:color w:val="auto"/>
              </w:rPr>
            </w:pPr>
          </w:p>
        </w:tc>
        <w:tc>
          <w:tcPr>
            <w:tcW w:w="70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bl>
    <w:p>
      <w:pPr>
        <w:spacing w:after="0" w:line="200" w:lineRule="exact"/>
        <w:rPr>
          <w:sz w:val="20"/>
          <w:szCs w:val="20"/>
          <w:color w:val="auto"/>
        </w:rPr>
      </w:pP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10440"/>
          </w:cols>
          <w:pgMar w:left="900" w:top="696" w:right="900" w:bottom="175"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each of John Quisel, J.D., Ph.D., Joanne Bryce, CPA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86"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9"/>
                <w:szCs w:val="19"/>
                <w:color w:val="auto"/>
              </w:rPr>
            </w:pPr>
          </w:p>
        </w:tc>
        <w:tc>
          <w:tcPr>
            <w:tcW w:w="43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20" w:type="dxa"/>
            <w:vAlign w:val="bottom"/>
          </w:tcPr>
          <w:p>
            <w:pPr>
              <w:spacing w:after="0"/>
              <w:rPr>
                <w:sz w:val="19"/>
                <w:szCs w:val="19"/>
                <w:color w:val="auto"/>
              </w:rPr>
            </w:pPr>
          </w:p>
        </w:tc>
        <w:tc>
          <w:tcPr>
            <w:tcW w:w="18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6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/s/ John Quisel</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39"/>
        </w:trPr>
        <w:tc>
          <w:tcPr>
            <w:tcW w:w="4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John Quisel, J.D., Ph.D.</w:t>
            </w:r>
          </w:p>
        </w:tc>
        <w:tc>
          <w:tcPr>
            <w:tcW w:w="1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/s/ Joanne Bryce</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39"/>
        </w:trPr>
        <w:tc>
          <w:tcPr>
            <w:tcW w:w="4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Joanne Bryce, CPA</w:t>
            </w:r>
          </w:p>
        </w:tc>
        <w:tc>
          <w:tcPr>
            <w:tcW w:w="1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Donald Nicholson</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Donald Nicholson,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Kevin Bitterman</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Kevin Bitterman,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Liam Ratcliffe</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Liam Ratcliffe, M.D.,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William White</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William White MPP, J.D.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Mona Ashiya</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Mona Ashiya,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Chin</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Mark Chin, MS, MBA</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Georges Gemayel</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Georges Gemayel,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Jay Backstrom</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31, 2023</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Jay Backstrom, M.D., M.P.H.</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10440"/>
          </w:cols>
          <w:pgMar w:left="900" w:top="696" w:right="900" w:bottom="175" w:gutter="0" w:footer="0" w:header="0"/>
          <w:type w:val="continuous"/>
        </w:sectPr>
      </w:pPr>
    </w:p>
    <w:bookmarkStart w:id="165" w:name="page166"/>
    <w:bookmarkEnd w:id="165"/>
    <w:tbl>
      <w:tblPr>
        <w:tblLayout w:type="fixed"/>
        <w:tblInd w:w="100" w:type="dxa"/>
        <w:tblCellMar>
          <w:top w:w="0" w:type="dxa"/>
          <w:left w:w="0" w:type="dxa"/>
          <w:bottom w:w="0" w:type="dxa"/>
          <w:right w:w="0" w:type="dxa"/>
        </w:tblCellMar>
      </w:tblPr>
      <w:tr>
        <w:trPr>
          <w:trHeight w:val="27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5"/>
                <w:szCs w:val="15"/>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5"/>
                <w:szCs w:val="15"/>
                <w:b w:val="1"/>
                <w:bCs w:val="1"/>
                <w:color w:val="auto"/>
              </w:rPr>
              <w:t>IRECTORS</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5"/>
                <w:szCs w:val="15"/>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5"/>
                <w:szCs w:val="15"/>
                <w:b w:val="1"/>
                <w:bCs w:val="1"/>
                <w:color w:val="auto"/>
              </w:rPr>
              <w:t>FFICERS</w:t>
            </w:r>
          </w:p>
        </w:tc>
        <w:tc>
          <w:tcPr>
            <w:tcW w:w="0" w:type="dxa"/>
            <w:vAlign w:val="bottom"/>
          </w:tcPr>
          <w:p>
            <w:pPr>
              <w:spacing w:after="0"/>
              <w:rPr>
                <w:sz w:val="1"/>
                <w:szCs w:val="1"/>
                <w:color w:val="auto"/>
              </w:rPr>
            </w:pPr>
          </w:p>
        </w:tc>
      </w:tr>
      <w:tr>
        <w:trPr>
          <w:trHeight w:val="431"/>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John Quisel, J.D., Ph.D.</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John Quisel, J.D., Ph.D.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President, Chief Executive Officer</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w w:val="99"/>
              </w:rPr>
              <w:t>President, Chief Executive Officer</w:t>
            </w: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and Director</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and Director</w:t>
            </w:r>
          </w:p>
        </w:tc>
        <w:tc>
          <w:tcPr>
            <w:tcW w:w="0" w:type="dxa"/>
            <w:vAlign w:val="bottom"/>
          </w:tcPr>
          <w:p>
            <w:pPr>
              <w:spacing w:after="0"/>
              <w:rPr>
                <w:sz w:val="1"/>
                <w:szCs w:val="1"/>
                <w:color w:val="auto"/>
              </w:rPr>
            </w:pPr>
          </w:p>
        </w:tc>
      </w:tr>
      <w:tr>
        <w:trPr>
          <w:trHeight w:val="43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Donald Nicholson, Ph.D.</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Joanne Bryce, CPA</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Executive Chairman of the Board</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of Directors, Former Chief</w:t>
            </w:r>
          </w:p>
        </w:tc>
        <w:tc>
          <w:tcPr>
            <w:tcW w:w="28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Jonathan Yu</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Executive Officer, Nimbus</w:t>
            </w:r>
          </w:p>
        </w:tc>
        <w:tc>
          <w:tcPr>
            <w:tcW w:w="2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Therapeutics, LLC</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Chief Business Officer</w:t>
            </w: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Mona Ashiya, Ph.D.</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William Savage, M.D., Ph.D.</w:t>
            </w:r>
          </w:p>
        </w:tc>
        <w:tc>
          <w:tcPr>
            <w:tcW w:w="0" w:type="dxa"/>
            <w:vAlign w:val="bottom"/>
          </w:tcPr>
          <w:p>
            <w:pPr>
              <w:spacing w:after="0"/>
              <w:rPr>
                <w:sz w:val="1"/>
                <w:szCs w:val="1"/>
                <w:color w:val="auto"/>
              </w:rPr>
            </w:pPr>
          </w:p>
        </w:tc>
      </w:tr>
      <w:tr>
        <w:trPr>
          <w:trHeight w:val="276"/>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Partner, OrbiMed Advisors LLC</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Chief Medical Officer</w:t>
            </w:r>
          </w:p>
        </w:tc>
        <w:tc>
          <w:tcPr>
            <w:tcW w:w="0" w:type="dxa"/>
            <w:vAlign w:val="bottom"/>
          </w:tcPr>
          <w:p>
            <w:pPr>
              <w:spacing w:after="0"/>
              <w:rPr>
                <w:sz w:val="1"/>
                <w:szCs w:val="1"/>
                <w:color w:val="auto"/>
              </w:rPr>
            </w:pPr>
          </w:p>
        </w:tc>
      </w:tr>
      <w:tr>
        <w:trPr>
          <w:trHeight w:val="41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Jay Backstrom, M.D., M.P.H.</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Brian MacDonald, MB, Ch.B.,</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Chief Executive Officer, Scholar</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Ph.D.</w:t>
            </w:r>
          </w:p>
        </w:tc>
        <w:tc>
          <w:tcPr>
            <w:tcW w:w="0" w:type="dxa"/>
            <w:vAlign w:val="bottom"/>
          </w:tcPr>
          <w:p>
            <w:pPr>
              <w:spacing w:after="0"/>
              <w:rPr>
                <w:sz w:val="1"/>
                <w:szCs w:val="1"/>
                <w:color w:val="auto"/>
              </w:rPr>
            </w:pPr>
          </w:p>
        </w:tc>
      </w:tr>
      <w:tr>
        <w:trPr>
          <w:trHeight w:val="285"/>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Rock Holding Corporation</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Chief Innovation Officer</w:t>
            </w:r>
          </w:p>
        </w:tc>
        <w:tc>
          <w:tcPr>
            <w:tcW w:w="0" w:type="dxa"/>
            <w:vAlign w:val="bottom"/>
          </w:tcPr>
          <w:p>
            <w:pPr>
              <w:spacing w:after="0"/>
              <w:rPr>
                <w:sz w:val="1"/>
                <w:szCs w:val="1"/>
                <w:color w:val="auto"/>
              </w:rPr>
            </w:pPr>
          </w:p>
        </w:tc>
      </w:tr>
      <w:tr>
        <w:trPr>
          <w:trHeight w:val="410"/>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Kevin Bitterman, Ph.D.</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Rahul Khara, Pharm.D., J.D.</w:t>
            </w:r>
          </w:p>
        </w:tc>
        <w:tc>
          <w:tcPr>
            <w:tcW w:w="0" w:type="dxa"/>
            <w:vAlign w:val="bottom"/>
          </w:tcPr>
          <w:p>
            <w:pPr>
              <w:spacing w:after="0"/>
              <w:rPr>
                <w:sz w:val="1"/>
                <w:szCs w:val="1"/>
                <w:color w:val="auto"/>
              </w:rPr>
            </w:pPr>
          </w:p>
        </w:tc>
      </w:tr>
      <w:tr>
        <w:trPr>
          <w:trHeight w:val="29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Partner, Atlas Venture</w:t>
            </w:r>
          </w:p>
        </w:tc>
        <w:tc>
          <w:tcPr>
            <w:tcW w:w="2880" w:type="dxa"/>
            <w:vAlign w:val="bottom"/>
          </w:tcPr>
          <w:p>
            <w:pPr>
              <w:ind w:left="120"/>
              <w:spacing w:after="0"/>
              <w:rPr>
                <w:sz w:val="20"/>
                <w:szCs w:val="20"/>
                <w:color w:val="auto"/>
              </w:rPr>
            </w:pPr>
            <w:r>
              <w:rPr>
                <w:rFonts w:ascii="Times New Roman" w:cs="Times New Roman" w:eastAsia="Times New Roman" w:hAnsi="Times New Roman"/>
                <w:sz w:val="20"/>
                <w:szCs w:val="20"/>
                <w:i w:val="1"/>
                <w:iCs w:val="1"/>
                <w:color w:val="auto"/>
              </w:rPr>
              <w:t>General Counsel</w:t>
            </w:r>
          </w:p>
        </w:tc>
        <w:tc>
          <w:tcPr>
            <w:tcW w:w="0" w:type="dxa"/>
            <w:vAlign w:val="bottom"/>
          </w:tcPr>
          <w:p>
            <w:pPr>
              <w:spacing w:after="0"/>
              <w:rPr>
                <w:sz w:val="1"/>
                <w:szCs w:val="1"/>
                <w:color w:val="auto"/>
              </w:rPr>
            </w:pPr>
          </w:p>
        </w:tc>
      </w:tr>
      <w:tr>
        <w:trPr>
          <w:trHeight w:val="39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Mark Chin, MS, MBA</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Managing Director, Arix</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Bioscience PLC</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Georges Gemayel, Ph.D.</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Former President, Chief Executive</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Officer and Executive Chairman of</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 Board of Directors, Gemini</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Therapeutics, Inc.</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Liam Ratcliffe, M.D., Ph.D.</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Head of Biotechnology, Access</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Industries</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William White, MPP, J.D.</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Chief Financial Officer, Head of</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Corporate Development and</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Treasurer, Akero Therapeutics, Inc.</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ORPORATE</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EADQUARTERS</w:t>
      </w:r>
    </w:p>
    <w:p>
      <w:pPr>
        <w:spacing w:after="0" w:line="2"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20"/>
          <w:szCs w:val="20"/>
          <w:color w:val="auto"/>
        </w:rPr>
        <w:t>321 Arsenal Street, Suite 101 Watertown, MA 02472</w:t>
      </w:r>
    </w:p>
    <w:p>
      <w:pPr>
        <w:spacing w:after="0" w:line="150" w:lineRule="exact"/>
        <w:rPr>
          <w:sz w:val="20"/>
          <w:szCs w:val="20"/>
          <w:color w:val="auto"/>
        </w:rPr>
      </w:pPr>
    </w:p>
    <w:p>
      <w:pPr>
        <w:ind w:right="720"/>
        <w:spacing w:after="0" w:line="242"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5"/>
          <w:szCs w:val="15"/>
          <w:b w:val="1"/>
          <w:bCs w:val="1"/>
          <w:color w:val="auto"/>
        </w:rPr>
        <w:t>NDEPENDENT</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5"/>
          <w:szCs w:val="15"/>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5"/>
          <w:szCs w:val="15"/>
          <w:b w:val="1"/>
          <w:bCs w:val="1"/>
          <w:color w:val="auto"/>
        </w:rPr>
        <w:t>IRM</w:t>
      </w:r>
    </w:p>
    <w:p>
      <w:pPr>
        <w:spacing w:after="0"/>
        <w:rPr>
          <w:sz w:val="20"/>
          <w:szCs w:val="20"/>
          <w:color w:val="auto"/>
        </w:rPr>
      </w:pPr>
      <w:r>
        <w:rPr>
          <w:rFonts w:ascii="Times New Roman" w:cs="Times New Roman" w:eastAsia="Times New Roman" w:hAnsi="Times New Roman"/>
          <w:sz w:val="20"/>
          <w:szCs w:val="20"/>
          <w:color w:val="auto"/>
        </w:rPr>
        <w:t>Ernst &amp; Young LLP</w:t>
      </w:r>
    </w:p>
    <w:p>
      <w:pPr>
        <w:spacing w:after="0"/>
        <w:rPr>
          <w:sz w:val="20"/>
          <w:szCs w:val="20"/>
          <w:color w:val="auto"/>
        </w:rPr>
      </w:pPr>
      <w:r>
        <w:rPr>
          <w:rFonts w:ascii="Times New Roman" w:cs="Times New Roman" w:eastAsia="Times New Roman" w:hAnsi="Times New Roman"/>
          <w:sz w:val="20"/>
          <w:szCs w:val="20"/>
          <w:color w:val="auto"/>
        </w:rPr>
        <w:t>Boston, MA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5"/>
          <w:szCs w:val="15"/>
          <w:b w:val="1"/>
          <w:bCs w:val="1"/>
          <w:color w:val="auto"/>
        </w:rPr>
        <w:t>RANSFER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5"/>
          <w:szCs w:val="15"/>
          <w:b w:val="1"/>
          <w:bCs w:val="1"/>
          <w:color w:val="auto"/>
        </w:rPr>
        <w:t>GENT</w:t>
      </w:r>
    </w:p>
    <w:p>
      <w:pPr>
        <w:spacing w:after="0" w:line="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0"/>
          <w:szCs w:val="20"/>
          <w:color w:val="auto"/>
        </w:rPr>
        <w:t>Continental Stock Transfer &amp; Trust Company</w:t>
      </w:r>
    </w:p>
    <w:p>
      <w:pPr>
        <w:spacing w:after="0" w:line="2" w:lineRule="exact"/>
        <w:rPr>
          <w:sz w:val="20"/>
          <w:szCs w:val="20"/>
          <w:color w:val="auto"/>
        </w:rPr>
      </w:pPr>
    </w:p>
    <w:p>
      <w:pPr>
        <w:ind w:right="1060" w:firstLine="8"/>
        <w:spacing w:after="0" w:line="244" w:lineRule="auto"/>
        <w:tabs>
          <w:tab w:leader="none" w:pos="151"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State Street,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 New York, NY 10004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5"/>
          <w:szCs w:val="15"/>
          <w:b w:val="1"/>
          <w:bCs w:val="1"/>
          <w:color w:val="auto"/>
        </w:rPr>
        <w:t>ISC</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5"/>
          <w:szCs w:val="15"/>
          <w:b w:val="1"/>
          <w:bCs w:val="1"/>
          <w:color w:val="auto"/>
        </w:rPr>
        <w:t>NVESTOR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ir@discmedicine.com</w:t>
      </w:r>
    </w:p>
    <w:sectPr>
      <w:pgSz w:w="12240" w:h="15840" w:orient="portrait"/>
      <w:cols w:equalWidth="0" w:num="2">
        <w:col w:w="5980" w:space="360"/>
        <w:col w:w="3020"/>
      </w:cols>
      <w:pgMar w:left="1440" w:top="14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1"/>
      <w:numFmt w:val="upperLetter"/>
      <w:start w:val="34"/>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lowerRoman"/>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2"/>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decimal"/>
      <w:start w:val="11"/>
    </w:lvl>
  </w:abstractNum>
  <w:abstractNum w:abstractNumId="56">
    <w:nsid w:val="6B94764"/>
    <w:multiLevelType w:val="hybridMultilevel"/>
    <w:lvl w:ilvl="0">
      <w:lvlJc w:val="left"/>
      <w:lvlText w:val="%1."/>
      <w:numFmt w:val="decimal"/>
      <w:start w:val="14"/>
    </w:lvl>
  </w:abstractNum>
  <w:abstractNum w:abstractNumId="57">
    <w:nsid w:val="42C296BD"/>
    <w:multiLevelType w:val="hybridMultilevel"/>
    <w:lvl w:ilvl="0">
      <w:lvlJc w:val="left"/>
      <w:lvlText w:val="&amp;"/>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3"/>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2"/>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2"/>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4"/>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2"/>
    </w:lvl>
  </w:abstractNum>
  <w:abstractNum w:abstractNumId="81">
    <w:nsid w:val="100F59DC"/>
    <w:multiLevelType w:val="hybridMultilevel"/>
    <w:lvl w:ilvl="0">
      <w:lvlJc w:val="left"/>
      <w:lvlText w:val="%1."/>
      <w:numFmt w:val="decimal"/>
      <w:start w:val="3"/>
    </w:lvl>
  </w:abstractNum>
  <w:abstractNum w:abstractNumId="82">
    <w:nsid w:val="7FB7E0AA"/>
    <w:multiLevelType w:val="hybridMultilevel"/>
    <w:lvl w:ilvl="0">
      <w:lvlJc w:val="left"/>
      <w:lvlText w:val="*"/>
      <w:numFmt w:val="bullet"/>
      <w:start w:val="1"/>
    </w:lvl>
    <w:lvl w:ilvl="1">
      <w:lvlJc w:val="left"/>
      <w:lvlText w:val="%2"/>
      <w:numFmt w:val="decimal"/>
      <w:start w:val="104"/>
    </w:lvl>
  </w:abstractNum>
  <w:abstractNum w:abstractNumId="83">
    <w:nsid w:val="6EB5BD4"/>
    <w:multiLevelType w:val="hybridMultilevel"/>
    <w:lvl w:ilvl="0">
      <w:lvlJc w:val="left"/>
      <w:lvlText w:val="**"/>
      <w:numFmt w:val="bullet"/>
      <w:start w:val="1"/>
    </w:lvl>
    <w:lvl w:ilvl="1">
      <w:lvlJc w:val="left"/>
      <w:lvlText w:val="%2"/>
      <w:numFmt w:val="decimal"/>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2023-04-20T06:14:53Z</dcterms:created>
  <dcterms:modified xsi:type="dcterms:W3CDTF">2023-04-20T06:14:53Z</dcterms:modified>
</cp:coreProperties>
</file>