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18"/>
          <w:szCs w:val="18"/>
          <w:b w:val="1"/>
          <w:bCs w:val="1"/>
          <w:color w:val="auto"/>
        </w:rPr>
        <w:t>As filed with the Securities and Exchange Commission on March 10, 2022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REGISTRATION STATEMENT</w:t>
      </w:r>
    </w:p>
    <w:p>
      <w:pPr>
        <w:jc w:val="center"/>
        <w:ind w:right="16"/>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GEMINI THERAPEUTICS, INC.</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229"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42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85-1612845</w:t>
      </w:r>
    </w:p>
    <w:p>
      <w:pPr>
        <w:spacing w:after="0" w:line="31" w:lineRule="exact"/>
        <w:rPr>
          <w:sz w:val="24"/>
          <w:szCs w:val="24"/>
          <w:color w:val="auto"/>
        </w:rPr>
      </w:pPr>
    </w:p>
    <w:p>
      <w:pPr>
        <w:sectPr>
          <w:pgSz w:w="11900" w:h="16838" w:orient="portrait"/>
          <w:cols w:equalWidth="0" w:num="2">
            <w:col w:w="7184" w:space="720"/>
            <w:col w:w="3120"/>
          </w:cols>
          <w:pgMar w:left="436" w:top="229" w:right="439" w:bottom="1440" w:gutter="0" w:footer="0" w:header="0"/>
          <w:type w:val="continuous"/>
        </w:sectPr>
      </w:pPr>
    </w:p>
    <w:p>
      <w:pPr>
        <w:spacing w:after="0" w:line="12" w:lineRule="exact"/>
        <w:rPr>
          <w:sz w:val="24"/>
          <w:szCs w:val="24"/>
          <w:color w:val="auto"/>
        </w:rPr>
      </w:pPr>
    </w:p>
    <w:p>
      <w:pPr>
        <w:ind w:left="1884"/>
        <w:spacing w:after="0"/>
        <w:rPr>
          <w:sz w:val="20"/>
          <w:szCs w:val="20"/>
          <w:color w:val="auto"/>
        </w:rPr>
      </w:pPr>
      <w:r>
        <w:rPr>
          <w:rFonts w:ascii="Arial" w:cs="Arial" w:eastAsia="Arial" w:hAnsi="Arial"/>
          <w:sz w:val="13"/>
          <w:szCs w:val="13"/>
          <w:b w:val="1"/>
          <w:bCs w:val="1"/>
          <w:color w:val="auto"/>
        </w:rPr>
        <w:t>(State or other jurisdiction of</w:t>
      </w:r>
    </w:p>
    <w:p>
      <w:pPr>
        <w:ind w:left="1844"/>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960"/>
        <w:spacing w:after="0"/>
        <w:rPr>
          <w:sz w:val="20"/>
          <w:szCs w:val="20"/>
          <w:color w:val="auto"/>
        </w:rPr>
      </w:pPr>
      <w:r>
        <w:rPr>
          <w:rFonts w:ascii="Arial" w:cs="Arial" w:eastAsia="Arial" w:hAnsi="Arial"/>
          <w:sz w:val="14"/>
          <w:szCs w:val="14"/>
          <w:b w:val="1"/>
          <w:bCs w:val="1"/>
          <w:color w:val="auto"/>
        </w:rPr>
        <w:t>(I.R.S. Employer</w:t>
      </w:r>
    </w:p>
    <w:p>
      <w:pPr>
        <w:jc w:val="center"/>
        <w:ind w:right="1960"/>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ectPr>
          <w:pgSz w:w="11900" w:h="16838" w:orient="portrait"/>
          <w:cols w:equalWidth="0" w:num="2">
            <w:col w:w="6904" w:space="720"/>
            <w:col w:w="3400"/>
          </w:cols>
          <w:pgMar w:left="436" w:top="229" w:right="439" w:bottom="1440" w:gutter="0" w:footer="0" w:header="0"/>
          <w:type w:val="continuous"/>
        </w:sectPr>
      </w:pPr>
    </w:p>
    <w:p>
      <w:pPr>
        <w:spacing w:after="0" w:line="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Address Not Applicable</w:t>
      </w:r>
      <w:r>
        <w:rPr>
          <w:rFonts w:ascii="Arial" w:cs="Arial" w:eastAsia="Arial" w:hAnsi="Arial"/>
          <w:sz w:val="15"/>
          <w:szCs w:val="15"/>
          <w:b w:val="1"/>
          <w:bCs w:val="1"/>
          <w:color w:val="auto"/>
        </w:rPr>
        <w:t>1</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(617) 401-4400</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2"/>
          <w:szCs w:val="12"/>
          <w:b w:val="1"/>
          <w:bCs w:val="1"/>
          <w:color w:val="auto"/>
        </w:rPr>
        <w:t>(Address of Principal Executive Offices)</w:t>
      </w:r>
    </w:p>
    <w:p>
      <w:pPr>
        <w:sectPr>
          <w:pgSz w:w="11900" w:h="16838" w:orient="portrait"/>
          <w:cols w:equalWidth="0" w:num="1">
            <w:col w:w="11024"/>
          </w:cols>
          <w:pgMar w:left="436" w:top="229" w:right="439" w:bottom="1440" w:gutter="0" w:footer="0" w:header="0"/>
          <w:type w:val="continuous"/>
        </w:sectPr>
      </w:pPr>
    </w:p>
    <w:p>
      <w:pPr>
        <w:spacing w:after="0" w:line="215"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Gemini Therapeutics, Inc. 2021 Stock Option and Incentive Plan</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(Full Title of the Plans)</w:t>
      </w:r>
    </w:p>
    <w:p>
      <w:pPr>
        <w:spacing w:after="0" w:line="192"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Georges Gemayel, Ph.D.</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Interim President and Chief Executive Officer</w:t>
      </w:r>
    </w:p>
    <w:p>
      <w:pPr>
        <w:spacing w:after="0" w:line="8"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Address Not Applicable</w:t>
      </w:r>
      <w:r>
        <w:rPr>
          <w:rFonts w:ascii="Arial" w:cs="Arial" w:eastAsia="Arial" w:hAnsi="Arial"/>
          <w:sz w:val="15"/>
          <w:szCs w:val="15"/>
          <w:b w:val="1"/>
          <w:bCs w:val="1"/>
          <w:color w:val="auto"/>
        </w:rPr>
        <w:t>1</w:t>
      </w:r>
    </w:p>
    <w:p>
      <w:pPr>
        <w:spacing w:after="0" w:line="1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(617) 401-4400</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Mitchell S. Bloom, Esq.</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Benjamin K. Marsh, Esq.</w:t>
      </w:r>
    </w:p>
    <w:p>
      <w:pPr>
        <w:spacing w:after="0" w:line="9"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Goodwin Procter LLP</w:t>
      </w:r>
    </w:p>
    <w:p>
      <w:pPr>
        <w:spacing w:after="0" w:line="9"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100 Northern Avenue</w:t>
      </w:r>
    </w:p>
    <w:p>
      <w:pPr>
        <w:spacing w:after="0" w:line="9"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Boston, Massachusetts 02210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237490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ind w:left="4"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4"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715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5" w:lineRule="exact"/>
        <w:rPr>
          <w:sz w:val="24"/>
          <w:szCs w:val="24"/>
          <w:color w:val="auto"/>
        </w:rPr>
      </w:pPr>
    </w:p>
    <w:p>
      <w:pPr>
        <w:ind w:left="424" w:hanging="424"/>
        <w:spacing w:after="0"/>
        <w:tabs>
          <w:tab w:leader="none" w:pos="424" w:val="left"/>
        </w:tabs>
        <w:numPr>
          <w:ilvl w:val="0"/>
          <w:numId w:val="1"/>
        </w:numPr>
        <w:rPr>
          <w:rFonts w:ascii="Arial" w:cs="Arial" w:eastAsia="Arial" w:hAnsi="Arial"/>
          <w:sz w:val="13"/>
          <w:szCs w:val="13"/>
          <w:color w:val="auto"/>
        </w:rPr>
      </w:pPr>
      <w:r>
        <w:rPr>
          <w:rFonts w:ascii="Arial" w:cs="Arial" w:eastAsia="Arial" w:hAnsi="Arial"/>
          <w:sz w:val="16"/>
          <w:szCs w:val="16"/>
          <w:color w:val="auto"/>
        </w:rPr>
        <w:t>In January 2022, the Company became a remote-first company. Accordingly, the Company does not currently maintain a physical headquarters.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175260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217805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29" w:right="439" w:bottom="1440" w:gutter="0" w:footer="0" w:header="0"/>
          <w:type w:val="continuous"/>
        </w:sectPr>
      </w:pPr>
    </w:p>
    <w:bookmarkStart w:id="1" w:name="page2"/>
    <w:bookmarkEnd w:id="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left="4" w:right="40"/>
        <w:spacing w:after="0" w:line="289" w:lineRule="auto"/>
        <w:rPr>
          <w:rFonts w:ascii="Arial" w:cs="Arial" w:eastAsia="Arial" w:hAnsi="Arial"/>
          <w:sz w:val="16"/>
          <w:szCs w:val="16"/>
          <w:color w:val="auto"/>
        </w:rPr>
      </w:pPr>
      <w:r>
        <w:rPr>
          <w:rFonts w:ascii="Arial" w:cs="Arial" w:eastAsia="Arial" w:hAnsi="Arial"/>
          <w:sz w:val="16"/>
          <w:szCs w:val="16"/>
          <w:color w:val="auto"/>
        </w:rPr>
        <w:t xml:space="preserve">This Registration Statement on Form S-8 registers 1,728,326 additional shares of Common Stock under the Gemini Therapeutics, Inc. 2021 Stock Option and Incentive Plan (the “Plan”). The number of shares of Common Stock reserved and available for issuance under the Plan is subject to an automatic annual increase on each January 1, beginning in 2022, by an amount equal to the lesser of: (i) four percent (4%) of the number of shares of Common Stock issued and outstanding on the immediately preceding December 31 or (ii) such lesser number of shares of Common Stock as determined by the Company’s’ board of directors or the compensation committee of the Company’s board of directors. Accordingly, on January 1, 2022, the number of shares of Common Stock reserved and available for issuance under the Plan increased by 1,728,326. The additional shares are of the same class as other securities relating to the Plan for which the Registrant’s registration statement filed on Form S-8 filed with the Securities and Exchange Commission on </w:t>
      </w:r>
      <w:hyperlink r:id="rId20">
        <w:r>
          <w:rPr>
            <w:rFonts w:ascii="Arial" w:cs="Arial" w:eastAsia="Arial" w:hAnsi="Arial"/>
            <w:sz w:val="16"/>
            <w:szCs w:val="16"/>
            <w:u w:val="single" w:color="auto"/>
            <w:color w:val="0000EE"/>
          </w:rPr>
          <w:t>April 13, 2021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(File No. 333-255194), is effective. The information contained in the Registrant’s registration statement on Form S-8 (Registration No. 333-255194) is hereby incorporated by reference pursuant to General Instruction E.</w:t>
      </w:r>
    </w:p>
    <w:p>
      <w:pPr>
        <w:spacing w:after="0" w:line="37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8. Exhibits.</w:t>
      </w:r>
    </w:p>
    <w:p>
      <w:pPr>
        <w:spacing w:after="0" w:line="225"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20" w:type="dxa"/>
            <w:vAlign w:val="bottom"/>
          </w:tcPr>
          <w:p>
            <w:pPr>
              <w:ind w:left="40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Exhibit</w:t>
            </w:r>
          </w:p>
        </w:tc>
        <w:tc>
          <w:tcPr>
            <w:tcW w:w="10220" w:type="dxa"/>
            <w:vAlign w:val="bottom"/>
            <w:vMerge w:val="restart"/>
          </w:tcPr>
          <w:p>
            <w:pPr>
              <w:ind w:left="47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300" w:type="dxa"/>
            <w:vAlign w:val="bottom"/>
          </w:tcPr>
          <w:p>
            <w:pPr>
              <w:spacing w:after="0"/>
              <w:rPr>
                <w:sz w:val="14"/>
                <w:szCs w:val="14"/>
                <w:color w:val="auto"/>
              </w:rPr>
            </w:pPr>
          </w:p>
        </w:tc>
        <w:tc>
          <w:tcPr>
            <w:tcW w:w="102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4"/>
        <w:spacing w:after="0"/>
        <w:tabs>
          <w:tab w:leader="none" w:pos="784"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21">
        <w:r>
          <w:rPr>
            <w:rFonts w:ascii="Arial" w:cs="Arial" w:eastAsia="Arial" w:hAnsi="Arial"/>
            <w:sz w:val="16"/>
            <w:szCs w:val="16"/>
            <w:u w:val="single" w:color="auto"/>
            <w:color w:val="0000EE"/>
          </w:rPr>
          <w:t>Form of Specimen Common Stock Certificate (incorporated by reference to Exhibit 4.1 to Form S-4/A filed on January 19, 2021).</w:t>
        </w:r>
      </w:hyperlink>
    </w:p>
    <w:p>
      <w:pPr>
        <w:spacing w:after="0" w:line="117" w:lineRule="exact"/>
        <w:rPr>
          <w:sz w:val="20"/>
          <w:szCs w:val="20"/>
          <w:color w:val="auto"/>
        </w:rPr>
      </w:pPr>
    </w:p>
    <w:p>
      <w:pPr>
        <w:ind w:left="804" w:right="260" w:hanging="809"/>
        <w:spacing w:after="0" w:line="277" w:lineRule="auto"/>
        <w:tabs>
          <w:tab w:leader="none" w:pos="784"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22">
        <w:r>
          <w:rPr>
            <w:rFonts w:ascii="Arial" w:cs="Arial" w:eastAsia="Arial" w:hAnsi="Arial"/>
            <w:sz w:val="18"/>
            <w:szCs w:val="18"/>
            <w:u w:val="single" w:color="auto"/>
            <w:color w:val="0000EE"/>
          </w:rPr>
          <w:t>Second Amended and Restated Articles of Incorporation of Gemini Therapeutics, Inc. (incorporated by reference to Exhibit 3.1 to Current</w:t>
        </w:r>
      </w:hyperlink>
      <w:r>
        <w:rPr>
          <w:rFonts w:ascii="Arial" w:cs="Arial" w:eastAsia="Arial" w:hAnsi="Arial"/>
          <w:sz w:val="18"/>
          <w:szCs w:val="18"/>
          <w:u w:val="single" w:color="auto"/>
          <w:color w:val="0000EE"/>
        </w:rPr>
        <w:t xml:space="preserve"> </w:t>
      </w:r>
      <w:hyperlink r:id="rId22">
        <w:r>
          <w:rPr>
            <w:rFonts w:ascii="Arial" w:cs="Arial" w:eastAsia="Arial" w:hAnsi="Arial"/>
            <w:sz w:val="18"/>
            <w:szCs w:val="18"/>
            <w:u w:val="single" w:color="auto"/>
            <w:color w:val="0000EE"/>
          </w:rPr>
          <w:t>Report on Form 8-K filed on February 11, 2021).</w:t>
        </w:r>
      </w:hyperlink>
    </w:p>
    <w:p>
      <w:pPr>
        <w:spacing w:after="0" w:line="76" w:lineRule="exact"/>
        <w:rPr>
          <w:sz w:val="20"/>
          <w:szCs w:val="20"/>
          <w:color w:val="auto"/>
        </w:rPr>
      </w:pPr>
    </w:p>
    <w:p>
      <w:pPr>
        <w:ind w:left="4"/>
        <w:spacing w:after="0"/>
        <w:tabs>
          <w:tab w:leader="none" w:pos="784" w:val="left"/>
        </w:tabs>
        <w:rPr>
          <w:rFonts w:ascii="Arial" w:cs="Arial" w:eastAsia="Arial" w:hAnsi="Arial"/>
          <w:sz w:val="16"/>
          <w:szCs w:val="16"/>
          <w:u w:val="single" w:color="auto"/>
          <w:color w:val="0000EE"/>
        </w:rPr>
      </w:pPr>
      <w:r>
        <w:rPr>
          <w:rFonts w:ascii="Arial" w:cs="Arial" w:eastAsia="Arial" w:hAnsi="Arial"/>
          <w:sz w:val="18"/>
          <w:szCs w:val="18"/>
          <w:color w:val="auto"/>
        </w:rPr>
        <w:t>4.3</w:t>
      </w:r>
      <w:r>
        <w:rPr>
          <w:sz w:val="20"/>
          <w:szCs w:val="20"/>
          <w:color w:val="auto"/>
        </w:rPr>
        <w:tab/>
      </w:r>
      <w:hyperlink r:id="rId23">
        <w:r>
          <w:rPr>
            <w:rFonts w:ascii="Arial" w:cs="Arial" w:eastAsia="Arial" w:hAnsi="Arial"/>
            <w:sz w:val="16"/>
            <w:szCs w:val="16"/>
            <w:u w:val="single" w:color="auto"/>
            <w:color w:val="0000EE"/>
          </w:rPr>
          <w:t>Amended and Restated By-laws of Gemini Therapeutics, Inc. (incorporated by reference to Exhibit 3.2 to Form 10-K filed on March 29,</w:t>
        </w:r>
      </w:hyperlink>
    </w:p>
    <w:p>
      <w:pPr>
        <w:spacing w:after="0" w:line="23" w:lineRule="exact"/>
        <w:rPr>
          <w:sz w:val="20"/>
          <w:szCs w:val="20"/>
          <w:color w:val="auto"/>
        </w:rPr>
      </w:pPr>
    </w:p>
    <w:p>
      <w:pPr>
        <w:ind w:left="804"/>
        <w:spacing w:after="0"/>
        <w:rPr>
          <w:rFonts w:ascii="Arial" w:cs="Arial" w:eastAsia="Arial" w:hAnsi="Arial"/>
          <w:sz w:val="18"/>
          <w:szCs w:val="18"/>
          <w:u w:val="single" w:color="auto"/>
          <w:color w:val="0000EE"/>
        </w:rPr>
      </w:pPr>
      <w:hyperlink r:id="rId23">
        <w:r>
          <w:rPr>
            <w:rFonts w:ascii="Arial" w:cs="Arial" w:eastAsia="Arial" w:hAnsi="Arial"/>
            <w:sz w:val="18"/>
            <w:szCs w:val="18"/>
            <w:u w:val="single" w:color="auto"/>
            <w:color w:val="0000EE"/>
          </w:rPr>
          <w:t>2021).</w:t>
        </w:r>
      </w:hyperlink>
    </w:p>
    <w:p>
      <w:pPr>
        <w:spacing w:after="0" w:line="103" w:lineRule="exact"/>
        <w:rPr>
          <w:sz w:val="20"/>
          <w:szCs w:val="20"/>
          <w:color w:val="auto"/>
        </w:rPr>
      </w:pPr>
    </w:p>
    <w:p>
      <w:pPr>
        <w:ind w:left="4"/>
        <w:spacing w:after="0"/>
        <w:tabs>
          <w:tab w:leader="none" w:pos="784"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w:anchor="page4">
        <w:r>
          <w:rPr>
            <w:rFonts w:ascii="Arial" w:cs="Arial" w:eastAsia="Arial" w:hAnsi="Arial"/>
            <w:sz w:val="16"/>
            <w:szCs w:val="16"/>
            <w:u w:val="single" w:color="auto"/>
            <w:color w:val="0000EE"/>
          </w:rPr>
          <w:t>Opinion of Goodwin Procter LLP.</w:t>
        </w:r>
      </w:hyperlink>
    </w:p>
    <w:p>
      <w:pPr>
        <w:spacing w:after="0" w:line="117" w:lineRule="exact"/>
        <w:rPr>
          <w:sz w:val="20"/>
          <w:szCs w:val="20"/>
          <w:color w:val="auto"/>
        </w:rPr>
      </w:pPr>
    </w:p>
    <w:p>
      <w:pPr>
        <w:ind w:left="4"/>
        <w:spacing w:after="0"/>
        <w:tabs>
          <w:tab w:leader="none" w:pos="784"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5">
        <w:r>
          <w:rPr>
            <w:rFonts w:ascii="Arial" w:cs="Arial" w:eastAsia="Arial" w:hAnsi="Arial"/>
            <w:sz w:val="16"/>
            <w:szCs w:val="16"/>
            <w:u w:val="single" w:color="auto"/>
            <w:color w:val="0000EE"/>
          </w:rPr>
          <w:t>Consent of Ernst &amp; Young LLP, independent registered accounting firm for Gemini Therapeutics, Inc.</w:t>
        </w:r>
      </w:hyperlink>
    </w:p>
    <w:p>
      <w:pPr>
        <w:spacing w:after="0" w:line="117" w:lineRule="exact"/>
        <w:rPr>
          <w:sz w:val="20"/>
          <w:szCs w:val="20"/>
          <w:color w:val="auto"/>
        </w:rPr>
      </w:pPr>
    </w:p>
    <w:p>
      <w:pPr>
        <w:ind w:left="4"/>
        <w:spacing w:after="0"/>
        <w:tabs>
          <w:tab w:leader="none" w:pos="784" w:val="left"/>
        </w:tabs>
        <w:rPr>
          <w:rFonts w:ascii="Arial" w:cs="Arial" w:eastAsia="Arial" w:hAnsi="Arial"/>
          <w:sz w:val="16"/>
          <w:szCs w:val="16"/>
          <w:u w:val="single" w:color="auto"/>
          <w:color w:val="0000EE"/>
        </w:rPr>
      </w:pPr>
      <w:r>
        <w:rPr>
          <w:rFonts w:ascii="Arial" w:cs="Arial" w:eastAsia="Arial" w:hAnsi="Arial"/>
          <w:sz w:val="18"/>
          <w:szCs w:val="18"/>
          <w:color w:val="auto"/>
        </w:rPr>
        <w:t>23.2*</w:t>
      </w:r>
      <w:r>
        <w:rPr>
          <w:sz w:val="20"/>
          <w:szCs w:val="20"/>
          <w:color w:val="auto"/>
        </w:rPr>
        <w:tab/>
      </w:r>
      <w:hyperlink w:anchor="page4">
        <w:r>
          <w:rPr>
            <w:rFonts w:ascii="Arial" w:cs="Arial" w:eastAsia="Arial" w:hAnsi="Arial"/>
            <w:sz w:val="16"/>
            <w:szCs w:val="16"/>
            <w:u w:val="single" w:color="auto"/>
            <w:color w:val="0000EE"/>
          </w:rPr>
          <w:t>Consent of Goodwin Procter LLP (included as part of Exhibit 5.1).</w:t>
        </w:r>
      </w:hyperlink>
    </w:p>
    <w:p>
      <w:pPr>
        <w:spacing w:after="0" w:line="117" w:lineRule="exact"/>
        <w:rPr>
          <w:sz w:val="20"/>
          <w:szCs w:val="20"/>
          <w:color w:val="auto"/>
        </w:rPr>
      </w:pPr>
    </w:p>
    <w:p>
      <w:pPr>
        <w:ind w:left="4"/>
        <w:spacing w:after="0"/>
        <w:tabs>
          <w:tab w:leader="none" w:pos="784" w:val="left"/>
        </w:tabs>
        <w:rPr>
          <w:rFonts w:ascii="Arial" w:cs="Arial" w:eastAsia="Arial" w:hAnsi="Arial"/>
          <w:sz w:val="16"/>
          <w:szCs w:val="16"/>
          <w:u w:val="single" w:color="auto"/>
          <w:color w:val="0000EE"/>
        </w:rPr>
      </w:pPr>
      <w:r>
        <w:rPr>
          <w:rFonts w:ascii="Arial" w:cs="Arial" w:eastAsia="Arial" w:hAnsi="Arial"/>
          <w:sz w:val="18"/>
          <w:szCs w:val="18"/>
          <w:color w:val="auto"/>
        </w:rPr>
        <w:t>24.4*</w:t>
      </w:r>
      <w:r>
        <w:rPr>
          <w:sz w:val="20"/>
          <w:szCs w:val="20"/>
          <w:color w:val="auto"/>
        </w:rPr>
        <w:tab/>
      </w:r>
      <w:hyperlink w:anchor="page3">
        <w:r>
          <w:rPr>
            <w:rFonts w:ascii="Arial" w:cs="Arial" w:eastAsia="Arial" w:hAnsi="Arial"/>
            <w:sz w:val="16"/>
            <w:szCs w:val="16"/>
            <w:u w:val="single" w:color="auto"/>
            <w:color w:val="0000EE"/>
          </w:rPr>
          <w:t>Power of Attorney (included on signature page).</w:t>
        </w:r>
      </w:hyperlink>
    </w:p>
    <w:p>
      <w:pPr>
        <w:spacing w:after="0" w:line="117" w:lineRule="exact"/>
        <w:rPr>
          <w:sz w:val="20"/>
          <w:szCs w:val="20"/>
          <w:color w:val="auto"/>
        </w:rPr>
      </w:pPr>
    </w:p>
    <w:p>
      <w:pPr>
        <w:jc w:val="both"/>
        <w:ind w:left="804" w:right="140" w:hanging="809"/>
        <w:spacing w:after="0" w:line="263" w:lineRule="auto"/>
        <w:tabs>
          <w:tab w:leader="none" w:pos="784" w:val="left"/>
        </w:tabs>
        <w:rPr>
          <w:rFonts w:ascii="Arial" w:cs="Arial" w:eastAsia="Arial" w:hAnsi="Arial"/>
          <w:sz w:val="18"/>
          <w:szCs w:val="18"/>
          <w:u w:val="single" w:color="auto"/>
          <w:color w:val="0000EE"/>
        </w:rPr>
      </w:pPr>
      <w:r>
        <w:rPr>
          <w:rFonts w:ascii="Arial" w:cs="Arial" w:eastAsia="Arial" w:hAnsi="Arial"/>
          <w:sz w:val="18"/>
          <w:szCs w:val="18"/>
          <w:color w:val="auto"/>
        </w:rPr>
        <w:t>99.1</w:t>
      </w:r>
      <w:r>
        <w:rPr>
          <w:sz w:val="20"/>
          <w:szCs w:val="20"/>
          <w:color w:val="auto"/>
        </w:rPr>
        <w:tab/>
      </w:r>
      <w:hyperlink r:id="rId24">
        <w:r>
          <w:rPr>
            <w:rFonts w:ascii="Arial" w:cs="Arial" w:eastAsia="Arial" w:hAnsi="Arial"/>
            <w:sz w:val="18"/>
            <w:szCs w:val="18"/>
            <w:u w:val="single" w:color="auto"/>
            <w:color w:val="0000EE"/>
          </w:rPr>
          <w:t>2021 Stock Option and Incentive Plan (incorporated by reference to Annex D to the Proxy Statement/Prospectus filed on January 19, 2021)</w:t>
        </w:r>
      </w:hyperlink>
      <w:r>
        <w:rPr>
          <w:rFonts w:ascii="Arial" w:cs="Arial" w:eastAsia="Arial" w:hAnsi="Arial"/>
          <w:sz w:val="18"/>
          <w:szCs w:val="18"/>
          <w:u w:val="single" w:color="auto"/>
          <w:color w:val="0000EE"/>
        </w:rPr>
        <w:t xml:space="preserve"> </w:t>
      </w:r>
      <w:hyperlink r:id="rId24">
        <w:r>
          <w:rPr>
            <w:rFonts w:ascii="Arial" w:cs="Arial" w:eastAsia="Arial" w:hAnsi="Arial"/>
            <w:sz w:val="18"/>
            <w:szCs w:val="18"/>
            <w:u w:val="single" w:color="auto"/>
            <w:color w:val="0000EE"/>
          </w:rPr>
          <w:t>and forms of award agreements thereunder (incorporated by reference to Exhibit 10.5 to Current Report on Form 8-K filed on February 11,</w:t>
        </w:r>
      </w:hyperlink>
      <w:r>
        <w:rPr>
          <w:rFonts w:ascii="Arial" w:cs="Arial" w:eastAsia="Arial" w:hAnsi="Arial"/>
          <w:sz w:val="18"/>
          <w:szCs w:val="18"/>
          <w:u w:val="single" w:color="auto"/>
          <w:color w:val="0000EE"/>
        </w:rPr>
        <w:t xml:space="preserve"> </w:t>
      </w:r>
      <w:hyperlink r:id="rId24">
        <w:r>
          <w:rPr>
            <w:rFonts w:ascii="Arial" w:cs="Arial" w:eastAsia="Arial" w:hAnsi="Arial"/>
            <w:sz w:val="18"/>
            <w:szCs w:val="18"/>
            <w:u w:val="single" w:color="auto"/>
            <w:color w:val="0000EE"/>
          </w:rPr>
          <w:t>2021)</w:t>
        </w:r>
      </w:hyperlink>
    </w:p>
    <w:p>
      <w:pPr>
        <w:spacing w:after="0" w:line="76" w:lineRule="exact"/>
        <w:rPr>
          <w:rFonts w:ascii="Arial" w:cs="Arial" w:eastAsia="Arial" w:hAnsi="Arial"/>
          <w:sz w:val="18"/>
          <w:szCs w:val="18"/>
          <w:u w:val="single" w:color="auto"/>
          <w:color w:val="0000EE"/>
        </w:rPr>
      </w:pPr>
    </w:p>
    <w:p>
      <w:pPr>
        <w:ind w:left="4"/>
        <w:spacing w:after="0"/>
        <w:tabs>
          <w:tab w:leader="none" w:pos="784" w:val="left"/>
        </w:tabs>
        <w:rPr>
          <w:rFonts w:ascii="Arial" w:cs="Arial" w:eastAsia="Arial" w:hAnsi="Arial"/>
          <w:sz w:val="16"/>
          <w:szCs w:val="16"/>
          <w:u w:val="single" w:color="auto"/>
          <w:color w:val="0000EE"/>
        </w:rPr>
      </w:pPr>
      <w:r>
        <w:rPr>
          <w:rFonts w:ascii="Arial" w:cs="Arial" w:eastAsia="Arial" w:hAnsi="Arial"/>
          <w:sz w:val="18"/>
          <w:szCs w:val="18"/>
          <w:color w:val="auto"/>
        </w:rPr>
        <w:t>107.1*</w:t>
      </w:r>
      <w:r>
        <w:rPr>
          <w:sz w:val="20"/>
          <w:szCs w:val="20"/>
          <w:color w:val="auto"/>
        </w:rPr>
        <w:tab/>
      </w:r>
      <w:hyperlink w:anchor="page6">
        <w:r>
          <w:rPr>
            <w:rFonts w:ascii="Arial" w:cs="Arial" w:eastAsia="Arial" w:hAnsi="Arial"/>
            <w:sz w:val="16"/>
            <w:szCs w:val="16"/>
            <w:u w:val="single" w:color="auto"/>
            <w:color w:val="0000EE"/>
          </w:rPr>
          <w:t>Filing Fee Table</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rFonts w:ascii="Arial" w:cs="Arial" w:eastAsia="Arial" w:hAnsi="Arial"/>
          <w:sz w:val="18"/>
          <w:szCs w:val="18"/>
          <w:u w:val="single" w:color="auto"/>
          <w:color w:val="0000EE"/>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Filed herewith.</w:t>
      </w:r>
    </w:p>
    <w:p>
      <w:pPr>
        <w:sectPr>
          <w:pgSz w:w="11900" w:h="16838" w:orient="portrait"/>
          <w:cols w:equalWidth="0" w:num="1">
            <w:col w:w="11024"/>
          </w:cols>
          <w:pgMar w:left="436" w:top="270" w:right="4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on March 10, 2022.</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GEMINI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Georges Gemayel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Georges Gemayel</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Interim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KNOW ALL BY THESE PRESENT, that each individual whose signature appears below hereby constitutes and appoints Georges Gemayel, Ph.D.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on Form S-8, and to file the same, with all exhibits thereto, and all documents in connection therewith, with the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 in the capacities and on the date indicated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80" w:type="dxa"/>
            <w:vAlign w:val="bottom"/>
          </w:tcPr>
          <w:p>
            <w:pPr>
              <w:jc w:val="center"/>
              <w:spacing w:after="0"/>
              <w:rPr>
                <w:sz w:val="20"/>
                <w:szCs w:val="20"/>
                <w:color w:val="auto"/>
              </w:rPr>
            </w:pPr>
            <w:r>
              <w:rPr>
                <w:rFonts w:ascii="Arial" w:cs="Arial" w:eastAsia="Arial" w:hAnsi="Arial"/>
                <w:sz w:val="14"/>
                <w:szCs w:val="14"/>
                <w:b w:val="1"/>
                <w:bCs w:val="1"/>
                <w:color w:val="auto"/>
                <w:w w:val="94"/>
              </w:rPr>
              <w:t>Name</w:t>
            </w:r>
          </w:p>
        </w:tc>
        <w:tc>
          <w:tcPr>
            <w:tcW w:w="4480" w:type="dxa"/>
            <w:vAlign w:val="bottom"/>
          </w:tcPr>
          <w:p>
            <w:pPr>
              <w:jc w:val="center"/>
              <w:ind w:left="512"/>
              <w:spacing w:after="0"/>
              <w:rPr>
                <w:sz w:val="20"/>
                <w:szCs w:val="20"/>
                <w:color w:val="auto"/>
              </w:rPr>
            </w:pPr>
            <w:r>
              <w:rPr>
                <w:rFonts w:ascii="Arial" w:cs="Arial" w:eastAsia="Arial" w:hAnsi="Arial"/>
                <w:sz w:val="14"/>
                <w:szCs w:val="14"/>
                <w:b w:val="1"/>
                <w:bCs w:val="1"/>
                <w:color w:val="auto"/>
                <w:w w:val="97"/>
              </w:rPr>
              <w:t>Title</w:t>
            </w:r>
          </w:p>
        </w:tc>
        <w:tc>
          <w:tcPr>
            <w:tcW w:w="2040" w:type="dxa"/>
            <w:vAlign w:val="bottom"/>
          </w:tcPr>
          <w:p>
            <w:pPr>
              <w:jc w:val="center"/>
              <w:ind w:left="832"/>
              <w:spacing w:after="0"/>
              <w:rPr>
                <w:sz w:val="20"/>
                <w:szCs w:val="20"/>
                <w:color w:val="auto"/>
              </w:rPr>
            </w:pPr>
            <w:r>
              <w:rPr>
                <w:rFonts w:ascii="Arial" w:cs="Arial" w:eastAsia="Arial" w:hAnsi="Arial"/>
                <w:sz w:val="14"/>
                <w:szCs w:val="14"/>
                <w:b w:val="1"/>
                <w:bCs w:val="1"/>
                <w:color w:val="auto"/>
                <w:w w:val="92"/>
              </w:rPr>
              <w:t>Date</w:t>
            </w:r>
          </w:p>
        </w:tc>
      </w:tr>
      <w:tr>
        <w:trPr>
          <w:trHeight w:val="417"/>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Georges Gemayel</w:t>
            </w:r>
          </w:p>
        </w:tc>
        <w:tc>
          <w:tcPr>
            <w:tcW w:w="4480" w:type="dxa"/>
            <w:vAlign w:val="bottom"/>
          </w:tcPr>
          <w:p>
            <w:pPr>
              <w:jc w:val="center"/>
              <w:ind w:left="532"/>
              <w:spacing w:after="0"/>
              <w:rPr>
                <w:sz w:val="20"/>
                <w:szCs w:val="20"/>
                <w:color w:val="auto"/>
              </w:rPr>
            </w:pPr>
            <w:r>
              <w:rPr>
                <w:rFonts w:ascii="Arial" w:cs="Arial" w:eastAsia="Arial" w:hAnsi="Arial"/>
                <w:sz w:val="18"/>
                <w:szCs w:val="18"/>
                <w:i w:val="1"/>
                <w:iCs w:val="1"/>
                <w:color w:val="auto"/>
                <w:w w:val="93"/>
              </w:rPr>
              <w:t>Executive Chair and Interim</w:t>
            </w:r>
          </w:p>
        </w:tc>
        <w:tc>
          <w:tcPr>
            <w:tcW w:w="2040" w:type="dxa"/>
            <w:vAlign w:val="bottom"/>
          </w:tcPr>
          <w:p>
            <w:pPr>
              <w:jc w:val="center"/>
              <w:ind w:left="812"/>
              <w:spacing w:after="0"/>
              <w:rPr>
                <w:sz w:val="20"/>
                <w:szCs w:val="20"/>
                <w:color w:val="auto"/>
              </w:rPr>
            </w:pPr>
            <w:r>
              <w:rPr>
                <w:rFonts w:ascii="Arial" w:cs="Arial" w:eastAsia="Arial" w:hAnsi="Arial"/>
                <w:sz w:val="18"/>
                <w:szCs w:val="18"/>
                <w:color w:val="auto"/>
                <w:w w:val="91"/>
              </w:rPr>
              <w:t>March 10, 2022</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89"/>
              </w:rPr>
              <w:t>Dr. Georges Gemayel</w:t>
            </w:r>
          </w:p>
        </w:tc>
        <w:tc>
          <w:tcPr>
            <w:tcW w:w="4480" w:type="dxa"/>
            <w:vAlign w:val="bottom"/>
          </w:tcPr>
          <w:p>
            <w:pPr>
              <w:jc w:val="center"/>
              <w:ind w:left="532"/>
              <w:spacing w:after="0"/>
              <w:rPr>
                <w:sz w:val="20"/>
                <w:szCs w:val="20"/>
                <w:color w:val="auto"/>
              </w:rPr>
            </w:pPr>
            <w:r>
              <w:rPr>
                <w:rFonts w:ascii="Arial" w:cs="Arial" w:eastAsia="Arial" w:hAnsi="Arial"/>
                <w:sz w:val="18"/>
                <w:szCs w:val="18"/>
                <w:i w:val="1"/>
                <w:iCs w:val="1"/>
                <w:color w:val="auto"/>
                <w:w w:val="92"/>
              </w:rPr>
              <w:t>Chief Executive Officer</w:t>
            </w:r>
          </w:p>
        </w:tc>
        <w:tc>
          <w:tcPr>
            <w:tcW w:w="204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Brian Piekos</w:t>
            </w:r>
          </w:p>
        </w:tc>
        <w:tc>
          <w:tcPr>
            <w:tcW w:w="4480" w:type="dxa"/>
            <w:vAlign w:val="bottom"/>
          </w:tcPr>
          <w:p>
            <w:pPr>
              <w:jc w:val="center"/>
              <w:ind w:left="532"/>
              <w:spacing w:after="0"/>
              <w:rPr>
                <w:sz w:val="20"/>
                <w:szCs w:val="20"/>
                <w:color w:val="auto"/>
              </w:rPr>
            </w:pPr>
            <w:r>
              <w:rPr>
                <w:rFonts w:ascii="Arial" w:cs="Arial" w:eastAsia="Arial" w:hAnsi="Arial"/>
                <w:sz w:val="18"/>
                <w:szCs w:val="18"/>
                <w:i w:val="1"/>
                <w:iCs w:val="1"/>
                <w:color w:val="auto"/>
                <w:w w:val="96"/>
              </w:rPr>
              <w:t>Principal Financial and</w:t>
            </w:r>
          </w:p>
        </w:tc>
        <w:tc>
          <w:tcPr>
            <w:tcW w:w="2040" w:type="dxa"/>
            <w:vAlign w:val="bottom"/>
          </w:tcPr>
          <w:p>
            <w:pPr>
              <w:jc w:val="center"/>
              <w:ind w:left="812"/>
              <w:spacing w:after="0"/>
              <w:rPr>
                <w:sz w:val="20"/>
                <w:szCs w:val="20"/>
                <w:color w:val="auto"/>
              </w:rPr>
            </w:pPr>
            <w:r>
              <w:rPr>
                <w:rFonts w:ascii="Arial" w:cs="Arial" w:eastAsia="Arial" w:hAnsi="Arial"/>
                <w:sz w:val="18"/>
                <w:szCs w:val="18"/>
                <w:color w:val="auto"/>
                <w:w w:val="91"/>
              </w:rPr>
              <w:t>March 10, 2022</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2"/>
              </w:rPr>
              <w:t>Brian Piekos</w:t>
            </w:r>
          </w:p>
        </w:tc>
        <w:tc>
          <w:tcPr>
            <w:tcW w:w="4480" w:type="dxa"/>
            <w:vAlign w:val="bottom"/>
          </w:tcPr>
          <w:p>
            <w:pPr>
              <w:jc w:val="center"/>
              <w:ind w:left="532"/>
              <w:spacing w:after="0"/>
              <w:rPr>
                <w:sz w:val="20"/>
                <w:szCs w:val="20"/>
                <w:color w:val="auto"/>
              </w:rPr>
            </w:pPr>
            <w:r>
              <w:rPr>
                <w:rFonts w:ascii="Arial" w:cs="Arial" w:eastAsia="Arial" w:hAnsi="Arial"/>
                <w:sz w:val="18"/>
                <w:szCs w:val="18"/>
                <w:i w:val="1"/>
                <w:iCs w:val="1"/>
                <w:color w:val="auto"/>
                <w:w w:val="94"/>
              </w:rPr>
              <w:t>Principal Accounting Officer</w:t>
            </w:r>
          </w:p>
        </w:tc>
        <w:tc>
          <w:tcPr>
            <w:tcW w:w="2040" w:type="dxa"/>
            <w:vAlign w:val="bottom"/>
          </w:tcPr>
          <w:p>
            <w:pPr>
              <w:spacing w:after="0"/>
              <w:rPr>
                <w:sz w:val="19"/>
                <w:szCs w:val="19"/>
                <w:color w:val="auto"/>
              </w:rPr>
            </w:pPr>
          </w:p>
        </w:tc>
      </w:tr>
      <w:tr>
        <w:trPr>
          <w:trHeight w:val="445"/>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Carl Gordon</w:t>
            </w:r>
          </w:p>
        </w:tc>
        <w:tc>
          <w:tcPr>
            <w:tcW w:w="4480" w:type="dxa"/>
            <w:vAlign w:val="bottom"/>
          </w:tcPr>
          <w:p>
            <w:pPr>
              <w:jc w:val="center"/>
              <w:ind w:left="532"/>
              <w:spacing w:after="0"/>
              <w:rPr>
                <w:sz w:val="20"/>
                <w:szCs w:val="20"/>
                <w:color w:val="auto"/>
              </w:rPr>
            </w:pPr>
            <w:r>
              <w:rPr>
                <w:rFonts w:ascii="Arial" w:cs="Arial" w:eastAsia="Arial" w:hAnsi="Arial"/>
                <w:sz w:val="18"/>
                <w:szCs w:val="18"/>
                <w:i w:val="1"/>
                <w:iCs w:val="1"/>
                <w:color w:val="auto"/>
                <w:w w:val="98"/>
              </w:rPr>
              <w:t>Director</w:t>
            </w:r>
          </w:p>
        </w:tc>
        <w:tc>
          <w:tcPr>
            <w:tcW w:w="2040" w:type="dxa"/>
            <w:vAlign w:val="bottom"/>
          </w:tcPr>
          <w:p>
            <w:pPr>
              <w:jc w:val="center"/>
              <w:ind w:left="812"/>
              <w:spacing w:after="0"/>
              <w:rPr>
                <w:sz w:val="20"/>
                <w:szCs w:val="20"/>
                <w:color w:val="auto"/>
              </w:rPr>
            </w:pPr>
            <w:r>
              <w:rPr>
                <w:rFonts w:ascii="Arial" w:cs="Arial" w:eastAsia="Arial" w:hAnsi="Arial"/>
                <w:sz w:val="18"/>
                <w:szCs w:val="18"/>
                <w:color w:val="auto"/>
                <w:w w:val="91"/>
              </w:rPr>
              <w:t>March 10, 2022</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2"/>
              </w:rPr>
              <w:t>Dr. Carl Gordon</w:t>
            </w:r>
          </w:p>
        </w:tc>
        <w:tc>
          <w:tcPr>
            <w:tcW w:w="448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David Lubner</w:t>
            </w:r>
          </w:p>
        </w:tc>
        <w:tc>
          <w:tcPr>
            <w:tcW w:w="4480" w:type="dxa"/>
            <w:vAlign w:val="bottom"/>
          </w:tcPr>
          <w:p>
            <w:pPr>
              <w:jc w:val="center"/>
              <w:ind w:left="532"/>
              <w:spacing w:after="0"/>
              <w:rPr>
                <w:sz w:val="20"/>
                <w:szCs w:val="20"/>
                <w:color w:val="auto"/>
              </w:rPr>
            </w:pPr>
            <w:r>
              <w:rPr>
                <w:rFonts w:ascii="Arial" w:cs="Arial" w:eastAsia="Arial" w:hAnsi="Arial"/>
                <w:sz w:val="18"/>
                <w:szCs w:val="18"/>
                <w:i w:val="1"/>
                <w:iCs w:val="1"/>
                <w:color w:val="auto"/>
                <w:w w:val="98"/>
              </w:rPr>
              <w:t>Director</w:t>
            </w:r>
          </w:p>
        </w:tc>
        <w:tc>
          <w:tcPr>
            <w:tcW w:w="2040" w:type="dxa"/>
            <w:vAlign w:val="bottom"/>
          </w:tcPr>
          <w:p>
            <w:pPr>
              <w:jc w:val="center"/>
              <w:ind w:left="812"/>
              <w:spacing w:after="0"/>
              <w:rPr>
                <w:sz w:val="20"/>
                <w:szCs w:val="20"/>
                <w:color w:val="auto"/>
              </w:rPr>
            </w:pPr>
            <w:r>
              <w:rPr>
                <w:rFonts w:ascii="Arial" w:cs="Arial" w:eastAsia="Arial" w:hAnsi="Arial"/>
                <w:sz w:val="18"/>
                <w:szCs w:val="18"/>
                <w:color w:val="auto"/>
                <w:w w:val="91"/>
              </w:rPr>
              <w:t>March 10, 2022</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5"/>
              </w:rPr>
              <w:t>David Lubner</w:t>
            </w:r>
          </w:p>
        </w:tc>
        <w:tc>
          <w:tcPr>
            <w:tcW w:w="448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Tuyen Ong</w:t>
            </w:r>
          </w:p>
        </w:tc>
        <w:tc>
          <w:tcPr>
            <w:tcW w:w="4480" w:type="dxa"/>
            <w:vAlign w:val="bottom"/>
          </w:tcPr>
          <w:p>
            <w:pPr>
              <w:jc w:val="center"/>
              <w:ind w:left="532"/>
              <w:spacing w:after="0"/>
              <w:rPr>
                <w:sz w:val="20"/>
                <w:szCs w:val="20"/>
                <w:color w:val="auto"/>
              </w:rPr>
            </w:pPr>
            <w:r>
              <w:rPr>
                <w:rFonts w:ascii="Arial" w:cs="Arial" w:eastAsia="Arial" w:hAnsi="Arial"/>
                <w:sz w:val="18"/>
                <w:szCs w:val="18"/>
                <w:i w:val="1"/>
                <w:iCs w:val="1"/>
                <w:color w:val="auto"/>
                <w:w w:val="98"/>
              </w:rPr>
              <w:t>Director</w:t>
            </w:r>
          </w:p>
        </w:tc>
        <w:tc>
          <w:tcPr>
            <w:tcW w:w="2040" w:type="dxa"/>
            <w:vAlign w:val="bottom"/>
          </w:tcPr>
          <w:p>
            <w:pPr>
              <w:jc w:val="center"/>
              <w:ind w:left="812"/>
              <w:spacing w:after="0"/>
              <w:rPr>
                <w:sz w:val="20"/>
                <w:szCs w:val="20"/>
                <w:color w:val="auto"/>
              </w:rPr>
            </w:pPr>
            <w:r>
              <w:rPr>
                <w:rFonts w:ascii="Arial" w:cs="Arial" w:eastAsia="Arial" w:hAnsi="Arial"/>
                <w:sz w:val="18"/>
                <w:szCs w:val="18"/>
                <w:color w:val="auto"/>
                <w:w w:val="91"/>
              </w:rPr>
              <w:t>March 10, 2022</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89"/>
              </w:rPr>
              <w:t>Dr. Tuyen Ong</w:t>
            </w:r>
          </w:p>
        </w:tc>
        <w:tc>
          <w:tcPr>
            <w:tcW w:w="448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Jason Rhodes</w:t>
            </w:r>
          </w:p>
        </w:tc>
        <w:tc>
          <w:tcPr>
            <w:tcW w:w="4480" w:type="dxa"/>
            <w:vAlign w:val="bottom"/>
          </w:tcPr>
          <w:p>
            <w:pPr>
              <w:jc w:val="center"/>
              <w:ind w:left="532"/>
              <w:spacing w:after="0"/>
              <w:rPr>
                <w:sz w:val="20"/>
                <w:szCs w:val="20"/>
                <w:color w:val="auto"/>
              </w:rPr>
            </w:pPr>
            <w:r>
              <w:rPr>
                <w:rFonts w:ascii="Arial" w:cs="Arial" w:eastAsia="Arial" w:hAnsi="Arial"/>
                <w:sz w:val="18"/>
                <w:szCs w:val="18"/>
                <w:i w:val="1"/>
                <w:iCs w:val="1"/>
                <w:color w:val="auto"/>
                <w:w w:val="98"/>
              </w:rPr>
              <w:t>Director</w:t>
            </w:r>
          </w:p>
        </w:tc>
        <w:tc>
          <w:tcPr>
            <w:tcW w:w="2040" w:type="dxa"/>
            <w:vAlign w:val="bottom"/>
          </w:tcPr>
          <w:p>
            <w:pPr>
              <w:jc w:val="center"/>
              <w:ind w:left="812"/>
              <w:spacing w:after="0"/>
              <w:rPr>
                <w:sz w:val="20"/>
                <w:szCs w:val="20"/>
                <w:color w:val="auto"/>
              </w:rPr>
            </w:pPr>
            <w:r>
              <w:rPr>
                <w:rFonts w:ascii="Arial" w:cs="Arial" w:eastAsia="Arial" w:hAnsi="Arial"/>
                <w:sz w:val="18"/>
                <w:szCs w:val="18"/>
                <w:color w:val="auto"/>
                <w:w w:val="91"/>
              </w:rPr>
              <w:t>March 10, 2022</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85"/>
              </w:rPr>
              <w:t>Jason Rhodes</w:t>
            </w:r>
          </w:p>
        </w:tc>
        <w:tc>
          <w:tcPr>
            <w:tcW w:w="448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Jim Tananbaum</w:t>
            </w:r>
          </w:p>
        </w:tc>
        <w:tc>
          <w:tcPr>
            <w:tcW w:w="4480" w:type="dxa"/>
            <w:vAlign w:val="bottom"/>
          </w:tcPr>
          <w:p>
            <w:pPr>
              <w:jc w:val="center"/>
              <w:ind w:left="532"/>
              <w:spacing w:after="0"/>
              <w:rPr>
                <w:sz w:val="20"/>
                <w:szCs w:val="20"/>
                <w:color w:val="auto"/>
              </w:rPr>
            </w:pPr>
            <w:r>
              <w:rPr>
                <w:rFonts w:ascii="Arial" w:cs="Arial" w:eastAsia="Arial" w:hAnsi="Arial"/>
                <w:sz w:val="18"/>
                <w:szCs w:val="18"/>
                <w:i w:val="1"/>
                <w:iCs w:val="1"/>
                <w:color w:val="auto"/>
                <w:w w:val="98"/>
              </w:rPr>
              <w:t>Director</w:t>
            </w:r>
          </w:p>
        </w:tc>
        <w:tc>
          <w:tcPr>
            <w:tcW w:w="2040" w:type="dxa"/>
            <w:vAlign w:val="bottom"/>
          </w:tcPr>
          <w:p>
            <w:pPr>
              <w:jc w:val="center"/>
              <w:ind w:left="812"/>
              <w:spacing w:after="0"/>
              <w:rPr>
                <w:sz w:val="20"/>
                <w:szCs w:val="20"/>
                <w:color w:val="auto"/>
              </w:rPr>
            </w:pPr>
            <w:r>
              <w:rPr>
                <w:rFonts w:ascii="Arial" w:cs="Arial" w:eastAsia="Arial" w:hAnsi="Arial"/>
                <w:sz w:val="18"/>
                <w:szCs w:val="18"/>
                <w:color w:val="auto"/>
                <w:w w:val="91"/>
              </w:rPr>
              <w:t>March 10, 2022</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89"/>
              </w:rPr>
              <w:t>Dr. Jim Tananbaum</w:t>
            </w:r>
          </w:p>
        </w:tc>
        <w:tc>
          <w:tcPr>
            <w:tcW w:w="4480" w:type="dxa"/>
            <w:vAlign w:val="bottom"/>
          </w:tcPr>
          <w:p>
            <w:pPr>
              <w:spacing w:after="0"/>
              <w:rPr>
                <w:sz w:val="19"/>
                <w:szCs w:val="19"/>
                <w:color w:val="auto"/>
              </w:rPr>
            </w:pPr>
          </w:p>
        </w:tc>
        <w:tc>
          <w:tcPr>
            <w:tcW w:w="2040" w:type="dxa"/>
            <w:vAlign w:val="bottom"/>
          </w:tcPr>
          <w:p>
            <w:pPr>
              <w:spacing w:after="0"/>
              <w:rPr>
                <w:sz w:val="19"/>
                <w:szCs w:val="19"/>
                <w:color w:val="auto"/>
              </w:rPr>
            </w:pPr>
          </w:p>
        </w:tc>
      </w:tr>
    </w:tbl>
    <w:p>
      <w:pPr>
        <w:sectPr>
          <w:pgSz w:w="11900" w:h="16838" w:orient="portrait"/>
          <w:cols w:equalWidth="0" w:num="1">
            <w:col w:w="10940"/>
          </w:cols>
          <w:pgMar w:left="440" w:top="270" w:right="5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5.1</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Gemini 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Securities Being Registered under Registration Statement on Form S-8</w:t>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We have acted as counsel to you in connection with your filing of a Registration Statement on Form S-8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pursuant to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on or about the date hereof relating to an aggregate of 1,728,326 shares (the “</w:t>
      </w:r>
      <w:r>
        <w:rPr>
          <w:rFonts w:ascii="Arial" w:cs="Arial" w:eastAsia="Arial" w:hAnsi="Arial"/>
          <w:sz w:val="17"/>
          <w:szCs w:val="17"/>
          <w:u w:val="single" w:color="auto"/>
          <w:color w:val="auto"/>
        </w:rPr>
        <w:t>Shares</w:t>
      </w:r>
      <w:r>
        <w:rPr>
          <w:rFonts w:ascii="Arial" w:cs="Arial" w:eastAsia="Arial" w:hAnsi="Arial"/>
          <w:sz w:val="17"/>
          <w:szCs w:val="17"/>
          <w:color w:val="auto"/>
        </w:rPr>
        <w:t>”) of Common Stock, $0.0001 par value per share (“</w:t>
      </w:r>
      <w:r>
        <w:rPr>
          <w:rFonts w:ascii="Arial" w:cs="Arial" w:eastAsia="Arial" w:hAnsi="Arial"/>
          <w:sz w:val="17"/>
          <w:szCs w:val="17"/>
          <w:u w:val="single" w:color="auto"/>
          <w:color w:val="auto"/>
        </w:rPr>
        <w:t>Common Stock</w:t>
      </w:r>
      <w:r>
        <w:rPr>
          <w:rFonts w:ascii="Arial" w:cs="Arial" w:eastAsia="Arial" w:hAnsi="Arial"/>
          <w:sz w:val="17"/>
          <w:szCs w:val="17"/>
          <w:color w:val="auto"/>
        </w:rPr>
        <w:t>”), of Gemini Therapeutics,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that may be issued pursuant to the Company’s 2021 Employee Stock Purchase Plan (the “</w:t>
      </w:r>
      <w:r>
        <w:rPr>
          <w:rFonts w:ascii="Arial" w:cs="Arial" w:eastAsia="Arial" w:hAnsi="Arial"/>
          <w:sz w:val="17"/>
          <w:szCs w:val="17"/>
          <w:u w:val="single" w:color="auto"/>
          <w:color w:val="auto"/>
        </w:rPr>
        <w:t>Plan</w:t>
      </w:r>
      <w:r>
        <w:rPr>
          <w:rFonts w:ascii="Arial" w:cs="Arial" w:eastAsia="Arial" w:hAnsi="Arial"/>
          <w:sz w:val="17"/>
          <w:szCs w:val="17"/>
          <w:color w:val="auto"/>
        </w:rPr>
        <w:t>”).</w:t>
      </w:r>
    </w:p>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 set forth below, on certificates of officers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opinion set forth below is limited to the Delaware General Corporation Law.</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For purposes of the opinion set forth below, we have assumed that no event occurs that causes the number of authorized shares of Common Stock available for issuance by the Company to be less than the number of then unissued Shares.</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Based on the foregoing, we are of the opinion that the Shares have been duly authorized and, upon issuance and delivery against payment therefor in accordance with the terms of the Plan, will be validly issued, fully paid and nonassessable.</w:t>
      </w:r>
    </w:p>
    <w:p>
      <w:pPr>
        <w:spacing w:after="0" w:line="17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7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Goodwin Proctor LLP</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GOODWIN PROCTER LLP</w:t>
      </w:r>
    </w:p>
    <w:p>
      <w:pPr>
        <w:sectPr>
          <w:pgSz w:w="11900" w:h="16838" w:orient="portrait"/>
          <w:cols w:equalWidth="0" w:num="1">
            <w:col w:w="11020"/>
          </w:cols>
          <w:pgMar w:left="440" w:top="121"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consent to the incorporation by reference in the Registration Statement (Form S-8) pertaining to the Gemini Therapeutics, Inc. 2021 Stock Option and Incentive Plan of our report dated March 10, 2022, with respect to the consolidated financial statements of Gemini Therapeutics, Inc. included in its Annual Report (Form 10-K) for the year ended December 31, 2021, filed with the Securities and Exchange Commission.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10, 2022</w:t>
      </w:r>
    </w:p>
    <w:p>
      <w:pPr>
        <w:sectPr>
          <w:pgSz w:w="11900" w:h="16838" w:orient="portrait"/>
          <w:cols w:equalWidth="0" w:num="1">
            <w:col w:w="11020"/>
          </w:cols>
          <w:pgMar w:left="440" w:top="121"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107.1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Filing Fee Table</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S-8</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Table 1—Newly Registered Securities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Proposed</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Fee</w:t>
            </w: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Maximum</w:t>
            </w:r>
          </w:p>
        </w:tc>
        <w:tc>
          <w:tcPr>
            <w:tcW w:w="100" w:type="dxa"/>
            <w:vAlign w:val="bottom"/>
          </w:tcPr>
          <w:p>
            <w:pPr>
              <w:spacing w:after="0"/>
              <w:rPr>
                <w:sz w:val="12"/>
                <w:szCs w:val="12"/>
                <w:color w:val="auto"/>
              </w:rPr>
            </w:pPr>
          </w:p>
        </w:tc>
        <w:tc>
          <w:tcPr>
            <w:tcW w:w="14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9"/>
              </w:rPr>
              <w:t>Maximum</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44"/>
        </w:trPr>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86"/>
              </w:rPr>
              <w:t>Security</w:t>
            </w:r>
          </w:p>
        </w:tc>
        <w:tc>
          <w:tcPr>
            <w:tcW w:w="160" w:type="dxa"/>
            <w:vAlign w:val="bottom"/>
          </w:tcPr>
          <w:p>
            <w:pPr>
              <w:spacing w:after="0"/>
              <w:rPr>
                <w:sz w:val="12"/>
                <w:szCs w:val="12"/>
                <w:color w:val="auto"/>
              </w:rPr>
            </w:pPr>
          </w:p>
        </w:tc>
        <w:tc>
          <w:tcPr>
            <w:tcW w:w="38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Security Class</w:t>
            </w:r>
          </w:p>
        </w:tc>
        <w:tc>
          <w:tcPr>
            <w:tcW w:w="88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9"/>
              </w:rPr>
              <w:t>Offering</w:t>
            </w:r>
          </w:p>
        </w:tc>
        <w:tc>
          <w:tcPr>
            <w:tcW w:w="1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3880" w:type="dxa"/>
            <w:vAlign w:val="bottom"/>
            <w:gridSpan w:val="2"/>
            <w:vMerge w:val="continue"/>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Calculation</w:t>
            </w: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Registered</w:t>
            </w:r>
          </w:p>
        </w:tc>
        <w:tc>
          <w:tcPr>
            <w:tcW w:w="8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Aggregate</w:t>
            </w: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Fee Rate</w:t>
            </w:r>
          </w:p>
        </w:tc>
        <w:tc>
          <w:tcPr>
            <w:tcW w:w="20" w:type="dxa"/>
            <w:vAlign w:val="bottom"/>
          </w:tcPr>
          <w:p>
            <w:pPr>
              <w:spacing w:after="0"/>
              <w:rPr>
                <w:sz w:val="12"/>
                <w:szCs w:val="12"/>
                <w:color w:val="auto"/>
              </w:rPr>
            </w:pPr>
          </w:p>
        </w:tc>
        <w:tc>
          <w:tcPr>
            <w:tcW w:w="8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7"/>
              </w:rPr>
              <w:t>Registration</w:t>
            </w:r>
          </w:p>
        </w:tc>
        <w:tc>
          <w:tcPr>
            <w:tcW w:w="0" w:type="dxa"/>
            <w:vAlign w:val="bottom"/>
          </w:tcPr>
          <w:p>
            <w:pPr>
              <w:spacing w:after="0"/>
              <w:rPr>
                <w:sz w:val="1"/>
                <w:szCs w:val="1"/>
                <w:color w:val="auto"/>
              </w:rPr>
            </w:pPr>
          </w:p>
        </w:tc>
      </w:tr>
      <w:tr>
        <w:trPr>
          <w:trHeight w:val="182"/>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Type</w:t>
            </w:r>
          </w:p>
        </w:tc>
        <w:tc>
          <w:tcPr>
            <w:tcW w:w="160" w:type="dxa"/>
            <w:vAlign w:val="bottom"/>
          </w:tcPr>
          <w:p>
            <w:pPr>
              <w:spacing w:after="0"/>
              <w:rPr>
                <w:sz w:val="15"/>
                <w:szCs w:val="15"/>
                <w:color w:val="auto"/>
              </w:rPr>
            </w:pPr>
          </w:p>
        </w:tc>
        <w:tc>
          <w:tcPr>
            <w:tcW w:w="3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Title</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Rule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 Unit</w:t>
            </w:r>
          </w:p>
        </w:tc>
        <w:tc>
          <w:tcPr>
            <w:tcW w:w="100" w:type="dxa"/>
            <w:vAlign w:val="bottom"/>
          </w:tcPr>
          <w:p>
            <w:pPr>
              <w:spacing w:after="0"/>
              <w:rPr>
                <w:sz w:val="15"/>
                <w:szCs w:val="15"/>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Offering Price</w:t>
            </w:r>
          </w:p>
        </w:tc>
        <w:tc>
          <w:tcPr>
            <w:tcW w:w="10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3"/>
          </w:tcPr>
          <w:p>
            <w:pPr>
              <w:ind w:left="80"/>
              <w:spacing w:after="0"/>
              <w:rPr>
                <w:sz w:val="20"/>
                <w:szCs w:val="20"/>
                <w:color w:val="auto"/>
              </w:rPr>
            </w:pPr>
            <w:r>
              <w:rPr>
                <w:rFonts w:ascii="Arial" w:cs="Arial" w:eastAsia="Arial" w:hAnsi="Arial"/>
                <w:sz w:val="14"/>
                <w:szCs w:val="14"/>
                <w:b w:val="1"/>
                <w:bCs w:val="1"/>
                <w:color w:val="auto"/>
              </w:rPr>
              <w:t>Fee</w:t>
            </w:r>
          </w:p>
        </w:tc>
        <w:tc>
          <w:tcPr>
            <w:tcW w:w="0" w:type="dxa"/>
            <w:vAlign w:val="bottom"/>
          </w:tcPr>
          <w:p>
            <w:pPr>
              <w:spacing w:after="0"/>
              <w:rPr>
                <w:sz w:val="1"/>
                <w:szCs w:val="1"/>
                <w:color w:val="auto"/>
              </w:rPr>
            </w:pPr>
          </w:p>
        </w:tc>
      </w:tr>
      <w:tr>
        <w:trPr>
          <w:trHeight w:val="189"/>
        </w:trPr>
        <w:tc>
          <w:tcPr>
            <w:tcW w:w="5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w w:val="95"/>
              </w:rPr>
              <w:t>Equity</w:t>
            </w:r>
          </w:p>
        </w:tc>
        <w:tc>
          <w:tcPr>
            <w:tcW w:w="160" w:type="dxa"/>
            <w:vAlign w:val="bottom"/>
            <w:tcBorders>
              <w:top w:val="single" w:sz="8" w:color="CCEEFF"/>
            </w:tcBorders>
            <w:shd w:val="clear" w:color="auto" w:fill="CCEEFF"/>
          </w:tcPr>
          <w:p>
            <w:pPr>
              <w:spacing w:after="0"/>
              <w:rPr>
                <w:sz w:val="16"/>
                <w:szCs w:val="16"/>
                <w:color w:val="auto"/>
              </w:rPr>
            </w:pPr>
          </w:p>
        </w:tc>
        <w:tc>
          <w:tcPr>
            <w:tcW w:w="37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8"/>
                <w:szCs w:val="18"/>
                <w:color w:val="auto"/>
              </w:rPr>
              <w:t>$92.70</w:t>
            </w: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per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Common Stock, $0.0001 par value per share</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1,728,326 (2)</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$ 1.365 (3)</w:t>
            </w:r>
          </w:p>
        </w:tc>
        <w:tc>
          <w:tcPr>
            <w:tcW w:w="1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2,359,164.99 (3)</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$1,000,000</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0"/>
              </w:rPr>
              <w:t>218.69</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Total Offering Amounts</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$ 2,359,164.99</w:t>
            </w:r>
          </w:p>
        </w:tc>
        <w:tc>
          <w:tcPr>
            <w:tcW w:w="38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7"/>
              </w:rPr>
              <w:t>218.69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b w:val="1"/>
                <w:bCs w:val="1"/>
                <w:color w:val="auto"/>
                <w:w w:val="87"/>
              </w:rPr>
              <w:t>Total Fee Offsets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Net Fee Due</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7"/>
              </w:rPr>
              <w:t>218.69</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right="180" w:hanging="424"/>
        <w:spacing w:after="0" w:line="286" w:lineRule="auto"/>
        <w:tabs>
          <w:tab w:leader="none" w:pos="424" w:val="left"/>
        </w:tabs>
        <w:numPr>
          <w:ilvl w:val="0"/>
          <w:numId w:val="3"/>
        </w:numPr>
        <w:rPr>
          <w:rFonts w:ascii="Arial" w:cs="Arial" w:eastAsia="Arial" w:hAnsi="Arial"/>
          <w:sz w:val="16"/>
          <w:szCs w:val="16"/>
          <w:color w:val="auto"/>
        </w:rPr>
      </w:pPr>
      <w:r>
        <w:rPr>
          <w:rFonts w:ascii="Arial" w:cs="Arial" w:eastAsia="Arial" w:hAnsi="Arial"/>
          <w:sz w:val="16"/>
          <w:szCs w:val="16"/>
          <w:color w:val="auto"/>
        </w:rPr>
        <w:t>Pursuant to Rule 416 under the Securities Act of 1933, as amended (the “Securities Act”), this Registration Statement shall also cover any additional shares of Common Stock, par value $0.0001 per share (the “Common Stock”) which become issuable under the Gemini Therapeutics, Inc. 2021 Stock Option and Incentive Plan (the “Plan”) by reason of any stock dividend, stock split, recapitalization or any other similar transaction effected without the receipt of consideration which results in an increase in the number of outstanding shares of Common Stock.</w:t>
      </w:r>
    </w:p>
    <w:p>
      <w:pPr>
        <w:spacing w:after="0" w:line="1" w:lineRule="exact"/>
        <w:rPr>
          <w:rFonts w:ascii="Arial" w:cs="Arial" w:eastAsia="Arial" w:hAnsi="Arial"/>
          <w:sz w:val="16"/>
          <w:szCs w:val="16"/>
          <w:color w:val="auto"/>
        </w:rPr>
      </w:pPr>
    </w:p>
    <w:p>
      <w:pPr>
        <w:ind w:left="424" w:right="240" w:hanging="424"/>
        <w:spacing w:after="0" w:line="265" w:lineRule="auto"/>
        <w:tabs>
          <w:tab w:leader="none" w:pos="424" w:val="left"/>
        </w:tabs>
        <w:numPr>
          <w:ilvl w:val="0"/>
          <w:numId w:val="3"/>
        </w:numPr>
        <w:rPr>
          <w:rFonts w:ascii="Arial" w:cs="Arial" w:eastAsia="Arial" w:hAnsi="Arial"/>
          <w:sz w:val="17"/>
          <w:szCs w:val="17"/>
          <w:color w:val="auto"/>
        </w:rPr>
      </w:pPr>
      <w:r>
        <w:rPr>
          <w:rFonts w:ascii="Arial" w:cs="Arial" w:eastAsia="Arial" w:hAnsi="Arial"/>
          <w:sz w:val="17"/>
          <w:szCs w:val="17"/>
          <w:color w:val="auto"/>
        </w:rPr>
        <w:t>Represents an automatic increase of 1,728,326 shares of Common Stock to the number of shares available for issuance under the Plan, effective January 1, 2022. Shares available for issuance under the Plan were previously registered on a registration statement on Form S-8 filed with the United States Securities and Exchange Commission on April 12, 2021 (File No. 333-255194).</w:t>
      </w:r>
    </w:p>
    <w:p>
      <w:pPr>
        <w:jc w:val="both"/>
        <w:ind w:left="424" w:right="100" w:hanging="424"/>
        <w:spacing w:after="0" w:line="255"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457(c) and (h) of the Securities Act, and based on $1.365, the average of the high and low sale prices of the Common Stock as reported on Nasdaq on March 7, 2022 (such date being within five business days of the date that this Registration Statement was filed with the Commission).</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0" Type="http://schemas.openxmlformats.org/officeDocument/2006/relationships/hyperlink" Target="http://www.sec.gov/Archives/edgar/data/1816736/000121390021021222/ea139346-s8_gemini.htm" TargetMode="External"/><Relationship Id="rId21" Type="http://schemas.openxmlformats.org/officeDocument/2006/relationships/hyperlink" Target="http://www.sec.gov/Archives/edgar/data/1816736/000121390021002636/fs42021a5ex4-1_fsdevelop.htm" TargetMode="External"/><Relationship Id="rId22" Type="http://schemas.openxmlformats.org/officeDocument/2006/relationships/hyperlink" Target="http://www.sec.gov/Archives/edgar/data/1816736/000121390021008478/ea135023ex3-1_gemini.htm" TargetMode="External"/><Relationship Id="rId23" Type="http://schemas.openxmlformats.org/officeDocument/2006/relationships/hyperlink" Target="http://www.sec.gov/Archives/edgar/data/1816736/000121390021002636/fs42021a5_fsdevelopment.htm#T53" TargetMode="External"/><Relationship Id="rId24" Type="http://schemas.openxmlformats.org/officeDocument/2006/relationships/hyperlink" Target="http://www.sec.gov/Archives/edgar/data/1816736/000121390021008478/ea135023ex10-4_gemin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2022-03-10T06:37:18Z</dcterms:created>
  <dcterms:modified xsi:type="dcterms:W3CDTF">2022-03-10T06:37:18Z</dcterms:modified>
</cp:coreProperties>
</file>