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229870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w:t>
      </w: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September 29,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216535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GEMINI THERAPEUTICS, INC.</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tbl>
      <w:tblPr>
        <w:tblLayout w:type="fixed"/>
        <w:tblInd w:w="1040" w:type="dxa"/>
        <w:tblCellMar>
          <w:top w:w="0" w:type="dxa"/>
          <w:left w:w="0" w:type="dxa"/>
          <w:bottom w:w="0" w:type="dxa"/>
          <w:right w:w="0" w:type="dxa"/>
        </w:tblCellMar>
      </w:tblPr>
      <w:tr>
        <w:trPr>
          <w:trHeight w:val="212"/>
        </w:trPr>
        <w:tc>
          <w:tcPr>
            <w:tcW w:w="3620" w:type="dxa"/>
            <w:vAlign w:val="bottom"/>
          </w:tcPr>
          <w:p>
            <w:pPr>
              <w:jc w:val="center"/>
              <w:ind w:right="1899"/>
              <w:spacing w:after="0"/>
              <w:rPr>
                <w:sz w:val="20"/>
                <w:szCs w:val="20"/>
                <w:color w:val="auto"/>
              </w:rPr>
            </w:pPr>
            <w:r>
              <w:rPr>
                <w:rFonts w:ascii="Arial" w:cs="Arial" w:eastAsia="Arial" w:hAnsi="Arial"/>
                <w:sz w:val="18"/>
                <w:szCs w:val="18"/>
                <w:b w:val="1"/>
                <w:bCs w:val="1"/>
                <w:color w:val="auto"/>
                <w:w w:val="91"/>
              </w:rPr>
              <w:t>Delaware</w:t>
            </w:r>
          </w:p>
        </w:tc>
        <w:tc>
          <w:tcPr>
            <w:tcW w:w="2360" w:type="dxa"/>
            <w:vAlign w:val="bottom"/>
          </w:tcPr>
          <w:p>
            <w:pPr>
              <w:ind w:left="560"/>
              <w:spacing w:after="0"/>
              <w:rPr>
                <w:sz w:val="20"/>
                <w:szCs w:val="20"/>
                <w:color w:val="auto"/>
              </w:rPr>
            </w:pPr>
            <w:r>
              <w:rPr>
                <w:rFonts w:ascii="Arial" w:cs="Arial" w:eastAsia="Arial" w:hAnsi="Arial"/>
                <w:sz w:val="18"/>
                <w:szCs w:val="18"/>
                <w:b w:val="1"/>
                <w:bCs w:val="1"/>
                <w:color w:val="auto"/>
              </w:rPr>
              <w:t>001-39438</w:t>
            </w:r>
          </w:p>
        </w:tc>
        <w:tc>
          <w:tcPr>
            <w:tcW w:w="2800" w:type="dxa"/>
            <w:vAlign w:val="bottom"/>
          </w:tcPr>
          <w:p>
            <w:pPr>
              <w:jc w:val="center"/>
              <w:ind w:left="1581"/>
              <w:spacing w:after="0"/>
              <w:rPr>
                <w:sz w:val="20"/>
                <w:szCs w:val="20"/>
                <w:color w:val="auto"/>
              </w:rPr>
            </w:pPr>
            <w:r>
              <w:rPr>
                <w:rFonts w:ascii="Arial" w:cs="Arial" w:eastAsia="Arial" w:hAnsi="Arial"/>
                <w:sz w:val="18"/>
                <w:szCs w:val="18"/>
                <w:b w:val="1"/>
                <w:bCs w:val="1"/>
                <w:color w:val="auto"/>
                <w:w w:val="89"/>
              </w:rPr>
              <w:t>85-1612845</w:t>
            </w:r>
          </w:p>
        </w:tc>
      </w:tr>
      <w:tr>
        <w:trPr>
          <w:trHeight w:val="148"/>
        </w:trPr>
        <w:tc>
          <w:tcPr>
            <w:tcW w:w="3620" w:type="dxa"/>
            <w:vAlign w:val="bottom"/>
          </w:tcPr>
          <w:p>
            <w:pPr>
              <w:jc w:val="center"/>
              <w:ind w:right="1899"/>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360" w:type="dxa"/>
            <w:vAlign w:val="bottom"/>
          </w:tcPr>
          <w:p>
            <w:pPr>
              <w:ind w:left="560"/>
              <w:spacing w:after="0" w:line="149" w:lineRule="exact"/>
              <w:rPr>
                <w:sz w:val="20"/>
                <w:szCs w:val="20"/>
                <w:color w:val="auto"/>
              </w:rPr>
            </w:pPr>
            <w:r>
              <w:rPr>
                <w:rFonts w:ascii="Arial" w:cs="Arial" w:eastAsia="Arial" w:hAnsi="Arial"/>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Arial" w:cs="Arial" w:eastAsia="Arial" w:hAnsi="Arial"/>
                <w:sz w:val="14"/>
                <w:szCs w:val="14"/>
                <w:b w:val="1"/>
                <w:bCs w:val="1"/>
                <w:color w:val="auto"/>
                <w:w w:val="94"/>
              </w:rPr>
              <w:t>(I.R.S. Employer</w:t>
            </w:r>
          </w:p>
        </w:tc>
      </w:tr>
      <w:tr>
        <w:trPr>
          <w:trHeight w:val="186"/>
        </w:trPr>
        <w:tc>
          <w:tcPr>
            <w:tcW w:w="3620" w:type="dxa"/>
            <w:vAlign w:val="bottom"/>
          </w:tcPr>
          <w:p>
            <w:pPr>
              <w:jc w:val="center"/>
              <w:ind w:right="1879"/>
              <w:spacing w:after="0"/>
              <w:rPr>
                <w:sz w:val="20"/>
                <w:szCs w:val="20"/>
                <w:color w:val="auto"/>
              </w:rPr>
            </w:pPr>
            <w:r>
              <w:rPr>
                <w:rFonts w:ascii="Arial" w:cs="Arial" w:eastAsia="Arial" w:hAnsi="Arial"/>
                <w:sz w:val="14"/>
                <w:szCs w:val="14"/>
                <w:b w:val="1"/>
                <w:bCs w:val="1"/>
                <w:color w:val="auto"/>
                <w:w w:val="94"/>
              </w:rPr>
              <w:t>of incorporation)</w:t>
            </w:r>
          </w:p>
        </w:tc>
        <w:tc>
          <w:tcPr>
            <w:tcW w:w="2360" w:type="dxa"/>
            <w:vAlign w:val="bottom"/>
          </w:tcPr>
          <w:p>
            <w:pPr>
              <w:ind w:left="540"/>
              <w:spacing w:after="0"/>
              <w:rPr>
                <w:sz w:val="20"/>
                <w:szCs w:val="20"/>
                <w:color w:val="auto"/>
              </w:rPr>
            </w:pPr>
            <w:r>
              <w:rPr>
                <w:rFonts w:ascii="Arial" w:cs="Arial" w:eastAsia="Arial" w:hAnsi="Arial"/>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Arial" w:cs="Arial" w:eastAsia="Arial" w:hAnsi="Arial"/>
                <w:sz w:val="14"/>
                <w:szCs w:val="14"/>
                <w:b w:val="1"/>
                <w:bCs w:val="1"/>
                <w:color w:val="auto"/>
                <w:w w:val="96"/>
              </w:rPr>
              <w:t>Identification No.)</w:t>
            </w:r>
          </w:p>
        </w:tc>
      </w:tr>
      <w:tr>
        <w:trPr>
          <w:trHeight w:val="399"/>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1"/>
              </w:rPr>
              <w:t>300 One Kendall Square, 3rd Floor</w:t>
            </w:r>
          </w:p>
        </w:tc>
        <w:tc>
          <w:tcPr>
            <w:tcW w:w="236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5"/>
        </w:trPr>
        <w:tc>
          <w:tcPr>
            <w:tcW w:w="3620" w:type="dxa"/>
            <w:vAlign w:val="bottom"/>
          </w:tcPr>
          <w:p>
            <w:pPr>
              <w:jc w:val="center"/>
              <w:ind w:right="79"/>
              <w:spacing w:after="0"/>
              <w:rPr>
                <w:sz w:val="20"/>
                <w:szCs w:val="20"/>
                <w:color w:val="auto"/>
              </w:rPr>
            </w:pPr>
            <w:r>
              <w:rPr>
                <w:rFonts w:ascii="Arial" w:cs="Arial" w:eastAsia="Arial" w:hAnsi="Arial"/>
                <w:sz w:val="18"/>
                <w:szCs w:val="18"/>
                <w:b w:val="1"/>
                <w:bCs w:val="1"/>
                <w:color w:val="auto"/>
                <w:w w:val="95"/>
              </w:rPr>
              <w:t>Cambridge, MA</w:t>
            </w:r>
          </w:p>
        </w:tc>
        <w:tc>
          <w:tcPr>
            <w:tcW w:w="236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Arial" w:cs="Arial" w:eastAsia="Arial" w:hAnsi="Arial"/>
                <w:sz w:val="18"/>
                <w:szCs w:val="18"/>
                <w:b w:val="1"/>
                <w:bCs w:val="1"/>
                <w:color w:val="auto"/>
              </w:rPr>
              <w:t>02139</w:t>
            </w:r>
          </w:p>
        </w:tc>
      </w:tr>
      <w:tr>
        <w:trPr>
          <w:trHeight w:val="186"/>
        </w:trPr>
        <w:tc>
          <w:tcPr>
            <w:tcW w:w="3620" w:type="dxa"/>
            <w:vAlign w:val="bottom"/>
          </w:tcPr>
          <w:p>
            <w:pPr>
              <w:jc w:val="center"/>
              <w:ind w:right="79"/>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236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Arial" w:cs="Arial" w:eastAsia="Arial" w:hAnsi="Arial"/>
                <w:sz w:val="14"/>
                <w:szCs w:val="14"/>
                <w:b w:val="1"/>
                <w:bCs w:val="1"/>
                <w:color w:val="auto"/>
                <w:w w:val="98"/>
              </w:rPr>
              <w:t>(Zip Code)</w:t>
            </w:r>
          </w:p>
        </w:tc>
      </w:tr>
    </w:tbl>
    <w:p>
      <w:pPr>
        <w:spacing w:after="0" w:line="14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(617) 401-4400</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210820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86"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Pre-commencements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0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Common stock, par value $0.0001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GMTX</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Market</w:t>
            </w:r>
          </w:p>
        </w:tc>
        <w:tc>
          <w:tcPr>
            <w:tcW w:w="0" w:type="dxa"/>
            <w:vAlign w:val="bottom"/>
          </w:tcPr>
          <w:p>
            <w:pPr>
              <w:spacing w:after="0"/>
              <w:rPr>
                <w:sz w:val="1"/>
                <w:szCs w:val="1"/>
                <w:color w:val="auto"/>
              </w:rPr>
            </w:pPr>
          </w:p>
        </w:tc>
      </w:tr>
    </w:tbl>
    <w:p>
      <w:pPr>
        <w:spacing w:after="0" w:line="156" w:lineRule="exact"/>
        <w:rPr>
          <w:sz w:val="24"/>
          <w:szCs w:val="24"/>
          <w:color w:val="auto"/>
        </w:rPr>
      </w:pPr>
    </w:p>
    <w:p>
      <w:pPr>
        <w:ind w:left="440" w:right="200" w:hanging="426"/>
        <w:spacing w:after="0" w:line="277" w:lineRule="auto"/>
        <w:tabs>
          <w:tab w:leader="none" w:pos="404"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0" w:lineRule="exact"/>
        <w:rPr>
          <w:sz w:val="24"/>
          <w:szCs w:val="24"/>
          <w:color w:val="auto"/>
        </w:rPr>
      </w:pPr>
    </w:p>
    <w:p>
      <w:pPr>
        <w:ind w:left="440" w:right="240" w:hanging="426"/>
        <w:spacing w:after="0" w:line="277" w:lineRule="auto"/>
        <w:tabs>
          <w:tab w:leader="none" w:pos="359"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125730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168910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68" w:right="439" w:bottom="1440" w:gutter="0" w:footer="0" w:header="0"/>
        </w:sectPr>
      </w:pPr>
    </w:p>
    <w:bookmarkStart w:id="1" w:name="page2"/>
    <w:bookmarkEnd w:id="1"/>
    <w:p>
      <w:pPr>
        <w:spacing w:after="0"/>
        <w:tabs>
          <w:tab w:leader="none" w:pos="118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121" w:lineRule="exact"/>
        <w:rPr>
          <w:sz w:val="20"/>
          <w:szCs w:val="20"/>
          <w:color w:val="auto"/>
        </w:rPr>
      </w:pPr>
    </w:p>
    <w:p>
      <w:pPr>
        <w:ind w:right="280"/>
        <w:spacing w:after="0" w:line="285" w:lineRule="auto"/>
        <w:rPr>
          <w:sz w:val="20"/>
          <w:szCs w:val="20"/>
          <w:color w:val="auto"/>
        </w:rPr>
      </w:pPr>
      <w:r>
        <w:rPr>
          <w:rFonts w:ascii="Arial" w:cs="Arial" w:eastAsia="Arial" w:hAnsi="Arial"/>
          <w:sz w:val="16"/>
          <w:szCs w:val="16"/>
          <w:color w:val="auto"/>
        </w:rPr>
        <w:t>On September 29, 2021, Gemini Therapeutics, Inc. (the “Company”) held its 2021 Annual Meeting of Stockholders (the “2021 Annual Meeting”). Proxies were solicited pursuant to the Company’s proxy statement filed on August 17, 2021 with the Securities and Exchange Commission under Section 14(a) of the Securities Exchange Act of 1934, as amended. As of August 2, 2021, the record date for the 2021 Annual Meeting, there were 43,055,112 shares of the Company’s common stock, par value $0.0001 per share, (the “Common Stock”) outstanding and entitled to vote at the 2021 Annual Meeting. A total of 28,632,671 shares of Common Stock were present or represented by proxy at the 2021 Annual Meeting, representing</w:t>
      </w:r>
    </w:p>
    <w:p>
      <w:pPr>
        <w:spacing w:after="0" w:line="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66.50% of the issued and outstanding shares entitled to vote at the meeting, representing a quorum. Each share of Common Stock was entitled to one vote with respect to matters submitted to the Company’s stockholders at the 2021 Annual Meeting. The proposals voted upon and the final results of the vote were as follows: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Proposal No. 1</w:t>
      </w:r>
      <w:r>
        <w:rPr>
          <w:rFonts w:ascii="Arial" w:cs="Arial" w:eastAsia="Arial" w:hAnsi="Arial"/>
          <w:sz w:val="16"/>
          <w:szCs w:val="16"/>
          <w:b w:val="1"/>
          <w:bCs w:val="1"/>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Election of Class I Director</w:t>
      </w:r>
      <w:r>
        <w:rPr>
          <w:rFonts w:ascii="Arial" w:cs="Arial" w:eastAsia="Arial" w:hAnsi="Arial"/>
          <w:sz w:val="16"/>
          <w:szCs w:val="16"/>
          <w:color w:val="auto"/>
        </w:rPr>
        <w:t>. Carl L. Gordon was duly elected to the Company’s Board as a Class I director. The results were as follows:</w:t>
      </w:r>
    </w:p>
    <w:p>
      <w:pPr>
        <w:spacing w:after="0" w:line="271" w:lineRule="exact"/>
        <w:rPr>
          <w:sz w:val="20"/>
          <w:szCs w:val="20"/>
          <w:color w:val="auto"/>
        </w:rPr>
      </w:pPr>
    </w:p>
    <w:tbl>
      <w:tblPr>
        <w:tblLayout w:type="fixed"/>
        <w:tblInd w:w="880" w:type="dxa"/>
        <w:tblCellMar>
          <w:top w:w="0" w:type="dxa"/>
          <w:left w:w="0" w:type="dxa"/>
          <w:bottom w:w="0" w:type="dxa"/>
          <w:right w:w="0" w:type="dxa"/>
        </w:tblCellMar>
      </w:tblPr>
      <w:tr>
        <w:trPr>
          <w:trHeight w:val="191"/>
        </w:trPr>
        <w:tc>
          <w:tcPr>
            <w:tcW w:w="9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Director</w:t>
            </w:r>
          </w:p>
        </w:tc>
        <w:tc>
          <w:tcPr>
            <w:tcW w:w="4840" w:type="dxa"/>
            <w:vAlign w:val="bottom"/>
          </w:tcPr>
          <w:p>
            <w:pPr>
              <w:spacing w:after="0"/>
              <w:rPr>
                <w:sz w:val="16"/>
                <w:szCs w:val="16"/>
                <w:color w:val="auto"/>
              </w:rPr>
            </w:pPr>
          </w:p>
        </w:tc>
        <w:tc>
          <w:tcPr>
            <w:tcW w:w="1180" w:type="dxa"/>
            <w:vAlign w:val="bottom"/>
            <w:gridSpan w:val="2"/>
          </w:tcPr>
          <w:p>
            <w:pPr>
              <w:ind w:left="320"/>
              <w:spacing w:after="0"/>
              <w:rPr>
                <w:sz w:val="20"/>
                <w:szCs w:val="20"/>
                <w:color w:val="auto"/>
              </w:rPr>
            </w:pPr>
            <w:r>
              <w:rPr>
                <w:rFonts w:ascii="Arial" w:cs="Arial" w:eastAsia="Arial" w:hAnsi="Arial"/>
                <w:sz w:val="14"/>
                <w:szCs w:val="14"/>
                <w:b w:val="1"/>
                <w:bCs w:val="1"/>
                <w:color w:val="auto"/>
              </w:rPr>
              <w:t>For</w:t>
            </w:r>
          </w:p>
        </w:tc>
        <w:tc>
          <w:tcPr>
            <w:tcW w:w="780" w:type="dxa"/>
            <w:vAlign w:val="bottom"/>
          </w:tcPr>
          <w:p>
            <w:pPr>
              <w:jc w:val="right"/>
              <w:ind w:right="19"/>
              <w:spacing w:after="0"/>
              <w:rPr>
                <w:sz w:val="20"/>
                <w:szCs w:val="20"/>
                <w:color w:val="auto"/>
              </w:rPr>
            </w:pPr>
            <w:r>
              <w:rPr>
                <w:rFonts w:ascii="Arial" w:cs="Arial" w:eastAsia="Arial" w:hAnsi="Arial"/>
                <w:sz w:val="14"/>
                <w:szCs w:val="14"/>
                <w:b w:val="1"/>
                <w:bCs w:val="1"/>
                <w:color w:val="auto"/>
              </w:rPr>
              <w:t>Withheld</w:t>
            </w:r>
          </w:p>
        </w:tc>
        <w:tc>
          <w:tcPr>
            <w:tcW w:w="1440" w:type="dxa"/>
            <w:vAlign w:val="bottom"/>
            <w:gridSpan w:val="2"/>
          </w:tcPr>
          <w:p>
            <w:pPr>
              <w:jc w:val="right"/>
              <w:spacing w:after="0"/>
              <w:rPr>
                <w:sz w:val="20"/>
                <w:szCs w:val="20"/>
                <w:color w:val="auto"/>
              </w:rPr>
            </w:pPr>
            <w:r>
              <w:rPr>
                <w:rFonts w:ascii="Arial" w:cs="Arial" w:eastAsia="Arial" w:hAnsi="Arial"/>
                <w:sz w:val="14"/>
                <w:szCs w:val="14"/>
                <w:b w:val="1"/>
                <w:bCs w:val="1"/>
                <w:color w:val="auto"/>
              </w:rPr>
              <w:t>Broker Non-Votes</w:t>
            </w:r>
          </w:p>
        </w:tc>
      </w:tr>
      <w:tr>
        <w:trPr>
          <w:trHeight w:val="217"/>
        </w:trPr>
        <w:tc>
          <w:tcPr>
            <w:tcW w:w="5800" w:type="dxa"/>
            <w:vAlign w:val="bottom"/>
            <w:gridSpan w:val="2"/>
          </w:tcPr>
          <w:p>
            <w:pPr>
              <w:spacing w:after="0"/>
              <w:rPr>
                <w:sz w:val="20"/>
                <w:szCs w:val="20"/>
                <w:color w:val="auto"/>
              </w:rPr>
            </w:pPr>
            <w:r>
              <w:rPr>
                <w:rFonts w:ascii="Arial" w:cs="Arial" w:eastAsia="Arial" w:hAnsi="Arial"/>
                <w:sz w:val="18"/>
                <w:szCs w:val="18"/>
                <w:color w:val="auto"/>
              </w:rPr>
              <w:t>Carl L. Gordon</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18,344,313</w:t>
            </w:r>
          </w:p>
        </w:tc>
        <w:tc>
          <w:tcPr>
            <w:tcW w:w="320" w:type="dxa"/>
            <w:vAlign w:val="bottom"/>
          </w:tcPr>
          <w:p>
            <w:pPr>
              <w:spacing w:after="0"/>
              <w:rPr>
                <w:sz w:val="18"/>
                <w:szCs w:val="18"/>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8,445,896</w:t>
            </w:r>
          </w:p>
        </w:tc>
        <w:tc>
          <w:tcPr>
            <w:tcW w:w="340" w:type="dxa"/>
            <w:vAlign w:val="bottom"/>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1,842,462</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Proposal No. 2: </w:t>
      </w:r>
      <w:r>
        <w:rPr>
          <w:rFonts w:ascii="Arial" w:cs="Arial" w:eastAsia="Arial" w:hAnsi="Arial"/>
          <w:sz w:val="16"/>
          <w:szCs w:val="16"/>
          <w:u w:val="single" w:color="auto"/>
          <w:color w:val="auto"/>
        </w:rPr>
        <w:t>Approval of the Company’s 2021 Employee Stock Purchase Plan</w:t>
      </w:r>
      <w:r>
        <w:rPr>
          <w:rFonts w:ascii="Arial" w:cs="Arial" w:eastAsia="Arial" w:hAnsi="Arial"/>
          <w:sz w:val="16"/>
          <w:szCs w:val="16"/>
          <w:color w:val="auto"/>
        </w:rPr>
        <w:t>. The Company’s 2021 Employee Stock Purchase Plan was approved.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results were as follows:</w:t>
      </w:r>
    </w:p>
    <w:p>
      <w:pPr>
        <w:spacing w:after="0" w:line="229"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3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Against</w:t>
            </w:r>
          </w:p>
        </w:tc>
        <w:tc>
          <w:tcPr>
            <w:tcW w:w="2380" w:type="dxa"/>
            <w:vAlign w:val="bottom"/>
            <w:gridSpan w:val="2"/>
          </w:tcPr>
          <w:p>
            <w:pPr>
              <w:ind w:left="900"/>
              <w:spacing w:after="0"/>
              <w:rPr>
                <w:sz w:val="20"/>
                <w:szCs w:val="20"/>
                <w:color w:val="auto"/>
              </w:rPr>
            </w:pPr>
            <w:r>
              <w:rPr>
                <w:rFonts w:ascii="Arial" w:cs="Arial" w:eastAsia="Arial" w:hAnsi="Arial"/>
                <w:sz w:val="14"/>
                <w:szCs w:val="14"/>
                <w:b w:val="1"/>
                <w:bCs w:val="1"/>
                <w:color w:val="auto"/>
              </w:rPr>
              <w:t>Abstain</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2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25,338,796</w:t>
            </w:r>
          </w:p>
        </w:tc>
        <w:tc>
          <w:tcPr>
            <w:tcW w:w="140" w:type="dxa"/>
            <w:vAlign w:val="bottom"/>
          </w:tcPr>
          <w:p>
            <w:pPr>
              <w:spacing w:after="0"/>
              <w:rPr>
                <w:sz w:val="19"/>
                <w:szCs w:val="19"/>
                <w:color w:val="auto"/>
              </w:rPr>
            </w:pPr>
          </w:p>
        </w:tc>
        <w:tc>
          <w:tcPr>
            <w:tcW w:w="2200" w:type="dxa"/>
            <w:vAlign w:val="bottom"/>
            <w:tcBorders>
              <w:top w:val="single" w:sz="8" w:color="auto"/>
            </w:tcBorders>
          </w:tcPr>
          <w:p>
            <w:pPr>
              <w:jc w:val="right"/>
              <w:ind w:right="659"/>
              <w:spacing w:after="0"/>
              <w:rPr>
                <w:sz w:val="20"/>
                <w:szCs w:val="20"/>
                <w:color w:val="auto"/>
              </w:rPr>
            </w:pPr>
            <w:r>
              <w:rPr>
                <w:rFonts w:ascii="Arial" w:cs="Arial" w:eastAsia="Arial" w:hAnsi="Arial"/>
                <w:sz w:val="18"/>
                <w:szCs w:val="18"/>
                <w:color w:val="auto"/>
              </w:rPr>
              <w:t>1,437,862</w:t>
            </w:r>
          </w:p>
        </w:tc>
        <w:tc>
          <w:tcPr>
            <w:tcW w:w="100" w:type="dxa"/>
            <w:vAlign w:val="bottom"/>
          </w:tcPr>
          <w:p>
            <w:pPr>
              <w:spacing w:after="0"/>
              <w:rPr>
                <w:sz w:val="19"/>
                <w:szCs w:val="19"/>
                <w:color w:val="auto"/>
              </w:rPr>
            </w:pPr>
          </w:p>
        </w:tc>
        <w:tc>
          <w:tcPr>
            <w:tcW w:w="230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rPr>
              <w:t>13,551</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rPr>
              <w:t>1,842,462</w:t>
            </w:r>
          </w:p>
        </w:tc>
      </w:tr>
    </w:tbl>
    <w:p>
      <w:pPr>
        <w:spacing w:after="0" w:line="183"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Proposal No. 3: </w:t>
      </w:r>
      <w:r>
        <w:rPr>
          <w:rFonts w:ascii="Arial" w:cs="Arial" w:eastAsia="Arial" w:hAnsi="Arial"/>
          <w:sz w:val="18"/>
          <w:szCs w:val="18"/>
          <w:u w:val="single" w:color="auto"/>
          <w:color w:val="auto"/>
        </w:rPr>
        <w:t>Ratification of Independent Registered Public Accounting Firm</w:t>
      </w:r>
      <w:r>
        <w:rPr>
          <w:rFonts w:ascii="Arial" w:cs="Arial" w:eastAsia="Arial" w:hAnsi="Arial"/>
          <w:sz w:val="18"/>
          <w:szCs w:val="18"/>
          <w:color w:val="auto"/>
        </w:rPr>
        <w:t>. The appointment of Ernst &amp;Young as the Company’s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registered public accounting firm for the fiscal year ending December 31, 2021 was ratified. The results were as follows:</w:t>
      </w:r>
    </w:p>
    <w:p>
      <w:pPr>
        <w:spacing w:after="0" w:line="184" w:lineRule="exact"/>
        <w:rPr>
          <w:sz w:val="20"/>
          <w:szCs w:val="20"/>
          <w:color w:val="auto"/>
        </w:rPr>
      </w:pPr>
    </w:p>
    <w:tbl>
      <w:tblPr>
        <w:tblLayout w:type="fixed"/>
        <w:tblInd w:w="880" w:type="dxa"/>
        <w:tblCellMar>
          <w:top w:w="0" w:type="dxa"/>
          <w:left w:w="0" w:type="dxa"/>
          <w:bottom w:w="0" w:type="dxa"/>
          <w:right w:w="0" w:type="dxa"/>
        </w:tblCellMar>
      </w:tblPr>
      <w:tr>
        <w:trPr>
          <w:trHeight w:val="185"/>
        </w:trPr>
        <w:tc>
          <w:tcPr>
            <w:tcW w:w="23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7"/>
              </w:rPr>
              <w:t>For</w:t>
            </w:r>
          </w:p>
        </w:tc>
        <w:tc>
          <w:tcPr>
            <w:tcW w:w="2300" w:type="dxa"/>
            <w:vAlign w:val="bottom"/>
            <w:gridSpan w:val="2"/>
          </w:tcPr>
          <w:p>
            <w:pPr>
              <w:ind w:left="860"/>
              <w:spacing w:after="0"/>
              <w:rPr>
                <w:sz w:val="20"/>
                <w:szCs w:val="20"/>
                <w:color w:val="auto"/>
              </w:rPr>
            </w:pPr>
            <w:r>
              <w:rPr>
                <w:rFonts w:ascii="Arial" w:cs="Arial" w:eastAsia="Arial" w:hAnsi="Arial"/>
                <w:sz w:val="14"/>
                <w:szCs w:val="14"/>
                <w:b w:val="1"/>
                <w:bCs w:val="1"/>
                <w:color w:val="auto"/>
              </w:rPr>
              <w:t>Against</w:t>
            </w:r>
          </w:p>
        </w:tc>
        <w:tc>
          <w:tcPr>
            <w:tcW w:w="23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Abstain</w:t>
            </w:r>
          </w:p>
        </w:tc>
        <w:tc>
          <w:tcPr>
            <w:tcW w:w="2220" w:type="dxa"/>
            <w:vAlign w:val="bottom"/>
          </w:tcPr>
          <w:p>
            <w:pPr>
              <w:jc w:val="center"/>
              <w:spacing w:after="0"/>
              <w:rPr>
                <w:sz w:val="20"/>
                <w:szCs w:val="20"/>
                <w:color w:val="auto"/>
              </w:rPr>
            </w:pPr>
            <w:r>
              <w:rPr>
                <w:rFonts w:ascii="Arial" w:cs="Arial" w:eastAsia="Arial" w:hAnsi="Arial"/>
                <w:sz w:val="14"/>
                <w:szCs w:val="14"/>
                <w:b w:val="1"/>
                <w:bCs w:val="1"/>
                <w:color w:val="auto"/>
                <w:w w:val="94"/>
              </w:rPr>
              <w:t>Broker Non-Votes</w:t>
            </w:r>
          </w:p>
        </w:tc>
      </w:tr>
      <w:tr>
        <w:trPr>
          <w:trHeight w:val="224"/>
        </w:trPr>
        <w:tc>
          <w:tcPr>
            <w:tcW w:w="2220" w:type="dxa"/>
            <w:vAlign w:val="bottom"/>
            <w:tcBorders>
              <w:top w:val="single" w:sz="8" w:color="auto"/>
            </w:tcBorders>
          </w:tcPr>
          <w:p>
            <w:pPr>
              <w:jc w:val="right"/>
              <w:ind w:right="619"/>
              <w:spacing w:after="0"/>
              <w:rPr>
                <w:sz w:val="20"/>
                <w:szCs w:val="20"/>
                <w:color w:val="auto"/>
              </w:rPr>
            </w:pPr>
            <w:r>
              <w:rPr>
                <w:rFonts w:ascii="Arial" w:cs="Arial" w:eastAsia="Arial" w:hAnsi="Arial"/>
                <w:sz w:val="18"/>
                <w:szCs w:val="18"/>
                <w:color w:val="auto"/>
              </w:rPr>
              <w:t>28,491,832</w:t>
            </w:r>
          </w:p>
        </w:tc>
        <w:tc>
          <w:tcPr>
            <w:tcW w:w="140" w:type="dxa"/>
            <w:vAlign w:val="bottom"/>
          </w:tcPr>
          <w:p>
            <w:pPr>
              <w:spacing w:after="0"/>
              <w:rPr>
                <w:sz w:val="19"/>
                <w:szCs w:val="19"/>
                <w:color w:val="auto"/>
              </w:rPr>
            </w:pPr>
          </w:p>
        </w:tc>
        <w:tc>
          <w:tcPr>
            <w:tcW w:w="2200" w:type="dxa"/>
            <w:vAlign w:val="bottom"/>
            <w:tcBorders>
              <w:top w:val="single" w:sz="8" w:color="auto"/>
            </w:tcBorders>
          </w:tcPr>
          <w:p>
            <w:pPr>
              <w:ind w:left="840"/>
              <w:spacing w:after="0"/>
              <w:rPr>
                <w:sz w:val="20"/>
                <w:szCs w:val="20"/>
                <w:color w:val="auto"/>
              </w:rPr>
            </w:pPr>
            <w:r>
              <w:rPr>
                <w:rFonts w:ascii="Arial" w:cs="Arial" w:eastAsia="Arial" w:hAnsi="Arial"/>
                <w:sz w:val="18"/>
                <w:szCs w:val="18"/>
                <w:color w:val="auto"/>
              </w:rPr>
              <w:t>38,498</w:t>
            </w:r>
          </w:p>
        </w:tc>
        <w:tc>
          <w:tcPr>
            <w:tcW w:w="100" w:type="dxa"/>
            <w:vAlign w:val="bottom"/>
          </w:tcPr>
          <w:p>
            <w:pPr>
              <w:spacing w:after="0"/>
              <w:rPr>
                <w:sz w:val="19"/>
                <w:szCs w:val="19"/>
                <w:color w:val="auto"/>
              </w:rPr>
            </w:pPr>
          </w:p>
        </w:tc>
        <w:tc>
          <w:tcPr>
            <w:tcW w:w="2300" w:type="dxa"/>
            <w:vAlign w:val="bottom"/>
            <w:tcBorders>
              <w:top w:val="single" w:sz="8" w:color="auto"/>
            </w:tcBorders>
          </w:tcPr>
          <w:p>
            <w:pPr>
              <w:jc w:val="right"/>
              <w:ind w:right="779"/>
              <w:spacing w:after="0"/>
              <w:rPr>
                <w:sz w:val="20"/>
                <w:szCs w:val="20"/>
                <w:color w:val="auto"/>
              </w:rPr>
            </w:pPr>
            <w:r>
              <w:rPr>
                <w:rFonts w:ascii="Arial" w:cs="Arial" w:eastAsia="Arial" w:hAnsi="Arial"/>
                <w:sz w:val="18"/>
                <w:szCs w:val="18"/>
                <w:color w:val="auto"/>
              </w:rPr>
              <w:t>102,369</w:t>
            </w:r>
          </w:p>
        </w:tc>
        <w:tc>
          <w:tcPr>
            <w:tcW w:w="80" w:type="dxa"/>
            <w:vAlign w:val="bottom"/>
          </w:tcPr>
          <w:p>
            <w:pPr>
              <w:spacing w:after="0"/>
              <w:rPr>
                <w:sz w:val="19"/>
                <w:szCs w:val="19"/>
                <w:color w:val="auto"/>
              </w:rPr>
            </w:pPr>
          </w:p>
        </w:tc>
        <w:tc>
          <w:tcPr>
            <w:tcW w:w="2220" w:type="dxa"/>
            <w:vAlign w:val="bottom"/>
            <w:tcBorders>
              <w:top w:val="single" w:sz="8" w:color="auto"/>
            </w:tcBorders>
          </w:tcPr>
          <w:p>
            <w:pPr>
              <w:jc w:val="right"/>
              <w:ind w:right="999"/>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000"/>
          </w:cols>
          <w:pgMar w:left="440" w:top="297" w:right="459" w:bottom="1440" w:gutter="0" w:footer="0" w:header="0"/>
        </w:sectPr>
      </w:pPr>
    </w:p>
    <w:bookmarkStart w:id="2" w:name="page3"/>
    <w:bookmarkEnd w:id="2"/>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Gemini Therapeutics, Inc.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Brian Piekos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Name: Brian Piekos</w:t>
      </w:r>
    </w:p>
    <w:p>
      <w:pPr>
        <w:spacing w:after="0" w:line="23"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Title:  Chief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Dated: October 1, 2021</w:t>
      </w:r>
    </w:p>
    <w:sectPr>
      <w:pgSz w:w="11900" w:h="16838" w:orient="portrait"/>
      <w:cols w:equalWidth="0" w:num="1">
        <w:col w:w="10260"/>
      </w:cols>
      <w:pgMar w:left="440" w:top="297"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2021-10-01T06:02:40Z</dcterms:created>
  <dcterms:modified xsi:type="dcterms:W3CDTF">2021-10-01T06:02:40Z</dcterms:modified>
</cp:coreProperties>
</file>