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GEMINI THERAPEUTICS, INC.</w:t>
      </w:r>
    </w:p>
    <w:p>
      <w:pPr>
        <w:sectPr>
          <w:pgSz w:w="11900" w:h="16838" w:orient="portrait"/>
          <w:cols w:equalWidth="0" w:num="1">
            <w:col w:w="11240"/>
          </w:cols>
          <w:pgMar w:left="320" w:top="593" w:right="339" w:bottom="1440" w:gutter="0" w:footer="0" w:header="0"/>
        </w:sectPr>
      </w:pPr>
    </w:p>
    <w:p>
      <w:pPr>
        <w:spacing w:after="0" w:line="20"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85-1612845</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8" w:lineRule="exact"/>
        <w:rPr>
          <w:sz w:val="24"/>
          <w:szCs w:val="24"/>
          <w:color w:val="auto"/>
        </w:rPr>
      </w:pPr>
    </w:p>
    <w:p>
      <w:pPr>
        <w:sectPr>
          <w:pgSz w:w="11900" w:h="16838" w:orient="portrait"/>
          <w:cols w:equalWidth="0" w:num="2">
            <w:col w:w="7460" w:space="480"/>
            <w:col w:w="3300"/>
          </w:cols>
          <w:pgMar w:left="320" w:top="593" w:right="339" w:bottom="1440" w:gutter="0" w:footer="0" w:header="0"/>
          <w:type w:val="continuous"/>
        </w:sectPr>
      </w:pPr>
    </w:p>
    <w:p>
      <w:pPr>
        <w:ind w:left="1880"/>
        <w:spacing w:after="0"/>
        <w:tabs>
          <w:tab w:leader="none" w:pos="7460" w:val="left"/>
        </w:tabs>
        <w:rPr>
          <w:sz w:val="20"/>
          <w:szCs w:val="20"/>
          <w:color w:val="auto"/>
        </w:rPr>
      </w:pPr>
      <w:r>
        <w:rPr>
          <w:rFonts w:ascii="Arial" w:cs="Arial" w:eastAsia="Arial" w:hAnsi="Arial"/>
          <w:sz w:val="18"/>
          <w:szCs w:val="18"/>
          <w:b w:val="1"/>
          <w:bCs w:val="1"/>
          <w:color w:val="auto"/>
        </w:rPr>
        <w:t>Address Not Applicable</w:t>
      </w:r>
      <w:r>
        <w:rPr>
          <w:rFonts w:ascii="Arial" w:cs="Arial" w:eastAsia="Arial" w:hAnsi="Arial"/>
          <w:sz w:val="24"/>
          <w:szCs w:val="24"/>
          <w:b w:val="1"/>
          <w:bCs w:val="1"/>
          <w:color w:val="auto"/>
          <w:vertAlign w:val="superscript"/>
        </w:rPr>
        <w:t>1</w:t>
      </w:r>
      <w:r>
        <w:rPr>
          <w:sz w:val="20"/>
          <w:szCs w:val="20"/>
          <w:color w:val="auto"/>
        </w:rPr>
        <w:tab/>
      </w:r>
      <w:r>
        <w:rPr>
          <w:rFonts w:ascii="Arial" w:cs="Arial" w:eastAsia="Arial" w:hAnsi="Arial"/>
          <w:sz w:val="16"/>
          <w:szCs w:val="16"/>
          <w:b w:val="1"/>
          <w:bCs w:val="1"/>
          <w:color w:val="auto"/>
        </w:rPr>
        <w:t>Address Not Applicable</w:t>
      </w:r>
      <w:r>
        <w:rPr>
          <w:rFonts w:ascii="Arial" w:cs="Arial" w:eastAsia="Arial" w:hAnsi="Arial"/>
          <w:sz w:val="21"/>
          <w:szCs w:val="21"/>
          <w:b w:val="1"/>
          <w:bCs w:val="1"/>
          <w:color w:val="auto"/>
          <w:vertAlign w:val="superscript"/>
        </w:rPr>
        <w:t>1</w:t>
      </w: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401-4400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68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7"/>
              </w:rPr>
              <w:t>Trading</w:t>
            </w:r>
          </w:p>
        </w:tc>
        <w:tc>
          <w:tcPr>
            <w:tcW w:w="4160" w:type="dxa"/>
            <w:vAlign w:val="bottom"/>
            <w:vMerge w:val="restart"/>
          </w:tcPr>
          <w:p>
            <w:pPr>
              <w:jc w:val="center"/>
              <w:ind w:right="80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1"/>
              </w:rPr>
              <w:t>Symbol(s)</w:t>
            </w:r>
          </w:p>
        </w:tc>
        <w:tc>
          <w:tcPr>
            <w:tcW w:w="4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Common stock, par value $0.0001 per share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GMTX</w:t>
            </w: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160" w:type="dxa"/>
            <w:vAlign w:val="bottom"/>
            <w:tcBorders>
              <w:top w:val="single" w:sz="8" w:color="auto"/>
            </w:tcBorders>
          </w:tcPr>
          <w:p>
            <w:pPr>
              <w:jc w:val="center"/>
              <w:ind w:right="808"/>
              <w:spacing w:after="0"/>
              <w:rPr>
                <w:sz w:val="20"/>
                <w:szCs w:val="20"/>
                <w:color w:val="auto"/>
              </w:rPr>
            </w:pPr>
            <w:r>
              <w:rPr>
                <w:rFonts w:ascii="Arial" w:cs="Arial" w:eastAsia="Arial" w:hAnsi="Arial"/>
                <w:sz w:val="14"/>
                <w:szCs w:val="14"/>
                <w:color w:val="auto"/>
                <w:w w:val="93"/>
              </w:rPr>
              <w:t>The Nasdaq Global Market</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40" w:type="dxa"/>
            <w:vAlign w:val="bottom"/>
            <w:gridSpan w:val="6"/>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7080" w:type="dxa"/>
            <w:vAlign w:val="bottom"/>
            <w:gridSpan w:val="5"/>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not required to file reports pursuant to Section 13 or 15(d) of the Act. YES </w:t>
            </w:r>
            <w:r>
              <w:rPr>
                <w:rFonts w:ascii="MS PGothic" w:cs="MS PGothic" w:eastAsia="MS PGothic" w:hAnsi="MS PGothic"/>
                <w:sz w:val="14"/>
                <w:szCs w:val="14"/>
                <w:color w:val="auto"/>
                <w:w w:val="95"/>
              </w:rPr>
              <w:t>☐</w:t>
            </w:r>
          </w:p>
        </w:tc>
        <w:tc>
          <w:tcPr>
            <w:tcW w:w="416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2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1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10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Registrant's Common Stock on The Nasdaq Global Market on June 30, 2021, was $173,315,118.</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28, 2022 was 43,208,159.</w:t>
      </w:r>
    </w:p>
    <w:p>
      <w:pPr>
        <w:spacing w:after="0" w:line="105"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48" w:lineRule="exact"/>
        <w:rPr>
          <w:sz w:val="24"/>
          <w:szCs w:val="24"/>
          <w:color w:val="auto"/>
        </w:rPr>
      </w:pPr>
    </w:p>
    <w:p>
      <w:pPr>
        <w:ind w:left="100" w:hanging="92"/>
        <w:spacing w:after="0"/>
        <w:tabs>
          <w:tab w:leader="none" w:pos="10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 January 2022, the Company became a remote-first company. Accordingly, the Company does not currently maintain a physical headquarters.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00" w:type="dxa"/>
            <w:vAlign w:val="bottom"/>
            <w:gridSpan w:val="10"/>
          </w:tcPr>
          <w:p>
            <w:pPr>
              <w:ind w:left="7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200" w:type="dxa"/>
            <w:vAlign w:val="bottom"/>
            <w:gridSpan w:val="18"/>
          </w:tcPr>
          <w:p>
            <w:pPr>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18"/>
          </w:tcPr>
          <w:p>
            <w:pPr>
              <w:spacing w:after="0" w:line="169" w:lineRule="exact"/>
              <w:rPr>
                <w:rFonts w:ascii="Arial" w:cs="Arial" w:eastAsia="Arial" w:hAnsi="Arial"/>
                <w:sz w:val="18"/>
                <w:szCs w:val="18"/>
                <w:color w:val="0000FF"/>
              </w:rPr>
            </w:pPr>
            <w:hyperlink w:anchor="page21">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80" w:type="dxa"/>
            <w:vAlign w:val="bottom"/>
            <w:gridSpan w:val="15"/>
            <w:vMerge w:val="restart"/>
          </w:tcPr>
          <w:p>
            <w:pPr>
              <w:spacing w:after="0" w:line="189" w:lineRule="exact"/>
              <w:rPr>
                <w:rFonts w:ascii="Arial" w:cs="Arial" w:eastAsia="Arial" w:hAnsi="Arial"/>
                <w:sz w:val="18"/>
                <w:szCs w:val="18"/>
                <w:color w:val="0000FF"/>
              </w:rPr>
            </w:pPr>
            <w:hyperlink w:anchor="page67">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 w:type="dxa"/>
            <w:vAlign w:val="bottom"/>
            <w:gridSpan w:val="3"/>
          </w:tcPr>
          <w:p>
            <w:pPr>
              <w:spacing w:after="0" w:line="169" w:lineRule="exact"/>
              <w:rPr>
                <w:rFonts w:ascii="Arial" w:cs="Arial" w:eastAsia="Arial" w:hAnsi="Arial"/>
                <w:sz w:val="18"/>
                <w:szCs w:val="18"/>
                <w:color w:val="0000FF"/>
                <w:w w:val="96"/>
              </w:rPr>
            </w:pPr>
            <w:hyperlink w:anchor="page67">
              <w:r>
                <w:rPr>
                  <w:rFonts w:ascii="Arial" w:cs="Arial" w:eastAsia="Arial" w:hAnsi="Arial"/>
                  <w:sz w:val="18"/>
                  <w:szCs w:val="18"/>
                  <w:color w:val="0000FF"/>
                  <w:w w:val="96"/>
                </w:rPr>
                <w:t>Unresolved</w:t>
              </w:r>
            </w:hyperlink>
          </w:p>
        </w:tc>
        <w:tc>
          <w:tcPr>
            <w:tcW w:w="8280" w:type="dxa"/>
            <w:vAlign w:val="bottom"/>
            <w:gridSpan w:val="1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40" w:type="dxa"/>
            <w:vAlign w:val="bottom"/>
            <w:gridSpan w:val="7"/>
          </w:tcPr>
          <w:p>
            <w:pPr>
              <w:spacing w:after="0" w:line="169" w:lineRule="exact"/>
              <w:rPr>
                <w:rFonts w:ascii="Arial" w:cs="Arial" w:eastAsia="Arial" w:hAnsi="Arial"/>
                <w:sz w:val="18"/>
                <w:szCs w:val="18"/>
                <w:color w:val="0000FF"/>
              </w:rPr>
            </w:pPr>
            <w:hyperlink w:anchor="page67">
              <w:r>
                <w:rPr>
                  <w:rFonts w:ascii="Arial" w:cs="Arial" w:eastAsia="Arial" w:hAnsi="Arial"/>
                  <w:sz w:val="18"/>
                  <w:szCs w:val="18"/>
                  <w:color w:val="0000FF"/>
                </w:rPr>
                <w:t>Properties</w:t>
              </w:r>
            </w:hyperlink>
          </w:p>
        </w:tc>
        <w:tc>
          <w:tcPr>
            <w:tcW w:w="8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18"/>
          </w:tcPr>
          <w:p>
            <w:pPr>
              <w:spacing w:after="0" w:line="169" w:lineRule="exact"/>
              <w:rPr>
                <w:rFonts w:ascii="Arial" w:cs="Arial" w:eastAsia="Arial" w:hAnsi="Arial"/>
                <w:sz w:val="18"/>
                <w:szCs w:val="18"/>
                <w:color w:val="0000FF"/>
              </w:rPr>
            </w:pPr>
            <w:hyperlink w:anchor="page67">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18"/>
          </w:tcPr>
          <w:p>
            <w:pPr>
              <w:spacing w:after="0" w:line="169" w:lineRule="exact"/>
              <w:rPr>
                <w:rFonts w:ascii="Arial" w:cs="Arial" w:eastAsia="Arial" w:hAnsi="Arial"/>
                <w:sz w:val="18"/>
                <w:szCs w:val="18"/>
                <w:color w:val="0000FF"/>
              </w:rPr>
            </w:pPr>
            <w:hyperlink w:anchor="page67">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200" w:type="dxa"/>
            <w:vAlign w:val="bottom"/>
            <w:gridSpan w:val="18"/>
          </w:tcPr>
          <w:p>
            <w:pPr>
              <w:spacing w:after="0" w:line="190" w:lineRule="exact"/>
              <w:rPr>
                <w:rFonts w:ascii="Arial" w:cs="Arial" w:eastAsia="Arial" w:hAnsi="Arial"/>
                <w:sz w:val="18"/>
                <w:szCs w:val="18"/>
                <w:color w:val="0000FF"/>
              </w:rPr>
            </w:pPr>
            <w:hyperlink w:anchor="page68">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6.</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8080" w:type="dxa"/>
            <w:vAlign w:val="bottom"/>
            <w:gridSpan w:val="17"/>
          </w:tcPr>
          <w:p>
            <w:pPr>
              <w:spacing w:after="0" w:line="169" w:lineRule="exact"/>
              <w:rPr>
                <w:rFonts w:ascii="Arial" w:cs="Arial" w:eastAsia="Arial" w:hAnsi="Arial"/>
                <w:sz w:val="18"/>
                <w:szCs w:val="18"/>
                <w:color w:val="0000FF"/>
              </w:rPr>
            </w:pPr>
            <w:hyperlink w:anchor="page68">
              <w:r>
                <w:rPr>
                  <w:rFonts w:ascii="Arial" w:cs="Arial" w:eastAsia="Arial" w:hAnsi="Arial"/>
                  <w:sz w:val="18"/>
                  <w:szCs w:val="18"/>
                  <w:color w:val="0000FF"/>
                </w:rPr>
                <w:t>Reserved</w:t>
              </w:r>
            </w:hyperlink>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7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18"/>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460" w:type="dxa"/>
            <w:vAlign w:val="bottom"/>
            <w:gridSpan w:val="14"/>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360" w:type="dxa"/>
            <w:vAlign w:val="bottom"/>
            <w:gridSpan w:val="11"/>
          </w:tcPr>
          <w:p>
            <w:pPr>
              <w:spacing w:after="0" w:line="169"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Consolidated 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18"/>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520" w:type="dxa"/>
            <w:vAlign w:val="bottom"/>
            <w:gridSpan w:val="15"/>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80" w:type="dxa"/>
            <w:vAlign w:val="bottom"/>
            <w:gridSpan w:val="2"/>
            <w:vMerge w:val="restart"/>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800" w:type="dxa"/>
            <w:vAlign w:val="bottom"/>
            <w:gridSpan w:val="3"/>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780" w:type="dxa"/>
            <w:vAlign w:val="bottom"/>
            <w:gridSpan w:val="5"/>
          </w:tcPr>
          <w:p>
            <w:pPr>
              <w:spacing w:after="0" w:line="169" w:lineRule="exact"/>
              <w:rPr>
                <w:rFonts w:ascii="Arial" w:cs="Arial" w:eastAsia="Arial" w:hAnsi="Arial"/>
                <w:sz w:val="18"/>
                <w:szCs w:val="18"/>
                <w:color w:val="0000FF"/>
              </w:rPr>
            </w:pPr>
            <w:hyperlink w:anchor="page82">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134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18"/>
          </w:tcPr>
          <w:p>
            <w:pPr>
              <w:spacing w:after="0" w:line="169" w:lineRule="exact"/>
              <w:rPr>
                <w:rFonts w:ascii="Arial" w:cs="Arial" w:eastAsia="Arial" w:hAnsi="Arial"/>
                <w:sz w:val="18"/>
                <w:szCs w:val="18"/>
                <w:color w:val="0000FF"/>
              </w:rPr>
            </w:pPr>
            <w:hyperlink w:anchor="page82">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200" w:type="dxa"/>
            <w:vAlign w:val="bottom"/>
            <w:gridSpan w:val="18"/>
          </w:tcPr>
          <w:p>
            <w:pPr>
              <w:spacing w:after="0" w:line="190" w:lineRule="exact"/>
              <w:rPr>
                <w:rFonts w:ascii="Arial" w:cs="Arial" w:eastAsia="Arial" w:hAnsi="Arial"/>
                <w:sz w:val="18"/>
                <w:szCs w:val="18"/>
                <w:color w:val="0000FF"/>
              </w:rPr>
            </w:pPr>
            <w:hyperlink w:anchor="page83">
              <w:r>
                <w:rPr>
                  <w:rFonts w:ascii="Arial" w:cs="Arial" w:eastAsia="Arial" w:hAnsi="Arial"/>
                  <w:sz w:val="18"/>
                  <w:szCs w:val="18"/>
                  <w:color w:val="0000FF"/>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11.</w:t>
            </w:r>
          </w:p>
        </w:tc>
        <w:tc>
          <w:tcPr>
            <w:tcW w:w="182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60" w:type="dxa"/>
            <w:vAlign w:val="bottom"/>
            <w:gridSpan w:val="4"/>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100" w:type="dxa"/>
            <w:vAlign w:val="bottom"/>
            <w:gridSpan w:val="9"/>
          </w:tcPr>
          <w:p>
            <w:pPr>
              <w:spacing w:after="0" w:line="169" w:lineRule="exact"/>
              <w:rPr>
                <w:rFonts w:ascii="Arial" w:cs="Arial" w:eastAsia="Arial" w:hAnsi="Arial"/>
                <w:sz w:val="18"/>
                <w:szCs w:val="18"/>
                <w:color w:val="0000FF"/>
              </w:rPr>
            </w:pPr>
            <w:hyperlink w:anchor="page88">
              <w:r>
                <w:rPr>
                  <w:rFonts w:ascii="Arial" w:cs="Arial" w:eastAsia="Arial" w:hAnsi="Arial"/>
                  <w:sz w:val="18"/>
                  <w:szCs w:val="18"/>
                  <w:color w:val="0000FF"/>
                </w:rPr>
                <w:t>Executive Compensation</w:t>
              </w:r>
            </w:hyperlink>
          </w:p>
        </w:tc>
        <w:tc>
          <w:tcPr>
            <w:tcW w:w="1360" w:type="dxa"/>
            <w:vAlign w:val="bottom"/>
            <w:gridSpan w:val="4"/>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1820" w:type="dxa"/>
            <w:vAlign w:val="bottom"/>
            <w:tcBorders>
              <w:left w:val="single" w:sz="8" w:color="0000EE"/>
              <w:right w:val="single" w:sz="8" w:color="0000EE"/>
            </w:tcBorders>
            <w:gridSpan w:val="6"/>
            <w:shd w:val="clear" w:color="auto" w:fill="0000FF"/>
          </w:tcPr>
          <w:p>
            <w:pPr>
              <w:spacing w:after="0" w:line="20" w:lineRule="exact"/>
              <w:rPr>
                <w:sz w:val="1"/>
                <w:szCs w:val="1"/>
                <w:color w:val="auto"/>
              </w:rPr>
            </w:pPr>
          </w:p>
        </w:tc>
        <w:tc>
          <w:tcPr>
            <w:tcW w:w="7380" w:type="dxa"/>
            <w:vAlign w:val="bottom"/>
            <w:gridSpan w:val="12"/>
            <w:vMerge w:val="restart"/>
          </w:tcPr>
          <w:p>
            <w:pPr>
              <w:spacing w:after="0" w:line="189" w:lineRule="exact"/>
              <w:rPr>
                <w:rFonts w:ascii="Arial" w:cs="Arial" w:eastAsia="Arial" w:hAnsi="Arial"/>
                <w:sz w:val="18"/>
                <w:szCs w:val="18"/>
                <w:color w:val="0000FF"/>
              </w:rPr>
            </w:pPr>
            <w:hyperlink w:anchor="page96">
              <w:r>
                <w:rPr>
                  <w:rFonts w:ascii="Arial" w:cs="Arial" w:eastAsia="Arial" w:hAnsi="Arial"/>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820" w:type="dxa"/>
            <w:vAlign w:val="bottom"/>
            <w:gridSpan w:val="6"/>
          </w:tcPr>
          <w:p>
            <w:pPr>
              <w:spacing w:after="0" w:line="169" w:lineRule="exact"/>
              <w:rPr>
                <w:rFonts w:ascii="Arial" w:cs="Arial" w:eastAsia="Arial" w:hAnsi="Arial"/>
                <w:sz w:val="18"/>
                <w:szCs w:val="18"/>
                <w:color w:val="0000FF"/>
              </w:rPr>
            </w:pPr>
            <w:hyperlink w:anchor="page96">
              <w:r>
                <w:rPr>
                  <w:rFonts w:ascii="Arial" w:cs="Arial" w:eastAsia="Arial" w:hAnsi="Arial"/>
                  <w:sz w:val="18"/>
                  <w:szCs w:val="18"/>
                  <w:color w:val="0000FF"/>
                </w:rPr>
                <w:t>Security Ownership of</w:t>
              </w:r>
            </w:hyperlink>
          </w:p>
        </w:tc>
        <w:tc>
          <w:tcPr>
            <w:tcW w:w="7380" w:type="dxa"/>
            <w:vAlign w:val="bottom"/>
            <w:gridSpan w:val="1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2900" w:type="dxa"/>
            <w:vAlign w:val="bottom"/>
            <w:tcBorders>
              <w:left w:val="single" w:sz="8" w:color="0000EE"/>
              <w:right w:val="single" w:sz="8" w:color="0000FF"/>
            </w:tcBorders>
            <w:gridSpan w:val="8"/>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7300" w:type="dxa"/>
            <w:vAlign w:val="bottom"/>
            <w:gridSpan w:val="16"/>
          </w:tcPr>
          <w:p>
            <w:pPr>
              <w:spacing w:after="0" w:line="169" w:lineRule="exact"/>
              <w:rPr>
                <w:rFonts w:ascii="Arial" w:cs="Arial" w:eastAsia="Arial" w:hAnsi="Arial"/>
                <w:sz w:val="18"/>
                <w:szCs w:val="18"/>
                <w:color w:val="0000FF"/>
              </w:rPr>
            </w:pPr>
            <w:hyperlink w:anchor="page99">
              <w:r>
                <w:rPr>
                  <w:rFonts w:ascii="Arial" w:cs="Arial" w:eastAsia="Arial" w:hAnsi="Arial"/>
                  <w:sz w:val="18"/>
                  <w:szCs w:val="18"/>
                  <w:color w:val="0000FF"/>
                </w:rPr>
                <w:t>Certain Relationships and Related Transactions, and Director Independence</w:t>
              </w:r>
            </w:hyperlink>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2900" w:type="dxa"/>
            <w:vAlign w:val="bottom"/>
            <w:tcBorders>
              <w:left w:val="single" w:sz="8" w:color="0000EE"/>
              <w:right w:val="single" w:sz="8" w:color="0000FF"/>
            </w:tcBorders>
            <w:gridSpan w:val="8"/>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5460" w:type="dxa"/>
            <w:vAlign w:val="bottom"/>
            <w:gridSpan w:val="13"/>
          </w:tcPr>
          <w:p>
            <w:pPr>
              <w:spacing w:after="0" w:line="169" w:lineRule="exact"/>
              <w:rPr>
                <w:rFonts w:ascii="Arial" w:cs="Arial" w:eastAsia="Arial" w:hAnsi="Arial"/>
                <w:sz w:val="18"/>
                <w:szCs w:val="18"/>
                <w:color w:val="0000FF"/>
              </w:rPr>
            </w:pPr>
            <w:hyperlink w:anchor="page103">
              <w:r>
                <w:rPr>
                  <w:rFonts w:ascii="Arial" w:cs="Arial" w:eastAsia="Arial" w:hAnsi="Arial"/>
                  <w:sz w:val="18"/>
                  <w:szCs w:val="18"/>
                  <w:color w:val="0000FF"/>
                </w:rPr>
                <w:t>Principal Accounting Fees and Services</w:t>
              </w:r>
            </w:hyperlink>
          </w:p>
        </w:tc>
        <w:tc>
          <w:tcPr>
            <w:tcW w:w="374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200" w:type="dxa"/>
            <w:vAlign w:val="bottom"/>
            <w:gridSpan w:val="18"/>
          </w:tcPr>
          <w:p>
            <w:pPr>
              <w:spacing w:after="0" w:line="190" w:lineRule="exact"/>
              <w:rPr>
                <w:rFonts w:ascii="Arial" w:cs="Arial" w:eastAsia="Arial" w:hAnsi="Arial"/>
                <w:sz w:val="18"/>
                <w:szCs w:val="18"/>
                <w:color w:val="0000FF"/>
              </w:rPr>
            </w:pPr>
            <w:hyperlink w:anchor="page104">
              <w:r>
                <w:rPr>
                  <w:rFonts w:ascii="Arial" w:cs="Arial" w:eastAsia="Arial" w:hAnsi="Arial"/>
                  <w:sz w:val="18"/>
                  <w:szCs w:val="18"/>
                  <w:color w:val="0000FF"/>
                </w:rPr>
                <w:t>Exhibits,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used in this Annual Report on Form 10-K, unless otherwise indicated or the context otherwise requires, references to “Gemini,” “we,” “us,” “our” and other similar terms refer to Gemini Therapeutics, Inc. and its consolidated subsidiaries after giving effect to the Business Combination (as defined herein) with FS Development Corporation (as defined herein) and to Gemini Therapeutics, Inc. as it existed prior to the Business Combination.</w:t>
      </w:r>
    </w:p>
    <w:p>
      <w:pPr>
        <w:spacing w:after="0" w:line="15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February 5, 2021 (the “Closing Date”), FS Development Corporation, a Delaware corporation (“FSDC”), consummated a business combination (the “Business Combination”),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more information regarding the Business Combination, see Note 2,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 consolidated financial statements included in this Annual Report on Form 10-K.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This Annual Report on Form 10-K contains forward-looking statements that involve risks and uncertainties, which are made pursuant to the safe harbor provisions of Section 27A of the Securities Act of 1933, as amended, and Section 21E of the Securities Exchange Act of 1934, as amended (the “Exchange Act”). These forward-looking statements relate to expectations for future financial performance, business strategies or expectations for our business. 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 Specifically, forward-looking statements may include, but are not limited to, statements relating to or about:</w:t>
      </w:r>
    </w:p>
    <w:p>
      <w:pPr>
        <w:spacing w:after="0" w:line="168" w:lineRule="exact"/>
        <w:rPr>
          <w:sz w:val="20"/>
          <w:szCs w:val="20"/>
          <w:color w:val="auto"/>
        </w:rPr>
      </w:pPr>
    </w:p>
    <w:p>
      <w:pPr>
        <w:ind w:left="76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and expectations regarding our strategic alternative review process and the timing and success of such process regarding a potential transaction;</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timing of and costs associated with our restructuring, and the savings benefits we except to receive from the restructuring;</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 in retaining, or changes required in, our officers, key employees or directors;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1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clinical trials and any available data therefrom to demonstrate acceptable safety and efficacy of our product candidates, including GEM103, our lead product candidate;</w:t>
      </w:r>
    </w:p>
    <w:p>
      <w:pPr>
        <w:spacing w:after="0" w:line="170"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progress and results of any clinical trials for GEM103 and our other product candidates, to the extent relevant, including statements regarding the timing of initiation and completion of studies or trials and related preparatory work,</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during which the results of the trials, if any, will become available, and our research and development programs;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marketing approvals of our product candidates and to meet existing or future regulatory standards or comply with post-approval requirements, to the extent relevant;</w:t>
      </w:r>
    </w:p>
    <w:p>
      <w:pPr>
        <w:spacing w:after="0" w:line="170"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expectations regarding our ability to obtain and maintain intellectual property protection;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government regulations;</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 and expectations regarding developments and projections relating to our competitors and any competing therapies that are or become available;</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expectations regarding developments and projections relating to our competitors and industry;</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our executive, financial and strategic alternatives teams;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profitability and, to the extent we continue to operate our business, the need for additional capital;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any known and unknown litigation.</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Other statements preceded by, followed by or that include the words “may,” “can,” “should,” “will,” “estimate,” “plan,” “project,” “forecast,” “intend,” “expect,” “anticipate,” “believe,” “seek,” “target” or similar expressions, or the negative of these terms, are intended to identify forward-looking statements, although not all forward-looking statements contain these identifying words.</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Any or all forward-looking statements may turn out to be incorrect.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82"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any strategic alternative process disrupts current plans and operations;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any strategic alternative process or a potential strategic transaction;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related to the strategic alternative process or a potential strategic transaction;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the loss of key employees disrupts our operations and our ability achieve our plans and strategy;</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geopolitical, business, and/or competitive factors; and</w:t>
      </w:r>
    </w:p>
    <w:p>
      <w:pPr>
        <w:spacing w:after="0" w:line="21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of this Annual Report on Form 10-K entitled “Risk Factors” and our other filings with the U.S. Securities and Exchange Commission (“SEC”).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January 2022, we announced that we discontinued both of our Phase 2a clinical trials of GEM103, the ReGAtta study and the GEM103 as an Add-On to Anti-VEGF Therapy for the Treatment of Wet-AMD study.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February 2022, we announced a corporate restructuring and that we have initiated a process to evaluate strategic alternatives. We expect to devote substantial time and resources to exploring strategic alternatives that our board of directors believes will maximize shareholder value. Despite devoting significant efforts to identify and evaluate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of directors has not approved a definitive course of action. Additionally, there can be no assurances that any particular course of action, business arrangement or transaction, or series of transactions, will be pursued, successfully consummated or lead to increased stockholder value or that we will make any additional cash distributions to our stockholders.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74"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To the extent we continue to pursue clinical development of GEM103, GEM307 or any other product candidate,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may be able to broadly address AMD pathology and potentially treat AMD. In September 2020, we commenced a Phase 2a clinical trial of GEM103 in patients with dry AMD carrying mutations in the CFH gene, and we announced discontinuation of this trial in January 2022. Based on initial data available from the ReGAtta Phase 2a study and the Add-On to Anti-VEGF Therapy for the Treatment of Wet-AMD study, GEM103 continues to be generally well-tolerated through 510 intravitreal administrations. GEM103 has been granted Fast Track designation by the U.S. Food and Drug Administration (“FDA”).</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Augmenting CFH activity represents a unique approach to address imbalances in the immune system in a broad array of complement-mediated inflammatory diseases.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17"/>
          <w:szCs w:val="17"/>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were developing GEM103 initially for the treatment of dry AMD in patients with loss of function mutations in CFH. As a complement pathway regulatory protein, GEM103 has the potential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 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that has been evaluated in human clinical trials.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GEM103 has been evaluated in a single ascending dose Phase 1 clinical trial of CFH-variant related dry AMD patients. The findings in the Phase 1 clinical trial enabled the initiation of a Phase 2a trial evaluating multiple ascending doses in a genetically enriched patient population carrying mutation(s) in the gene for CFH and suffering from dry AMD. Based on initial data available from the ReGAtta Phase 2a study and the Add-On to Anti-VEGF Therapy for the Treatment of Wet-AMD study, GEM103 continues to be generally well-tolerated in 510 intravitreal administrations and such preliminary data indicated rapid and sustained increased levels of CFH, supporting GEM103's biological activity to regulate complement in GA patients as indicated by a reduction in complement biomarkers elevated in patients with AMD. In January 2022, we announced that we discontinued the ReGAtta study and the GEM103 as an Add-On to Anti-VEGF Therapy for the Treatment of Wet-AMD study.</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also working to advance GEM307, that could be effective for treatment of systemic diseases, towards an investigational new drug application (“IND”) filing.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0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January 2022, we announced that we discontinued both of our Phase 2a clinical trials of GEM103, the ReGAtta study and the GEM103 as an Add-On to Anti-VEGF Therapy for the Treatment of Wet-AMD study. In February 2022, we announced a corporate restructuring that will result in a substantial reduction of our workforce. In addition, we announced that we initiated a process to evaluate strategic alternatives in order to maximize shareholder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to AMD</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AMD is a progressive and irreversible disorder of the macula. The macula is the central portion of the retina in the eye and is responsible for both high acuity vision and color perception. AMD may affect vision in one or both eyes and in later stages results in progressive and chronic degeneration of the macula, leading to irreversible vision loss. AMD is a disease associated with advanced age, typically with onset occurring after the age of 50 and slowly progressing over many years. Retinal degeneration from dry AMD is a gradual process characterized by increasing drusen deposition and other extracellular debris accumulation around retinal pigment epithelium (“RPE”), complement hyperactivity and subsequent loss of photoreceptor cells in the retina in proximity to the degenerated RPE. Eventually, geographic atrophy (“GA”) occurs when regions of the macula are replaced by scar tissue. Common symptoms of dry AMD include blurry vision, loss of night vision and loss of central vision, making activities of daily living such as reading, driving and even recognizing faces progressively more difficult. With vision being central to independent living, AMD has a large and growing societal impact as the population ages.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Dry AMD, like many complex diseases, results from the interactions between environmental and genetic risk factors. However, unlike many late-onset conditions, approximately 70% of attributable risk for advanced AMD is explained by genetic risk. Factors such as aging, smoking, diet and UV light exposure confer the strongest non-genetic risks. Research over the last decade has uncovered multiple genetic variants which can increase the risk of developing advanced AMD by up to 30-fold, including many of the loci within the complement system. One such genetic locus that occurs with high frequency and strongly increases the risk of dry AMD is the CFH gene. We were developing GEM103, a recombinant human CFH molecule, to address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dysregulation resulting from loss of function variants in these patients and also to restore retinal homeostasis disrupted by CFH dysfunction.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Drugs targeting VEGF, one of the key endogenous proteins driving neovascularization, have proven to be successful in the treatment of wet AMD; however, no treatment is currently available for the remaining majority of patients with dry AMD or GA. Current standard-of-care for dry AMD is limited to over-the-counter vitamin and antioxidant supplements, and, in the absence of available therapeutic interventions, physicians can only regularly monitor a patient’s progression toward GA, vision loss, and ultimately blindness. There are a number of therapies in development for dry AMD and GA. Apellis Pharmaceuticals, Inc., has announced primary efficacy results from two ongoing Phase 3 studies of pegcetacoplan targeting complement at the level of C3. One study met its primary efficacy endpoint, and the other study did not. Zimura, a C5 inhibitor being developed by IVERIC bio, Inc., is in pivotal clinical trials. Lampalizumab, a complement factor D inhibitor which had been developed by F. Hoffmann-La Roche AG failed to meet its endpoint in its Phase 3 clinical trials. As presented publicly by that sponsor, lampalizumab failed to adequately inhibit factor D and did not have an effect on complement biomarkers of interest as assayed post hoc from in-trial aqueous humor samples. Other approaches for the treatment of dry AMD are under investigation and in earlier stages of development such as programs from Gyroscope Therapeutics Limited and NGM Biopharmaceuticals.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Date</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believe that a precision medicine approach exemplified by those applied to treat cancer and cystic fibrosis, where molecular definitions of disease supplant clinical descriptions or pathological diagnoses, can also be applied to AMD. Precision medicine is intended to more accurately diagnose patients and precisely match therapies to the underlying genetic drivers of disease. Many well-powered and robust studies have demonstrated the significant role that genetics plays in the development of AMD and lay the groundwork for a precision approach in this large population with few options for treatment.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CLARITY Natural History Studies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December 2018 we initiated CLARITY, a set of natural history studies designed to identify and characterize disease progression in subjects with non-central GA secondary to dry AMD who are carriers of high-risk genetic variants. For this purpose, we developed a custom genetic test and have genetically screened more than 500 patients. The last CLARITY study visit for the last patient occurred in July 2021. Results confirmed the frequency of pathological genotypic mutations of interest in the dry AMD population including previously published results that approximately 80% of patients with dry AMD have a loss of function variant in the CFH gene. The variants result in the expression of a CFH protein which is impaired in its ability to regulate complement in the eye and/or its ability to promote broader retinal health and homeostasis.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CFH, Complement and the Ocular Compartment</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immune system is composed of two distinct responses, innate and adaptive. The complement system, as part of the innate immune system, plays an integral role in maintaining immune-surveillance and homeostasis in the ocular microenvironment. The complement system is the first line of defense against infection and can effectively clear invading microorganisms well before activation of the adaptive immune system. Even apart from this sentinel function, localized complement activation occurs normally within the ocular compartment and is critical to maintaining retinal health, including participating in clearing of cell debris within the retinal cell layers. Complement dysfunction within the ocular compartment results in a diseased eye.</w:t>
      </w:r>
    </w:p>
    <w:p>
      <w:pPr>
        <w:spacing w:after="0" w:line="1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Complement components constitute a complex network of about 30 circulating or membrane-associated proteins, organized into hierarchal proteolytic cascades. The complement system can be activated by three different pathways: the classical pathway, the lectin pathway, and the alternative pathway. The alternative pathway is constitutively activated and is highly regulated on host cells to limit damage while being amplified on non-host or severely damaged cells to provide protection from pathogens and to help clear unwanted material. CFH provides critical functionality for retinal health. CFH binds to markers on the surface of the body’s own cells to protect these cells from aberrant or excessive complement activity. CFH also facilitates microbial clearance and other critical activities such as phagocytosis and lipid clearance. In the absence of sufficient levels of functional CFH protein, cells may be permanently and terminally damaged.</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CFH is a key protein that is responsible for self-surface recognition as well as maintaining a well-balanced immune response by regulating the activation of the complement system. CFH functions physiologically to restore retinal health by both downregulating inappropriate cell lysis and facilitating clearance of extracellular debris and repair of oxidative damage which results from multiple sources. Immunohistochemical analyses have shown that many complement components, including CFH, are molecular constituents of drusen, a type of cell debris which is a clinical hallmark of dry AMD. Continuous control of the alternative pathway by CFH is necessary due to the amplifying properties of the alternative pathway and its potential to provoke unneeded inflammatory response if not properly controlled. This control is best achieved by maintaining regulatory function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of the complement system by augmenting CFH activity and thereby inhibiting detrimental effects of the overly active complement system.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Development Program to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GEM103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GEM103 is a full length, recombinantly produced human CFH protein which provides a functional level of active CFH in AMD patients with loss of function mutations in the gene encoding CFH. GEM103 imparts physiologic regulation of the complement pathway driving the complement system toward equilibrium in patients where there is incomplete regulation due to insufficient functional CFH protein. This is a unique approach to address over-activation of the innate immune system.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and Clinical Development</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 series of preclinical studies have been performed to evaluate the pharmacokinetic and pharmacodynamic performance of GEM103. In preclinical pharmacokinetic studies, we observed that GEM103 was detected in all assayed ocular compartments, including aqueous humor, vitreous humor and the retina. Of note GEM103 was distributed to the retina following intravitreal injection in non-human primate radio-labeled distribution studies. Our study shows that after an intravitreal injection of radio-labelled GEM103, the protein is detected in the aqueous humor as well as into the retina, which is the site of action for the protein, for an extended period of time following a single dose.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Actions of endogenous CFH include inhibition of the complement activation cascade while permitting clearance of foreign material, cellular debris and pathogens in the eye. In </w:t>
      </w:r>
      <w:r>
        <w:rPr>
          <w:rFonts w:ascii="Arial" w:cs="Arial" w:eastAsia="Arial" w:hAnsi="Arial"/>
          <w:sz w:val="17"/>
          <w:szCs w:val="17"/>
          <w:i w:val="1"/>
          <w:iCs w:val="1"/>
          <w:color w:val="auto"/>
        </w:rPr>
        <w:t>in vitro</w:t>
      </w:r>
      <w:r>
        <w:rPr>
          <w:rFonts w:ascii="Arial" w:cs="Arial" w:eastAsia="Arial" w:hAnsi="Arial"/>
          <w:sz w:val="17"/>
          <w:szCs w:val="17"/>
          <w:color w:val="auto"/>
        </w:rPr>
        <w:t>, cell-based assays, GEM103 was shown to inhibit hyperactive terminal complement activity demonstrating a more potent but comparable maximal ability to inhibit cellular lysis when compared to a broad inhibitor of C3. In addition, we observed the necessary phagocytic activity required to clear lipid and other forms of debris is maintained by GEM103, while it is impaired by a broad inhibitor of C3, a potentially undesirable consequence of current approaches that results in complete suppression of complement activity.</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our Phase 1 clinical trial, single ascending doses of GEM103 were administered via intravitreal injection (IVT) to dry AMD patients enriched for genetic variants of interest. GEM103 was well-tolerated across a range of single doses from 50 to 500 µg/eye in a 50 µL preparation delivered intravitreally, without any dose limiting toxicity or inflammation or anti-drug induced antibody, confirmed by an independent safety review committee.</w:t>
      </w:r>
    </w:p>
    <w:p>
      <w:pPr>
        <w:spacing w:after="0" w:line="15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findings in the Phase 1 clinical trial enabled the initiation of a Phase 2a trial evaluating multiple ascending doses of 250 to 500 µg/eye GEM103 (in 50 µL) in a genetically enriched patient population carrying mutation(s) in the gene for CFH and suffering from dry AMD. The primary objective of this study was to evaluate the safety and tolerability of monthly IVT GEM103 and provide additional information on pharmacokinetics and exploratory biomarker responses based upon serially obtained aqueous humor samples. This study did not have a defined controlled group was not designed to inform GA efficacy.</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Based on initial data available from the ReGAtta Phase 2a study and the Add-On to Anti-VEGF Therapy for the Treatment of Wet-AMD study, GEM103 continues to be generally well-tolerated through 510 intravitreal administrations with no increased risk for CNV in the GA population, no ocular serious adverse events and no study discontinuations related to GEM103. The majority of adverse events were typical of IVT injections. There was one report of mild inflammation related to GEM103 that resolved without treatment and did not require modification of GEM103 dosing.</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Repeat IVT GEM103 dosing resulted in rapid and sustained increased levels of CFH, at least 12-fold above baseline levels with 500 µg/eye GEM103. A regulation of complement in GA patients has been observed with ~40% reduction in Ba and ~20% reduction in C3a, complement biomarkers elevated in patients with AMD. These initial findings support continued development and we have received feedback from the FDA through an end of Phase 2 meeting on a later stage clinical trial design to potentially support approval.</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also evaluated GEM103 as add-on therapy in patients suffering from wet AMD who have been treated with anti-VEGF therapy, as development of macular atrophy in that setting has been associated with a relative insufficiency in CFH. In a Phase 2a clinical trial comparing 500 µg/eye GEM103 (in 50 µL) + standard of care anti-VEGF therapy (aflibercept) to sham IVT injection + standard of care anti-VEGF therapy (aflibercept), we enrolled 50 individuals and dosed every 8 weeks. Initial results for up to 6 months of dosing showed every 8-week IVT GEM103 administration was generally well-tolerated with rapid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and sustained increased levels of CFH and regulation of complement as evidenced by reduction in complement biomarkers elevated in patients with AMD.</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previously described, in January 2022, we announced that we discontinued both of our Phase 2a clinical trials, the ReGAtta study and the GEM103 as an Add-On to Anti-VEGF Therapy for the Treatment of Wet-AMD study, as both studies have achieved their intended purpose of evaluating GEM103’s safety and tolerability.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Programs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 H Potentiating Antibody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to AMD, there are other systemic conditions that have complement dysregulation as part of the underlying disease pathologies. Many of these conditions affect the renal system and include rare diseases such as atypical Hemolytic Urea Syndrome, C3 Glomerulopathy as well as more common disorders like IgA Nephropathy. Many of these diseases have genetic risk factors that include CFH dysregulation and other complement regulatory proteins like the CFH-related proteins. We have developed GEM307 as a factor H potentiating antibody that enhances the activity of endogenous CFH, effectively increasing the effective functional concentration of CFH. We have pre-clinical data supporting improvement of clinical benefit in animal models mimicking these conditions of complement dysregulation. We have received pre-IND feedback from the FDA.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own or operate manufacturing facilities for the production of clinical or commercial quantities of our product candidates. We rely on well-established third-party contract manufacturing organizations (“CMOs”) to produce our product candidates, and we have recruited personnel with experience to manage the third-party CMOs producing our product candidates and other product candidates or products that we may develop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Our lead product candidate, GEM103, is a recombinant version of the endogenous CFH protein that is found most widely in our ‘intent to treat’ population.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Specifically, it contains the amino acids V62, Y402 and E936 which are those most frequently found in the Caucasian population.</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process for manufacturing GEM103 consists of a cell culture and purification processes to achieve a stringent quality, purity, strength and safety criteria in line with a product candidate dosed intravitreally.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paused manufacturing of GEM103 as we engage in a process to evaluate strategic alternatives.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process for manufacturing GEM307 consists of a cell culture and purification processes to achieve a stringent quality, purity, strength and safety criteria in line with regulatory expectations for an IND.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hold worldwide commercialization rights to each of our product candidates.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order to market for sale a product, we would need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would need to seek to enter into collaborations that we would believe might contribute to our ability to advance development and ultimately commercialize our product candidates.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could also seek to enter into collaborations where we believe that realizing the full commercial value of our development programs would require access to broader geographic markets or the pursuit of broader patient populations or indications.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April 2017, we entered into a Research Collaboration and License Agreement with Sanquin Blood Supply Foundation (“Sanquin”) (the “2017 License Agreement”) to develop antibodies that bind and enhance the activity of CFH. From the effective date of the 2017 License Agreement until the end of April 2019, the parties engaged in a research program based on an agreed upon research plan. The research program was overseen by a joint steering committee, comprised of two members from each of Gemini and Sanquin, with each party having one vote with respect to decisions within the purview of the joint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jc w:val="both"/>
        <w:spacing w:after="0" w:line="261" w:lineRule="auto"/>
        <w:rPr>
          <w:sz w:val="20"/>
          <w:szCs w:val="20"/>
          <w:color w:val="auto"/>
        </w:rPr>
      </w:pPr>
      <w:r>
        <w:rPr>
          <w:rFonts w:ascii="Arial" w:cs="Arial" w:eastAsia="Arial" w:hAnsi="Arial"/>
          <w:sz w:val="18"/>
          <w:szCs w:val="18"/>
          <w:color w:val="auto"/>
        </w:rPr>
        <w:t>steering committee. If the joint steering committee was unable to resolve any issues unanimously, then such disputes were subject to a dispute resolution procedures. We funded Sanquin’s research during the term of the research program.</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Following the conclusion of the research program, we have sole responsibility for the development of licensed products for the treatment and prevention of diseases in humans. Sanquin granted us an exclusive royalty-bearing license, with the right to sublicense through multiple tiers, to Sanquin’s patent rights, including patent rights generated during the research program and a non-exclusive license, with the right to sublicense through multiple tiers, to Sanquin’s background know -how and materials, in each case to research, develop, commercialize, make, use, sell, offer for sale and import or otherwise exploit licensed products. On March 7, 2022, we entered into an amendment to the 2017 License Agreement (the “2022 Amendment”) to clarify that certain patent rights directed to CFH potentiating antibodies are jointly owned by us and Sanquin. Under the 2022 Amendment, Sanquin granted us an exclusive (even as to Sanquin) royalty-bearing license, with the right to sublicense through multiple tiers, to the portion of these patent rights owned by Sanquin. Pursuant to the 2017 License Agreement with the 2022 Amendment incorporated (the “Amended License Agreement”), we are required to use commercially reasonable efforts to conduct development and commercialization of licensed products in accordance with an agreed upon development plan.</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consideration for the license, we paid Sanquin a one-time, non-refundable upfront payment of $100,000. We are required to make milestone payments to Sanquin upon achievement of certain development and commercial milestones (i.e., once net sales targets exceed certain thresholds) totaling up to an aggregate amount of $29.0 million. We are also required to pay Saquin a low double digit percentage of any non-royalty sublicensing income received and are required to make minimum royalty payments to Sanquin on each anniversary date of the effective date of the 2017 License Agreement. We are required to make royalty payments of between 1.25% and 2.50% of net product sales if commercialization is achieved, subject to offset by minimum royalty payments due and up to 50% reduction for royalty stacking.</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Amended License Agreement shall terminate on a country-by-country and licensed product-by-licensed product basis upon the latest of (i) expiration of the last valid claim of a Sanquin patent or a jointly owned patent that covers such licensed product, (ii) seven years after the first commercial sale of such licensed product, or (iii) the date on which there is no longer any marketing exclusivity for such licensed product. The Amended License Agreement may be terminated by either party (i) upon 90 days written notice in the event of the other party’s uncured breach of the Amended License Agreement, or (ii) the other party files for bankruptcy protection, makes an assignment for the benefit of its creditors, or files a petition for bankruptcy or insolvency that is not dismissed in 90 days. We have the right to terminate the Amended License Agreement at any time upon 90 days prior written notice, and Sanquin has the right to terminate the Amended License Agreement if we fail to meet our diligence obligations under the Amended License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candidates, novel biological discoveries, and other inventions that are important to our business. For our product candidates, we generally intend to pursue patent protection covering compositions of matter, methods of making and methods of use, including combination therapies. As we continue the development of our product candidates, we intend to identify additional means of obtaining patent protection that would potentially enhance commercial success, including through claims covering additional methods of use and biomarkers and complementary diagnostic and/or companion diagnostic related claims.</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March 7, 2022, we own or exclusively license approximately 59 patents and pending patent applications in the United States (“U.S.”) and foreign jurisdictions, including one granted U.S. patent, 11 granted foreign patents, four pending U.S. non-provisional patent applications and 43 pending foreign patent applications.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patent portfolio relating to GEM103 includes two patent families owned by us. The first patent family includes a pending Patent Cooperation Treaty (“PCT”) application directed to dosage regimens for treating inflammatory ocular diseases using GEM103 and certain biomarkers for monitoring responses to the treatment. The statutory expiration for any U.S. and foreign patents issuing from this family is 2041. The second patent family includes a pending PCT application directed to methods of treating age-related macular degeneration using GEM103 in patients who carry certain CFH genetic mutations. The statutory expiration for any U.S. and foreign patents issuing from this family is 2040.</w:t>
      </w:r>
    </w:p>
    <w:p>
      <w:pPr>
        <w:spacing w:after="0" w:line="16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patent portfolio relating to our factor H potentiating antibody program includes two patent families that we exclusively license from Sanquin Blood Supply Foundation and one patent family that we jointly own with Sanquin. The two in-licensed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jc w:val="both"/>
        <w:spacing w:after="0" w:line="238" w:lineRule="auto"/>
        <w:rPr>
          <w:sz w:val="20"/>
          <w:szCs w:val="20"/>
          <w:color w:val="auto"/>
        </w:rPr>
      </w:pPr>
      <w:r>
        <w:rPr>
          <w:rFonts w:ascii="Arial" w:cs="Arial" w:eastAsia="Arial" w:hAnsi="Arial"/>
          <w:sz w:val="18"/>
          <w:szCs w:val="18"/>
          <w:color w:val="auto"/>
        </w:rPr>
        <w:t>patent families are directed to antibodies that bind the same region of the factor H protein as our GEM307 product candidate. The first in-licensed family includes granted patents in Australia, France, Germany, Italy, the Netherlands, Mexico, Spain, and U.K. that cover GEM307 with statutory expiration in 2035. This family also include pending patent applications in Brazil, Canada, Israel, Japan, and South Korea which, if issued, would have statutory expiration in 2035. The second in-licensed patent family is pending in Australia, Brazil, Canada, China, Europe, Hong Kong, Israel, Japan, the Republic of Korea, Mexico and the United States. The statutory expiration for any patents issuing from this family is 2039. The patent family jointly owned by us and Sanquin is directed to the specific GEM307 product candidate. This family is pending in the United States, Argentina, Australia, Brazil, Canada, China, Europe, India, Israel, Japan, South Korea, Mexico, New Zealand, Russia, Singapore, South Africa and Taiwan. The statutory expiration for any patents issuing from this family is 2040.</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w:t>
      </w:r>
      <w:r>
        <w:rPr>
          <w:rFonts w:ascii="Arial" w:cs="Arial" w:eastAsia="Arial" w:hAnsi="Arial"/>
          <w:sz w:val="17"/>
          <w:szCs w:val="17"/>
          <w:i w:val="1"/>
          <w:iCs w:val="1"/>
          <w:color w:val="auto"/>
        </w:rPr>
        <w:t>Risk factors — 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our intellectual property</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biotechnology and pharmaceutical industries, including complement therapies, are characterized by rapidly changing technologies, competition and a strong emphasis on intellectual property. We are aware of several companies focused on developing precision medicines in various indications that may compete with our products.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consider our most direct competitors with respect to GEM103 for the treatment of AMD to be Apellis Pharmaceuticals, Inc. and IVERIC bio. Apellis Pharmaceuticals, Inc. has announced primary efficacy results from two ongoing Phase 3 studies of pegcetacoplan targeting complement at the level of C3. One study met its primary efficacy endpoint, while the other study did not. IVERIC bio is conducting a pivotal study in geographic atrophy for its C5 inhibitor. Other approaches are under investigation and in earlier stages of development such as programs from Gyroscope Therapeutics Limited and NGM Biopharmaceuticals.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have been developing. We, along with our vendors, collaboration partners, contract research organizations (“CROs”) and CMOs, would be required to navigate the various preclinical, clinical, manufacturing and commercial approval requirements of the governing regulatory agencies of the countries in which we wish to conduct studies or seek approval of our product candidate. The process of obtaining regulatory approvals of drugs and ensuring subsequent compliance with appropriate federal, state, local and foreign statutes and regulations requires the expenditure of substantial time and financial resources.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United States, where we have initially been focusing our product development, the FDA regulates biologics under the Federal Food, Drug and Cosmetic Act (“FDCA”) and the Public Health Service Act (“PHSA”) and their implementing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spacing w:after="0" w:line="261" w:lineRule="auto"/>
        <w:rPr>
          <w:sz w:val="20"/>
          <w:szCs w:val="20"/>
          <w:color w:val="auto"/>
        </w:rPr>
      </w:pPr>
      <w:r>
        <w:rPr>
          <w:rFonts w:ascii="Arial" w:cs="Arial" w:eastAsia="Arial" w:hAnsi="Arial"/>
          <w:sz w:val="18"/>
          <w:szCs w:val="18"/>
          <w:color w:val="auto"/>
        </w:rPr>
        <w:t>regulations. Biologics are also subject to other federal, state and local statutes and regulations. Our product candidates are early-stage and have not been approved by the FDA for marketing in the United States.</w:t>
      </w:r>
    </w:p>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process required by the FDA before our product candidates are approved for therapeutic indications and may be marketed in the United States generally involves the following:</w:t>
      </w:r>
    </w:p>
    <w:p>
      <w:pPr>
        <w:spacing w:after="0" w:line="157" w:lineRule="exact"/>
        <w:rPr>
          <w:sz w:val="20"/>
          <w:szCs w:val="20"/>
          <w:color w:val="auto"/>
        </w:rPr>
      </w:pPr>
    </w:p>
    <w:p>
      <w:pPr>
        <w:ind w:left="540" w:hanging="263"/>
        <w:spacing w:after="0" w:line="261"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(“GLP”) requirements;</w:t>
      </w:r>
    </w:p>
    <w:p>
      <w:pPr>
        <w:spacing w:after="0" w:line="130" w:lineRule="exact"/>
        <w:rPr>
          <w:rFonts w:ascii="Arial" w:cs="Arial" w:eastAsia="Arial" w:hAnsi="Arial"/>
          <w:sz w:val="18"/>
          <w:szCs w:val="18"/>
          <w:color w:val="auto"/>
        </w:rPr>
      </w:pPr>
    </w:p>
    <w:p>
      <w:pPr>
        <w:ind w:left="540" w:hanging="263"/>
        <w:spacing w:after="0" w:line="261"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43" w:lineRule="exact"/>
        <w:rPr>
          <w:rFonts w:ascii="Arial" w:cs="Arial" w:eastAsia="Arial" w:hAnsi="Arial"/>
          <w:sz w:val="18"/>
          <w:szCs w:val="18"/>
          <w:color w:val="auto"/>
        </w:rPr>
      </w:pPr>
    </w:p>
    <w:p>
      <w:pPr>
        <w:ind w:left="540" w:hanging="263"/>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approval by an Institutional Review Board (“IRB”) or independent ethics committee at each clinical trial site before each trial may be initiated;</w:t>
      </w:r>
    </w:p>
    <w:p>
      <w:pPr>
        <w:spacing w:after="0" w:line="182" w:lineRule="exact"/>
        <w:rPr>
          <w:rFonts w:ascii="Arial" w:cs="Arial" w:eastAsia="Arial" w:hAnsi="Arial"/>
          <w:sz w:val="17"/>
          <w:szCs w:val="17"/>
          <w:color w:val="auto"/>
        </w:rPr>
      </w:pPr>
    </w:p>
    <w:p>
      <w:pPr>
        <w:ind w:left="540" w:hanging="263"/>
        <w:spacing w:after="0" w:line="291"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performance of adequate and well-controlled clinical trials in accordance with Good Clinical Practice (“GCP”) requirements and other clinical trial-related regulations to establish the safety, purity and potency of the proposed biological product candidate for its intended purpose;</w:t>
      </w:r>
    </w:p>
    <w:p>
      <w:pPr>
        <w:spacing w:after="0" w:line="106" w:lineRule="exact"/>
        <w:rPr>
          <w:rFonts w:ascii="Arial" w:cs="Arial" w:eastAsia="Arial" w:hAnsi="Arial"/>
          <w:sz w:val="17"/>
          <w:szCs w:val="17"/>
          <w:color w:val="auto"/>
        </w:rPr>
      </w:pPr>
    </w:p>
    <w:p>
      <w:pPr>
        <w:ind w:left="540" w:hanging="263"/>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(“BLA”) after completion of all pivotal trials;</w:t>
      </w:r>
    </w:p>
    <w:p>
      <w:pPr>
        <w:spacing w:after="0" w:line="184" w:lineRule="exact"/>
        <w:rPr>
          <w:rFonts w:ascii="Arial" w:cs="Arial" w:eastAsia="Arial" w:hAnsi="Arial"/>
          <w:sz w:val="18"/>
          <w:szCs w:val="18"/>
          <w:color w:val="auto"/>
        </w:rPr>
      </w:pPr>
    </w:p>
    <w:p>
      <w:pPr>
        <w:ind w:left="540" w:hanging="263"/>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71" w:lineRule="exact"/>
        <w:rPr>
          <w:rFonts w:ascii="Arial" w:cs="Arial" w:eastAsia="Arial" w:hAnsi="Arial"/>
          <w:sz w:val="18"/>
          <w:szCs w:val="18"/>
          <w:color w:val="auto"/>
        </w:rPr>
      </w:pPr>
    </w:p>
    <w:p>
      <w:pPr>
        <w:jc w:val="both"/>
        <w:ind w:left="540" w:hanging="263"/>
        <w:spacing w:after="0" w:line="24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product will be produced to assess compliance with current Good Manufacturing Practice requirements (“cGMPs”) to assure that the facilities, methods and controls are adequate to preserve the biological product’s continued safety, purity and potency;</w:t>
      </w:r>
    </w:p>
    <w:p>
      <w:pPr>
        <w:spacing w:after="0" w:line="141" w:lineRule="exact"/>
        <w:rPr>
          <w:rFonts w:ascii="Arial" w:cs="Arial" w:eastAsia="Arial" w:hAnsi="Arial"/>
          <w:sz w:val="18"/>
          <w:szCs w:val="18"/>
          <w:color w:val="auto"/>
        </w:rPr>
      </w:pPr>
    </w:p>
    <w:p>
      <w:pPr>
        <w:ind w:left="540" w:hanging="263"/>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FDA audit of the clinical trial sites that generated the data in support of the BLA;</w:t>
      </w:r>
    </w:p>
    <w:p>
      <w:pPr>
        <w:spacing w:after="0" w:line="184" w:lineRule="exact"/>
        <w:rPr>
          <w:rFonts w:ascii="Arial" w:cs="Arial" w:eastAsia="Arial" w:hAnsi="Arial"/>
          <w:sz w:val="18"/>
          <w:szCs w:val="18"/>
          <w:color w:val="auto"/>
        </w:rPr>
      </w:pPr>
    </w:p>
    <w:p>
      <w:pPr>
        <w:ind w:left="540" w:hanging="263"/>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 of user fees for FDA review of the BLA; and</w:t>
      </w:r>
    </w:p>
    <w:p>
      <w:pPr>
        <w:spacing w:after="0" w:line="171" w:lineRule="exact"/>
        <w:rPr>
          <w:rFonts w:ascii="Arial" w:cs="Arial" w:eastAsia="Arial" w:hAnsi="Arial"/>
          <w:sz w:val="18"/>
          <w:szCs w:val="18"/>
          <w:color w:val="auto"/>
        </w:rPr>
      </w:pPr>
    </w:p>
    <w:p>
      <w:pPr>
        <w:ind w:left="540" w:right="20" w:hanging="263"/>
        <w:spacing w:after="0" w:line="261"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the BLA, including consideration of the views of any FDA advisory committee, prior to any commercial marketing or sale of the biologic in the United States.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trials for biologics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The results of the preclinical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submission to an existing IND must also be made for each successive clinical trial conducted during product development of a product candidate, and the FDA must grant permission, either explicitly or implicitly by not objecting, before each clinical trial can begin.</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jc w:val="both"/>
        <w:spacing w:after="0" w:line="252" w:lineRule="auto"/>
        <w:rPr>
          <w:sz w:val="20"/>
          <w:szCs w:val="20"/>
          <w:color w:val="auto"/>
        </w:rPr>
      </w:pPr>
      <w:r>
        <w:rPr>
          <w:rFonts w:ascii="Arial" w:cs="Arial" w:eastAsia="Arial" w:hAnsi="Arial"/>
          <w:sz w:val="17"/>
          <w:szCs w:val="17"/>
          <w:color w:val="auto"/>
        </w:rPr>
        <w:t xml:space="preserve">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t>
      </w:r>
      <w:r>
        <w:rPr>
          <w:rFonts w:ascii="Arial" w:cs="Arial" w:eastAsia="Arial" w:hAnsi="Arial"/>
          <w:sz w:val="17"/>
          <w:szCs w:val="17"/>
          <w:i w:val="1"/>
          <w:iCs w:val="1"/>
          <w:color w:val="auto"/>
        </w:rPr>
        <w:t>www.clinicaltrials.gov</w:t>
      </w:r>
      <w:r>
        <w:rPr>
          <w:rFonts w:ascii="Arial" w:cs="Arial" w:eastAsia="Arial" w:hAnsi="Arial"/>
          <w:sz w:val="17"/>
          <w:szCs w:val="17"/>
          <w:color w:val="auto"/>
        </w:rPr>
        <w:t xml:space="preserve"> website.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When a foreign clinical trial is conducted under an IND, all FDA IND requirements must be met unless waived. Generally, the FDA will accept a well-designed and well-conducted foreign clinical study not conducted under an IND if the study was conducted in accordance with GCP requirements, and the FDA is able to validate the data through an onsite inspection if deemed necessary.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Clinical trials to evaluate therapeutic indications to support BLAs for marketing approval are typically conducted in three sequential phases, which may overlap.</w:t>
      </w:r>
    </w:p>
    <w:p>
      <w:pPr>
        <w:spacing w:after="0" w:line="157" w:lineRule="exact"/>
        <w:rPr>
          <w:sz w:val="20"/>
          <w:szCs w:val="20"/>
          <w:color w:val="auto"/>
        </w:rPr>
      </w:pPr>
    </w:p>
    <w:p>
      <w:pPr>
        <w:jc w:val="both"/>
        <w:ind w:left="540" w:hanging="263"/>
        <w:spacing w:after="0" w:line="24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 Phase 1 clinical trials involve initial introduction of the investigational product into healthy human volunteers or patients with the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147" w:lineRule="exact"/>
        <w:rPr>
          <w:rFonts w:ascii="Arial" w:cs="Arial" w:eastAsia="Arial" w:hAnsi="Arial"/>
          <w:sz w:val="18"/>
          <w:szCs w:val="18"/>
          <w:color w:val="auto"/>
        </w:rPr>
      </w:pPr>
    </w:p>
    <w:p>
      <w:pPr>
        <w:jc w:val="both"/>
        <w:ind w:left="540" w:hanging="263"/>
        <w:spacing w:after="0" w:line="24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 limited patient population with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60" w:lineRule="exact"/>
        <w:rPr>
          <w:rFonts w:ascii="Arial" w:cs="Arial" w:eastAsia="Arial" w:hAnsi="Arial"/>
          <w:sz w:val="18"/>
          <w:szCs w:val="18"/>
          <w:color w:val="auto"/>
        </w:rPr>
      </w:pPr>
    </w:p>
    <w:p>
      <w:pPr>
        <w:jc w:val="both"/>
        <w:ind w:left="540" w:hanging="263"/>
        <w:spacing w:after="0" w:line="241"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 an expanded patient population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participants exposed to the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jc w:val="both"/>
        <w:spacing w:after="0" w:line="243" w:lineRule="auto"/>
        <w:rPr>
          <w:sz w:val="20"/>
          <w:szCs w:val="20"/>
          <w:color w:val="auto"/>
        </w:rPr>
      </w:pPr>
      <w:r>
        <w:rPr>
          <w:rFonts w:ascii="Arial" w:cs="Arial" w:eastAsia="Arial" w:hAnsi="Arial"/>
          <w:sz w:val="18"/>
          <w:szCs w:val="18"/>
          <w:color w:val="auto"/>
        </w:rPr>
        <w:t>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To the extent we continue to develop our product candidates, we could seek data exclusivity or market exclusivity for our product candidates. Assuming successful completion of the required clinical testing, the relevant results of the pertinent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A BLA is a request for approval to market a new biologic for one or more specified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clinically active component,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FDA also may require submission of a Risk Evaluation and Mitigation Strategy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7"/>
          <w:szCs w:val="17"/>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 for biologics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p>
      <w:pPr>
        <w:jc w:val="both"/>
        <w:spacing w:after="0" w:line="239" w:lineRule="auto"/>
        <w:rPr>
          <w:sz w:val="20"/>
          <w:szCs w:val="20"/>
          <w:color w:val="auto"/>
        </w:rPr>
      </w:pPr>
      <w:r>
        <w:rPr>
          <w:rFonts w:ascii="Arial" w:cs="Arial" w:eastAsia="Arial" w:hAnsi="Arial"/>
          <w:sz w:val="18"/>
          <w:szCs w:val="18"/>
          <w:color w:val="auto"/>
        </w:rPr>
        <w:t>Accelerated Approval is usually contingent on a sponsor’s agreement to conduct additional post-approval studies to verify and describe the product’s clinical benefit. The FDA may withdraw approval of a drug or biologic approved under Accelerated Approval if, for example, the sponsor fails to conduct the confirmatory trials in a timely manner or the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7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 for biologics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product tracking and tracing,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our employees but also by agents of ours or those speaking on our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ind w:left="540" w:hanging="263"/>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1" w:lineRule="exact"/>
        <w:rPr>
          <w:rFonts w:ascii="Arial" w:cs="Arial" w:eastAsia="Arial" w:hAnsi="Arial"/>
          <w:sz w:val="18"/>
          <w:szCs w:val="18"/>
          <w:color w:val="auto"/>
        </w:rPr>
      </w:pPr>
    </w:p>
    <w:p>
      <w:pPr>
        <w:ind w:left="540" w:hanging="263"/>
        <w:spacing w:after="0" w:line="261"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the product;</w:t>
      </w:r>
    </w:p>
    <w:p>
      <w:pPr>
        <w:spacing w:after="0" w:line="143" w:lineRule="exact"/>
        <w:rPr>
          <w:rFonts w:ascii="Arial" w:cs="Arial" w:eastAsia="Arial" w:hAnsi="Arial"/>
          <w:sz w:val="18"/>
          <w:szCs w:val="18"/>
          <w:color w:val="auto"/>
        </w:rPr>
      </w:pPr>
    </w:p>
    <w:p>
      <w:pPr>
        <w:ind w:left="540" w:hanging="263"/>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issuance of corrective information;</w:t>
      </w:r>
    </w:p>
    <w:p>
      <w:pPr>
        <w:spacing w:after="0" w:line="171" w:lineRule="exact"/>
        <w:rPr>
          <w:rFonts w:ascii="Arial" w:cs="Arial" w:eastAsia="Arial" w:hAnsi="Arial"/>
          <w:sz w:val="18"/>
          <w:szCs w:val="18"/>
          <w:color w:val="auto"/>
        </w:rPr>
      </w:pPr>
    </w:p>
    <w:p>
      <w:pPr>
        <w:ind w:left="540" w:hanging="263"/>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71" w:lineRule="exact"/>
        <w:rPr>
          <w:rFonts w:ascii="Arial" w:cs="Arial" w:eastAsia="Arial" w:hAnsi="Arial"/>
          <w:sz w:val="18"/>
          <w:szCs w:val="18"/>
          <w:color w:val="auto"/>
        </w:rPr>
      </w:pPr>
    </w:p>
    <w:p>
      <w:pPr>
        <w:ind w:left="540" w:hanging="263"/>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holds on clinical trials;</w:t>
      </w:r>
    </w:p>
    <w:p>
      <w:pPr>
        <w:spacing w:after="0" w:line="184" w:lineRule="exact"/>
        <w:rPr>
          <w:rFonts w:ascii="Arial" w:cs="Arial" w:eastAsia="Arial" w:hAnsi="Arial"/>
          <w:sz w:val="18"/>
          <w:szCs w:val="18"/>
          <w:color w:val="auto"/>
        </w:rPr>
      </w:pPr>
    </w:p>
    <w:p>
      <w:pPr>
        <w:ind w:left="540" w:hanging="263"/>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refusal of the FDA to approve applications or supplements to approved applications, or suspension or revocation of product approvals;</w:t>
      </w:r>
    </w:p>
    <w:p>
      <w:pPr>
        <w:spacing w:after="0" w:line="171" w:lineRule="exact"/>
        <w:rPr>
          <w:rFonts w:ascii="Arial" w:cs="Arial" w:eastAsia="Arial" w:hAnsi="Arial"/>
          <w:sz w:val="18"/>
          <w:szCs w:val="18"/>
          <w:color w:val="auto"/>
        </w:rPr>
      </w:pPr>
    </w:p>
    <w:p>
      <w:pPr>
        <w:ind w:left="540" w:hanging="263"/>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71" w:lineRule="exact"/>
        <w:rPr>
          <w:rFonts w:ascii="Arial" w:cs="Arial" w:eastAsia="Arial" w:hAnsi="Arial"/>
          <w:sz w:val="18"/>
          <w:szCs w:val="18"/>
          <w:color w:val="auto"/>
        </w:rPr>
      </w:pPr>
    </w:p>
    <w:p>
      <w:pPr>
        <w:ind w:left="540" w:hanging="263"/>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84" w:lineRule="exact"/>
        <w:rPr>
          <w:rFonts w:ascii="Arial" w:cs="Arial" w:eastAsia="Arial" w:hAnsi="Arial"/>
          <w:sz w:val="18"/>
          <w:szCs w:val="18"/>
          <w:color w:val="auto"/>
        </w:rPr>
      </w:pPr>
    </w:p>
    <w:p>
      <w:pPr>
        <w:ind w:left="540" w:hanging="263"/>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Under the Orphan Drug Act, the FDA may grant orphan drug designation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4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a product that has received ODD and subsequently receives the first FDA approval for a particular clinically active component for the disease for which it has such designation, the product is entitled to orphan product exclusivity, which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Affordable Care Act, signed into law in 2010, includes a subtitle called the Biologics Price Competition and Innovation Act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 w:name="page19"/>
    <w:bookmarkEnd w:id="18"/>
    <w:p>
      <w:pPr>
        <w:jc w:val="both"/>
        <w:spacing w:after="0"/>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(“CMS”), other divisions of the Department of Health and Human Services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Restructuring and Process to Evaluate Strategic Alternatives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February 28, 2022, we announced a restructuring plan to reduce our operations to preserve financial resources, resulting in a reduction of our workforce by up to 24 positions, or approximately 80%, by the end of the second quarter of 2022. As a result, we estimate that we will incur costs within the range of $1.6 million to $1.9 million, which are expected to consist of severance benefits for the affected employees, limited reimbursement of medical insurance premiums, outplacement services and other restructuring costs and expenses. Additionally, we have initiated a process to evaluate strategic alternatives in order to maximize shareholder value. There can be no assurance that this strategic review process will result in us pursuing any transaction or that any transaction, if pursued, will be completed on attractive terms or at all.</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Furthermore, effective as of February 28, 2022, Georges Gemayel, Ph.D., our current Executive Chair, was appointed as interim President and Chief Executive Officer to succeed Jason Meyenburg, who has transitioned from his roles as President, CEO and Director and will continue to serve as an advisor to the Company. Dr. Gemayel will continue to serve as the Chair of our Board.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2021, we had 33 employees, including four employees with M.D. degrees and six employees with Ph.D. degrees, and of whom 31 were full-time employees. None of our employees are represented by labor unions or covered by collective bargaining agreements. We consider the relationship with our employees to be in good standing. We also engage consultants and contractors to supplement our permanent workforce.</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believe we offer competitive compensation (including base salary, incentive bonus, and long-term equity awards tied to the value of our stock price) and benefits packages designed to attract and reward talented individuals who possess the skills necessary to support our business objectives and assist in the achievement of our strategic goals.</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committed to protecting our employees everywhere we operate. We have taken additional measures during the COVID-19 pandemic, including offering COVID-19 testing, as necessary. As of January 1, 2022, all of our employees are fully-remote workers as we are now a remote-first company that does not currently maintain a physical headquarters.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Facilities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facilities consisted of office space in Cambridge, Massachusetts. We terminated this lease on December 31, 2021 and no longer have any properties.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current remote working arrangement is sufficient for our current needs.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Additional information about Gemini is available on our corporate website at https://geminitherapeutics.com/, as well as Gemini’s Investor Relations website at https://investors.geminitherapeutics.com/overview/. We use our website to distribute company information, including financial and other material information. We make available free of charge, on or through our website, our annual reports on Form 10-K, quarterly reports on Form 10-Q, current reports on Form 8-K, proxy statements, beneficial ownership reports on Forms 3 and 4, as well as other filings and any amendments to these documents, as soon as reasonably practicable following the time they are electronically filed with or furnished to the SEC. The SEC maintains an Internet website that contains reports, proxy and information statements and other information regarding issuers that file electronically with the SEC. The SEC’s Internet website is located at http://www.sec.gov. The content of any websites referred to in this Annual Report on Form 10-K is not incorporated by reference into this report or any other report filed with or furnished to the SEC.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In evaluating our company and our business, you should carefully consider the risks and uncertainties described below, together with the other information in this Annual Report on Form 10-K, including our consolidated financial statements and the related notes and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or future prospects, in which case the market price of our common stock could decline, and you could lose part or all of your investment. Unless otherwise indicated, reference in this section and elsewhere in this Annual Report on Form 10-K to our business being adversely affected, negatively impacted or harmed will include an adverse effect on, or a negative impact or harm to, our business, reputation, financial condition, results of operations, revenue or our future prospects. The material and other risks and uncertainties summarized above in this Annual Report on Form 10-K and described below are not intended to be exhaustive and are not the only ones we face. Additional risks and uncertainties not presently known to us or that we currently deem immaterial may also impair our business.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Summary of Risk Factors</w:t>
      </w:r>
    </w:p>
    <w:p>
      <w:pPr>
        <w:spacing w:after="0" w:line="21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63" w:lineRule="exact"/>
        <w:rPr>
          <w:sz w:val="20"/>
          <w:szCs w:val="20"/>
          <w:color w:val="auto"/>
        </w:rPr>
      </w:pPr>
    </w:p>
    <w:p>
      <w:pPr>
        <w:ind w:left="1020" w:right="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successful in identifying and implementing any strategic business combination or other transaction and any strategic transactions that we may consummate in the future could have negative consequences.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realize any additional value in a strategic transaction.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successful in completing a strategic transaction, we may be exposed to other operational and financial risks.</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 strategic transaction is not consummated, our Board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consummate a strategic transaction depends on our ability to retain our employees required to consummate such a transaction.</w:t>
      </w:r>
    </w:p>
    <w:p>
      <w:pPr>
        <w:spacing w:after="0" w:line="126"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corporate restructurings and the associated headcount reductions may not result in anticipated savings, could result in total costs and expenses that are greater than expected and could disrupt our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and results of our ongoing strategic process are uncertain and may not be successful.</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become involved in securities class action litigation that could divert management’s attention and harm the company’s business, and insurance coverage may not be sufficient to cover all costs and damages.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may incur losses for the foreseeable future.</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require additional capital to finance our operations, which may not be available to us on acceptable terms, or at all. As a result, we may not complete the development and commercialization of GEM103 or any other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continue to be heavily dependent on the success of GEM103, our lead product candidate.</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GEM103 and any other product candidates would need to undergo rigorous clinical trials and regulatory approvals, and success in nonclinical studies or earlier-stage clinical trials may not be indicative of results in future clinical trials.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been and may in the future be subject to many manufacturing risks, any of which could substantially increase our costs, delay clinical programs and limit supply of our products.</w:t>
      </w:r>
    </w:p>
    <w:p>
      <w:pPr>
        <w:spacing w:after="0" w:line="62"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must retain highly skilled employees in order to succeed. If we are not able to retain our current senior management team and our scientific advisors or continue to attract and retain qualified scientific, technical and business personnel, our business will suffer.</w:t>
      </w:r>
    </w:p>
    <w:p>
      <w:pPr>
        <w:spacing w:after="0" w:line="38" w:lineRule="exact"/>
        <w:rPr>
          <w:rFonts w:ascii="Arial" w:cs="Arial" w:eastAsia="Arial" w:hAnsi="Arial"/>
          <w:sz w:val="17"/>
          <w:szCs w:val="17"/>
          <w:color w:val="auto"/>
        </w:rPr>
      </w:pPr>
    </w:p>
    <w:p>
      <w:pPr>
        <w:jc w:val="both"/>
        <w:ind w:left="1020" w:hanging="503"/>
        <w:spacing w:after="0" w:line="24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rely on third parties to conduct our clinical trials and for the manufacture of our clinical drug supply. If these third parties do not successfully carry out their contractual duties or meet expected deadlines or comply with regulatory requirements, we may not be able to obtain regulatory approval of or commercialize any potential product candidates.</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could be adversely affected by the effects of health epidemics, including the novel coronavirus (“COVID-19”) pandemic, in regions where third parties for which we rely have significant research, development or manufacturing facilities, concentrations of clinical trial sites or other business operations, causing disruption in supplies and services.</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future sales of shares by existing stockholders and future exercise of registration rights may adversely affect the market price of our common stock.</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related to any of our product candidates, we may not be able to compete effectively in our market. It is difficult and costly to protect our proprietary rights and technology, and we may not be able to ensure their protection.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comply with our obligations in our current and future intellectual property licenses and funding arrangements with third parties, we could lose rights that are important to our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failure to meet the continued listing requirements of The Nasdaq Capital Market could result in a de-listing of our common stock.</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summary risk factors described above should be read together with the text of the full risk factors below and in the other information set forth in this Annual Report on Form 10-K,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Strategic Alternative Process and Potential Strategic Transaction</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not be successful in identifying and implementing any strategic business combination or other transaction and any strategic transactions that we may consummate in the future could have negative consequences.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our efforts, if any, to pursue clinical development of GEM103, GEM307 or any other product candidate, we also continue to evaluate all potential strategic options for the company, including a merger, reverse merger, sale, wind-down, liquidation and dissolution or other strategic transaction. However, there can be no assurance that we will be able to successfully consummate any particular strategic transaction. The process of continuing to evaluate these strategic options may be very costly, time-consuming and complex and we have incurred, and may in the future incur, significant costs related to this continued evaluation, such as legal and accounting fees and expenses and other related charges. We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our business and may diminish or delay any future distributions to our stockholders.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any strategic business combination or other transactions that we may consummate in the future could have a variety of negative consequences and we may implement a course of action or consummate a transaction that yields unexpected results that adversely affects our business and decreases the remaining cash available for use in our business or the execution of our strategic plan. There can be no assurances that any particular course of action, business arrangement or transaction, or series of transactions, will be pursued, successfully consummated, lead to increased stockholder value, or achieve the anticipated results. Any failure of such potential transaction to achieve the anticipated results could significantly impair our ability to enter into any future strategic transactions and may significantly diminish or delay any future distributions to our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any additional value in a strategic transaction.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market capitalization of our company is below the value of our cash and cash equivalents. Potential counterparties in a strategic transaction involving our company may place minimal or no value on our assets given the limited data regarding our lead development program. Further,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 involving our company may choose not to spend additional resources and continue development of our product candidates and may attribute little or no value, in such a transaction, to those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successful in completing a strategic transaction, we may be exposed to other operational and financial risks.</w:t>
      </w:r>
    </w:p>
    <w:p>
      <w:pPr>
        <w:spacing w:after="0" w:line="21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Although there can be no assurance that a strategic transaction will result from the process we have undertaken to identify and evaluate strategic alternatives, the negotiation and consummation of any such transaction will require significant time on the part of our management, and the diversion of management’s attention may disrupt our business.</w:t>
      </w:r>
    </w:p>
    <w:p>
      <w:pPr>
        <w:spacing w:after="0" w:line="16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negotiation and consummation of any such transaction may also require more time or greater cash resources than we anticipate and expose us to other operational and financial risks, including:</w:t>
      </w:r>
    </w:p>
    <w:p>
      <w:pPr>
        <w:spacing w:after="0" w:line="63"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near-term and long-term expenditures;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than expected acquisition or integration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fund future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write-downs of assets or goodwill or incurrence of non-recurring, impairment or other charges;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 with our operations and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 due to changes in management and ownership;</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retain key employees of our company or any acquired business;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possibility of future litigation.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risks could have a material adverse effect on our business, financial condition and prospects.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a strategic transaction is not consummated, our Board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There can be no assurance that a strategic transaction will be completed. If a strategic transaction is not completed, our Board may decide to pursue a dissolution and liquidation. In such an event, the amount of cash available for distribution to our stockholders will depend heavily on the timing of such decision and, as with the passage of time the amount of cash available for distribution will be reduced as we continue to fund our operations. In addition, if our Board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consummate a strategic transaction depends on our ability to retain our employees required to consummate such transaction.</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ability to consummate a strategic transaction depends upon our ability to retain our employees required to consummate such a transaction, the loss of whose services may adversely impact the ability to consummate such transaction. In October 2021, and then again in February 2022, we undertook an organizational restructuring that significantly reduced our workforce in order to conserve our capital resources. Our cash conservation activities may yield unintended consequences, such as attrition beyond our planned reduction in workforce and reduced employee morale, which may cause remaining employees to seek alternative employment. Our ability to successfully complete a strategic transaction depends in large part on our ability to retain certain of our remaining personnel. If we are unable to successfully retain our remaining personnel, we are at risk of a disruption to our exploration and consummation of a strategic alternative as well as business operations.</w:t>
      </w:r>
    </w:p>
    <w:p>
      <w:pPr>
        <w:spacing w:after="0" w:line="1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October 2021, and then again in February 2022, we undertook an organizational restructuring that significantly reduced our workforce, including the departure of our chief executive officer.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 Employee litigation related to the headcount reduction could be costly and prevent management from fully concentrating on the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jc w:val="both"/>
        <w:spacing w:after="0" w:line="274" w:lineRule="auto"/>
        <w:rPr>
          <w:sz w:val="20"/>
          <w:szCs w:val="20"/>
          <w:color w:val="auto"/>
        </w:rPr>
      </w:pPr>
      <w:r>
        <w:rPr>
          <w:rFonts w:ascii="Arial" w:cs="Arial" w:eastAsia="Arial" w:hAnsi="Arial"/>
          <w:sz w:val="16"/>
          <w:szCs w:val="16"/>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regulatory, technical operations, and commercial functions, should we choose to continue to pursue them, which would have a negative impact on our ability to successfully develop, and ultimately, commercialize our product candidates. Our future financial performance and our ability to develop our product candidates or additional assets will depend, in part, on our ability to effectively manage any future growth or restructuring, as the case may be.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and results of our ongoing strategic process are uncertain and may not be successful.</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Over the past several years, we have focused our strategic efforts on maximizing stockholder value through strategic transactions, such as the Business Combination. In connection with the Business Combination, certain investors purchased an aggregate of $95.1 million of our Common Stock in a private placement of public equity (the “PIPE Financing”). Together with FSDC’s cash resources and funding of the PIPE Financing, we received net proceeds from the Business Combination of approximately $195.9 million. We may continue to focus our efforts on creating value from GEM103, GEM307 or other product candidates for our stockholders through a sale or other transaction involving the program and pursuing potential strategic options for our company as a whole.</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board of directors remains dedicated to diligently deliberating upon and making informed decisions that the directors believe are in the best interests of the company and its stockholders. There can be no assurance, however, that the company’s current strategic direction, or the board’s evaluation of strategic alternatives, will result in any initiatives, agreements, transactions or plans that will further enhance stockholder value.</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addition, given the substantial restructuring of our operations over the past several years, it may be difficult to evaluate our current business and future prospects on the basis of historical operating performance.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the company’s business, and insurance coverage may not be sufficient to cover all costs and damages.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the past,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losses since our inception and may incur losses for the foreseeable future.</w:t>
      </w:r>
    </w:p>
    <w:p>
      <w:pPr>
        <w:spacing w:after="0" w:line="21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We have no products approved for commercial sale and have not generated any revenue to date, and we continue to incur significant research and development and other expenses related to our ongoing operations. As a result, we are not profitable and have incurred significant losses in each period since our inception in March 2015.</w:t>
      </w:r>
    </w:p>
    <w:p>
      <w:pPr>
        <w:spacing w:after="0" w:line="18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the years ended December 31, 2021 and 2020, we reported net losses of $71.9 million and $40.8 million, respectively. As of December 31, 2021, we had an accumulated deficit of $184.7 million. Depending on the outcome of our exploration of strategic alternatives, and although we revised our strategy, ceased our Phase 2 trials and announced a significant workforce restructuring, we may continue to incur significant losses for the foreseeable future, and we expect these losses would increase as we continue our research and development of, and seek regulatory approvals for, our product candidates. We anticipate that our expenses would increase substantially if, and as, we:</w:t>
      </w:r>
    </w:p>
    <w:p>
      <w:pPr>
        <w:spacing w:after="0" w:line="189" w:lineRule="exact"/>
        <w:rPr>
          <w:sz w:val="20"/>
          <w:szCs w:val="20"/>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larger scale clinical trials for our lead product candidate, GEM103, and any other product candidates;</w:t>
      </w:r>
    </w:p>
    <w:p>
      <w:pPr>
        <w:spacing w:after="0" w:line="21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discover and develop new product candidates, and conduct nonclinical studies, other investigational new drug (“IND”) enabling studies and clinical trials;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 or have manufactured, preclinical, clinical and commercial supplies of our product candidates;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commercialize GEM103 or any other product candidates, if approved;</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attempt to transition from a company with a clinical development focus to a company capable of supporting commercial activities, including establishing sales, marketing and distribution infrastructure;</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clinical, scientific, and management personnel;</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costs related to funding our restructuring obligations;</w:t>
      </w:r>
    </w:p>
    <w:p>
      <w:pPr>
        <w:spacing w:after="0" w:line="234" w:lineRule="exact"/>
        <w:rPr>
          <w:rFonts w:ascii="Arial" w:cs="Arial" w:eastAsia="Arial" w:hAnsi="Arial"/>
          <w:sz w:val="16"/>
          <w:szCs w:val="16"/>
          <w:color w:val="auto"/>
        </w:rPr>
      </w:pPr>
    </w:p>
    <w:p>
      <w:pPr>
        <w:ind w:left="760" w:hanging="378"/>
        <w:spacing w:after="0" w:line="261"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additional compounds or product candidates and acquire rights from third parties to those compounds or product candidates through licenses; and</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Even if we continue to pursue product development and succeed in commercializing GEM103 or any other product candidates, we may continue to incur substantial research and development and other expenditures to develop and market additional product candidates. We may encounter unforeseen expenses, difficulties, complications, delays and other unknown factors that may adversely affect our business for any reason, including as a result of the COVID-19 pandemic.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a limited operating history, have not generated any revenue to date and may never become profitable.</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a clinical-stage biotechnology company with a limited operating history. Our operations to date have been limited to organizing and staffing our company, acquiring, developing and securing our technology and product candidates, and conducting clinical trials and preclinical studies of our product candidates. We have not yet demonstrated our ability to complete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contract research organizations (“CROs”), and contract manufacturing organizations (“CMOs”), and significant risk that any potential product candidate will fail to demonstrate adequate effect or an acceptable safety profile, gain regulatory approval and become commercially viable. Consequently, any predictions you may make about our future success or viability may not be as accurate as they could be if we had a longer operating history.</w:t>
      </w:r>
    </w:p>
    <w:p>
      <w:pPr>
        <w:spacing w:after="0" w:line="18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Even if we continue to pursue approval of GEM103, we would not expect to receive revenue from GEM103 for a number of years, if ever. To date, we have not generated any revenue, and we will not be able to generate product revenue unless and until GEM103, or any other product candidate, successfully completes clinical trials, receives regulatory approval and is commercialized. We may seek to obtain revenue from collaboration or licensing agreements with third parties. Our ability to generate future product revenue from GEM103 or any other product candidates also depends on a number of additional factors, including our, or our current and future collaborators’, ability to:</w:t>
      </w:r>
    </w:p>
    <w:p>
      <w:pPr>
        <w:spacing w:after="0" w:line="189" w:lineRule="exact"/>
        <w:rPr>
          <w:sz w:val="20"/>
          <w:szCs w:val="20"/>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complete nonclinical studies and clinical trials for GEM103 and any other product candidates;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and obtain marketing approvals for any product candidates that complete clinical development;</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70"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obtains marketing approval, and, if launched independently, successfully establish a sales, marketing and distribution infrastructure;</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 any competing technological and market developments for our product candidates;</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negotiate favorable terms in strategic alternatives including, but not limited to, any collaboration, licensing or other arrangements into which we may enter in the future and performing our obligations in such collaborations;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because of the numerous risks and uncertainties associated with biotechnology product development, including that our product candidates may not advance through development or achieve the endpoints of applicable clinical trials, we are unable to predict the timing or amount of increased expenses, or if or when we would achieve or maintain profitability if we continue to pursue product development. In addition, our expenses could increase beyond expectations if we decide, or are required by the U.S. Food and Drug Administration (“FDA”) or applicable foreign regulatory authorities in other jurisdictions where we may pursue regulatory approval, or applicable foreign regulatory authorities, to perform nonclinical studies or clinical trials in addition to those that we currently anticipate. Even if we complete the development and regulatory processes described above, we anticipate incurring significant costs associated with launching and commercializing any approved product.</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6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If we continue to pursue product development, we will require additional capital to finance our operations, which may not be available to us on acceptable terms, or at all. As a result, we may not complete the development and commercialization of GEM103 or any other product candidates.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a clinical development company, our operations have consumed substantial amounts of cash since inception.</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2021, we had $136.6 million of cash and cash equivalents. Subject to the outcome of our exploration of strategic alternatives, we believe that our current cash resources will enable us to fund our operating expenses and capital expenditure requirements through at least the next twelve months from the filing date of this Annual Report on Form 10-K. Our forecast of the period of time through which our financial reserves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 but not limited to:</w:t>
      </w:r>
    </w:p>
    <w:p>
      <w:pPr>
        <w:spacing w:after="0" w:line="191"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outcome of our exploration of potential strategic alternatives;</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nonclinical studies and clinical trials for GEM103 or any other product candidates we may develop, including COVID-19-related delays or other effects on our development programs;</w:t>
      </w:r>
    </w:p>
    <w:p>
      <w:pPr>
        <w:spacing w:after="0" w:line="170"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applicable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181"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1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as well as product coverage and the adequacy of reimbursement by third-party payors;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21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and that we determine to commercialize; and</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do not have any committed external source of funds or other support for our development efforts, and we cannot be certain that additional funding will be available on acceptable terms, or at all. To the extent we continue to pursue product development,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your ownership interest will be diluted. If we raise additional capital through debt financing, we could be subject to fixed payment obligations and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collaborators for one or more of our product candidates at an earlier stage than otherwise would be desirable or relinquish our rights to product candidates or technologies that we otherwise would seek to develop or commercialize ourselves. If we are unable to raise additional capital in sufficient amounts or acceptable terms,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continue to be heavily dependent on the success of GEM103, our lead product candidate.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If we continue to pursue regulatory approval of our product candidates, we expect that a substantial portion of our efforts and expenditures over the next several years would be devoted to our lead product candidate, GEM103. Accordingly, our business would depend heavily on the successful development, regulatory approval, and commercialization of GEM103. GEM103 was tested in a Phase 2a clinical trial in genetically defined patients with dry age-related macular degeneration (“AMD”) and in a Phase 2a clinical trial as an add-on to anti-VEGF therapy for the treatment of wet AMD patients at risk for progressive vision loss due to macular atrophy. We announced that we were ending both of these studies in January 2022. We cannot be certain that we would successfully commence or complete any further clinical trials, receive regulatory approval or successfully commercialize GEM103 even if we were to receive regulatory approval. If we do not perform any future clinical development of GEM103 or if GEM103 does not receive regulatory approval or fails to achieve significant market acceptance, we would be substantially delayed in our ability to achieve profitability, if ever.</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research, testing, manufacturing, safety, efficacy, labeling, approval, sale, marketing, and distribution of GEM103 is, and will remain, subject to comprehensive regulation by the FDA and applicable foreign regulatory authorities. Failure to obtain regulatory approval for GEM103 will prevent us from commercializing and marketing GEM103.</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Further, any future clinical trials of GEM103 may not be able to replicate the results from our preclinical studies or past clinical trials of GEM103. To the extent any of the foregoing has not occurred, our expected development time and development costs for GEM103 may be increased.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7"/>
          <w:szCs w:val="17"/>
          <w:color w:val="auto"/>
        </w:rPr>
        <w:t>Even if we are able to successfully obtain approval from the FDA or applicable foreign regulatory authorities for GEM103, any approval might contain significant limitations related to use, including limitations on the stage of disease GEM103 is approved to treat, as well as restrictions for specified age groups, warnings, precautions or contraindications. Furthermore, even if we obtain regulatory approval for GEM103,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otherwise. If we, or any future collaborators, are unable to successfully commercialize GEM103, we may not be able to generate sufficient revenue to continue our business.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not successful in discovering, developing, receiving regulatory approval for and commercializing GEM103 or other product candidates, our ability to expand our business and achieve our strategic objectives would be impaired.</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If we continue to pursue regulatory approval of our product candidates, we would plan to devote a majority of our resources to the continued preclinical and clinical testing and potential approval of GEM103 for the treatment of patients with AMD. However, another key element of our strategy could be to discover, develop and commercialize a portfolio of products. We could seek to do so through our internal discovery programs, but our resources are limited. We may also explore strategic collaborations for the development or acquisition of new product candidates, but we may not be successful in entering into such relationships. GEM103 is our only product candidate in clinical stages of development. Research programs to identify product candidates require substantial technical, financial and human resources, regardless of whether any product candidates are ultimately identified. Our research programs may initially show promise in identifying potential product candidates, yet fail to yield product candidates for clinical development for many reasons, including:</w:t>
      </w:r>
    </w:p>
    <w:p>
      <w:pPr>
        <w:spacing w:after="0" w:line="163"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approved product may not be accepted as safe and effective by trial participants, the medical community or third-party payors; and</w:t>
      </w:r>
    </w:p>
    <w:p>
      <w:pPr>
        <w:spacing w:after="0" w:line="223" w:lineRule="exact"/>
        <w:rPr>
          <w:rFonts w:ascii="Arial" w:cs="Arial" w:eastAsia="Arial" w:hAnsi="Arial"/>
          <w:sz w:val="17"/>
          <w:szCs w:val="17"/>
          <w:color w:val="auto"/>
        </w:rPr>
      </w:pPr>
    </w:p>
    <w:p>
      <w:pPr>
        <w:ind w:left="760" w:right="20" w:hanging="378"/>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of third parties for product candidates we develop may potentially block our entry into certain markets or make such entry economically impracticable.</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we continue to pursue product development and we fail to develop and successfully commercialize other product candidates, our business and future prospects may be harmed, and our business will be more vulnerable to any problems that we encounter in developing and commercializing our product candidates.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GEM103 and any other product candidates would need to undergo rigorous clinical trials and regulatory approvals, and success in nonclinical studies or earlier-stage clinical trials may not be indicative of results in future clinical trials.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the extent we continue to pursue product development, GEM103 and any other product candidates would be subject to rigorous and extensive clinical trials and extensive regulatory approval processes implemented by the FDA and applicable foreign regulatory authorities. The approval process is typically lengthy and expensive, and approval is never certain. We have limited experience in conducting the clinical trials required to obtain regulatory approval. We may not be able to conduct clinical trials at preferred sites, enlist clinical investigators, enroll sufficient numbers of participants or begin or successfully complete clinical trials in a timely fashion, if at all. Our planned clinical trials may be insufficient to demonstrate that our potential products will be active, safe or effective. Additional clinical trials may be required if clinical trial results are negative or inconclusive, which will require us to incur additional costs and significant delays.</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Success in preclinical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our results will support approval of a product, and flaws in the design of 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17"/>
          <w:szCs w:val="17"/>
          <w:color w:val="auto"/>
        </w:rPr>
        <w:t>clinical trial may not become apparent until the clinical trial is well advanced. Because we have limited experience designing clinical trials, we may be unable to design and execute a clinical trial to support regulatory approval. In addition, there is a high failure rate for drugs and biologics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For example, we provided updates from our Phase 2a studies in January 2022. Both studies were ended early, which may limit the ability of the data to support regulatory approval. In addition, we may experience regulatory delays or rejections as a result of many factors, including due to changes in regulatory policy during the period of development of our product candidates. Any such delays could negatively impact our business, financial condition, results of operations and prospects.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published, and may from time to time in the future, publish interim “top-line” or preliminary data from our clinical trials. Preliminary or interim data from clinical trials that we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and financial prospects.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Additionally, several of our previous clinical trials utilized an “open-label” trial design. An “open-label” clinical trial is one where both the patient and investigator know whether the patient is receiving the investigational product candidate or either an existing approved biologic,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been and may in the future be subject to many manufacturing risks, any of which could substantially increase our costs, delay clinical programs and limit supply of our products.</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historically contracted with third party manufacturers to make new drug substance to support clinical trials and for commercial sale, if approved. Our CMOs may not be able to adopt, adapt or scale up the manufacturing process in a timely manner to support our future clinical trials. The process of manufacturing our products is complex, highly regulated and subject to several risks, including:</w:t>
      </w:r>
    </w:p>
    <w:p>
      <w:pPr>
        <w:spacing w:after="0" w:line="182" w:lineRule="exact"/>
        <w:rPr>
          <w:sz w:val="20"/>
          <w:szCs w:val="20"/>
          <w:color w:val="auto"/>
        </w:rPr>
      </w:pPr>
    </w:p>
    <w:p>
      <w:pPr>
        <w:jc w:val="both"/>
        <w:ind w:left="760" w:hanging="378"/>
        <w:spacing w:after="0" w:line="259"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manufacturing processes are susceptible to product loss due to contamination by adventitious microorganisms, equipment failure, improper installation or operation of equipment, vendor or operator error and improper storage conditions. Even minor deviations from normal manufacturing processes could result in reduced production yields and quality as well as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173" w:lineRule="exact"/>
        <w:rPr>
          <w:rFonts w:ascii="Arial" w:cs="Arial" w:eastAsia="Arial" w:hAnsi="Arial"/>
          <w:sz w:val="17"/>
          <w:szCs w:val="17"/>
          <w:color w:val="auto"/>
        </w:rPr>
      </w:pPr>
    </w:p>
    <w:p>
      <w:pPr>
        <w:ind w:left="760" w:hanging="378"/>
        <w:spacing w:after="0" w:line="291"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manufacturing facilities in which our products are made could be adversely affected by equipment failures, labor and raw material shortages, financial difficulties of our CMOs, natural disasters, power failures, local political unrest and numerous other factors; and</w:t>
      </w:r>
    </w:p>
    <w:p>
      <w:pPr>
        <w:spacing w:after="0" w:line="146" w:lineRule="exact"/>
        <w:rPr>
          <w:rFonts w:ascii="Arial" w:cs="Arial" w:eastAsia="Arial" w:hAnsi="Arial"/>
          <w:sz w:val="17"/>
          <w:szCs w:val="17"/>
          <w:color w:val="auto"/>
        </w:rPr>
      </w:pPr>
    </w:p>
    <w:p>
      <w:pPr>
        <w:jc w:val="both"/>
        <w:ind w:left="760" w:hanging="378"/>
        <w:spacing w:after="0" w:line="243"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more expensive manufacturing alternatives.</w:t>
      </w:r>
    </w:p>
    <w:p>
      <w:pPr>
        <w:spacing w:after="0" w:line="1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manufacture of GEM103 and other product candidates requires significant expertise and capital investment, including the development of advanced manufacturing techniques and process controls. Manufacturers of these products sometimes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jc w:val="both"/>
        <w:spacing w:after="0" w:line="241" w:lineRule="auto"/>
        <w:rPr>
          <w:sz w:val="20"/>
          <w:szCs w:val="20"/>
          <w:color w:val="auto"/>
        </w:rPr>
      </w:pPr>
      <w:r>
        <w:rPr>
          <w:rFonts w:ascii="Arial" w:cs="Arial" w:eastAsia="Arial" w:hAnsi="Arial"/>
          <w:sz w:val="18"/>
          <w:szCs w:val="18"/>
          <w:color w:val="auto"/>
        </w:rPr>
        <w:t>encounter difficulties in production, especially during scale-up from the manufacturing process used for pre-clinical and early clinical trials to a validated process needed for pivotal clinical studies and commercial launch. These problems include failure to meet target production costs and yields, sub-par quality control testing, including stability of the product, quality assurance system failures, operator error and shortages of qualified personnel, as well as compliance with strictly enforced federal, state and foreign regulations. We cannot assure you that any product quality issues relating to the manufacture of GEM103 or any other product candidates will not occur in the future.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have and we do not currently plan to acquire or build the facilities or internal capabilities to manufacture bulk drug substance or filled drug product for use in pre-clinical studies, clinical trials or commercialization. To a large extent, that makes us dependent on the goodwill of our contract manufacturing partners to quickly fix deviations that will inevitably occur during the manufacturing of our product. Any delay or interruption in the supply of clinical trial materials could delay the completion of pre-clinical studies or clinical trials, increase the costs associated with maintaining clinical trial programs and, depending upon the period of delay, require us to commence new pre-clinical studies or clinical trials at additional expense or terminate pre-clinical studies or clinical trials altogether.</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have no manufacturing facility. As a result, we have been dependent on third-party manufacturers, as well as on third parties for our supply chain, and if we experience problems with any third parties, or the actual demand for our future product candidates, if any, exceed our forecasts, the manufacture of adequate supplies of our future product candidates or products could be delayed.</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do not own or operate facilities for the manufacture of our future product candidates, if any. We currently have no plans to build our own manufacturing facilities for clinical or commercial operations. We have in the past relied on third party manufacturers for the chemical manufacture of active pharmaceutical ingredient and for the production of final product formulation and packaging for clinical trials, and expect to rely on such third party manufacturers for any future product candidate we are able to advance into clinical development. Although alternative third party suppliers with the necessary manufacturing and regulatory expertise and facilities exist, it could be expensive and take a significant amount of time to arrange for alternative suppliers should we commence clinical development of any future product candidate. We may encounter technical difficulties or delays in the transfer of manufacturing on a commercial scale to third party manufacturers. We may be unable to enter into agreements for commercial supply with third party manufacturers, or may be unable to do so on acceptable terms. If we are unable to arrange for alternative third-party manufacturing sources, or to do so on commercially reasonable terms or in a timely manner, we may not be able to complete development of any future product candidates, or market or distribute them.</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Reliance on third party manufacturers entails risks to which we would not be subject if we manufactured product candidates or products ourselves, including reliance on the third party for regulatory compliance and quality assurance, the possibility of breach of the manufacturing agreement by the third party because of factors beyond our control, including a failure to manufacture our product candidates or any products we may eventually commercialize in accordance with our specifications, and the possibility of termination or nonrenewal of the agreement by the third party, based on its own business priorities, at a time that is costly or damaging to us. In addition, the FDA and other regulatory authorities require that our product candidates and any products that we may eventually commercialize be manufactured according to cGMP and similar foreign standards.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 and could cause us to incur higher costs and prevent us from commercializing our product candidates successfully. In addition, such failure could be the basis for the FDA to issue a warning letter, withdraw approvals for product candidates previously granted 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products, refusal to permit the import or export of products, injunction, or imposing civil and criminal penalties.</w:t>
      </w:r>
    </w:p>
    <w:p>
      <w:pPr>
        <w:spacing w:after="0" w:line="16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significant disruption in our supplier relationships could harm our business. Any significant delay in the supply of a product candidate or its key materials for a clinical trial could considerably delay completion of our clinical trials, product testing and potential regulatory approval of our future product candidates. If our manufacturers or we are unable to purchase these key materials after regulatory approval has been obtained for our product candidates, the commercial launch of our product candidates would be delayed or there would be a shortage in supply, which would impair our ability to generate revenues from the sale of our product candidates. If our third party manufacturers cannot manufacture sufficient quantity to meet the demand for our product candidates after regulatory approval, there would be a shortage in supply which would negatively impact our revenue from the sale of our product candidates. It may take several years to establish an alternative source of supply for our product candidates and to have any such new source approved by the FDA.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jc w:val="both"/>
        <w:spacing w:after="0" w:line="248" w:lineRule="auto"/>
        <w:rPr>
          <w:sz w:val="20"/>
          <w:szCs w:val="20"/>
          <w:color w:val="auto"/>
        </w:rPr>
      </w:pPr>
      <w:r>
        <w:rPr>
          <w:rFonts w:ascii="Arial" w:cs="Arial" w:eastAsia="Arial" w:hAnsi="Arial"/>
          <w:sz w:val="18"/>
          <w:szCs w:val="18"/>
          <w:b w:val="1"/>
          <w:bCs w:val="1"/>
          <w:i w:val="1"/>
          <w:iCs w:val="1"/>
          <w:color w:val="auto"/>
        </w:rPr>
        <w:t>Our business could continue to be adversely affected by the effects of health epidemics, including the ongoing COVID-19 pandemic, including in regions where third parties on which we rely have significant research, development or manufacturing facilities, concentrations of clinical trial sites or other business operations, causing disruption in supplies and services.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business could be adversely affected by health epidemics in regions where third parties on which we rely, such as CROs or CMOs, have concentrations of clinical trial sites or other business operations, and could cause significant disruption in the operations of third-party manufacturers and CROs upon whom we rely. The ongoing COVID-19 pandemic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ongoing COVID-19 pandemic and related impacts have resulted in, and will likely continue to result in, significant disruptions to the global economy and capital markets around the world. We cannot predict the future progression or full impact of the outbreak and its effects on our business and operations.</w:t>
      </w:r>
    </w:p>
    <w:p>
      <w:pPr>
        <w:spacing w:after="0" w:line="15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and our third-party CMOs, CROs and clinical sites have experienced, and may continue to experience, disruptions in supply of product candidates and/or procuring items that are essential for our research and development activities, including raw materials used in the manufacturing of our product candidates, medical and laboratory supplies used in our clinical trials or preclinical studies or animals that are used for preclinical testing, in each case, for which there may be shortages because of ongoing efforts to address the pandemic.</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Additionally, we enrolled patients in our clinical trials at sites located both in the United States and internationally. Our clinical trial sites were located in areas that were affected by COVID-19 and, as a result, our ability to enroll patients and complete our trials were impacted. We cannot predict how long these types of delays and impacts many continue, and whether they will similarly affect any future clinical trials. For example, even if sites are initiating and actively recruiting, we may face difficulties recruiting or retaining patients in our planned clinical trials if patients are affected by the virus or are unable to or are fearful of visiting or traveling to our clinical trial sites because of the pandemic, or if patients are unable or unwilling to be vaccinated or tested. Prolonged delays or closure to enrollment in our planned trials or patient discontinuations could have a material adverse impact on our clinical trial plans and timelines. In addition, our ability to collect and verify data requested of patients enrolled in our clinical trials during this pandemic was impacted to varying degrees by COVID-19, and COVID-19 could similarly impact future clinical trials. Although clinical trial data collection continued for each of our clinical trials, data was collected at a slower pace, and with challenges and interruptions in data collection, including, in some instances, disruption of collection of complete study data. This could have a material adverse impact on our data quality and analysis. In addition, clinical trial sites for any potential future clinical trials may be unable or unwilling to initiate a new trial if factors relevant to the pandemic render doing so impracticable. These COVID-19 related issues may prolong the time required to conduct any potential clinical trials and/or impact the quality of the data obtained from one or more of our completed or potential studies.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not incurred impairment losses in the carrying values of our assets as a result of the ongoing COVID-19 pandemic, and we are not aware of any specific related event or circumstance that would require us to revise our estimates reflected in our consolidated financial statements. Although the COVID-19 pandemic did not have a significant impact on our financial results in 2021, the full extent to which the ongoing COVID-19 pandemic may impact our business, results of operations, financial condition and cash flows will depend on future developments that are highly uncertain, and the estimates of the impact on our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If we do not retain key employees, our ability to maintain our ongoing operations or execute a potential strategic option could be impaired.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February 28, 2022, we had 29 employees and we will rely heavily on the services of our existing employees to manage our ongoing operations and execute our strategic plans. On February 28, 2022, we announced a workforce reduction by up to 24 positions, or approximately 80% of our workforce. The loss of services from any of our existing or continuing employees could substantially disrupt our operations. To be successful and achieve our strategic objectives, we must retain qualified personnel. The continued review of our strategic options may create continued uncertainty for our employees and this uncertainty may adversely affect our ability to retain key employees and to hire new talent necessary to maintain our ongoing operations or to execute additional potential strategic options, which could have a material adverse effect on our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jc w:val="both"/>
        <w:spacing w:after="0" w:line="279" w:lineRule="auto"/>
        <w:rPr>
          <w:sz w:val="20"/>
          <w:szCs w:val="20"/>
          <w:color w:val="auto"/>
        </w:rPr>
      </w:pPr>
      <w:r>
        <w:rPr>
          <w:rFonts w:ascii="Arial" w:cs="Arial" w:eastAsia="Arial" w:hAnsi="Arial"/>
          <w:sz w:val="16"/>
          <w:szCs w:val="16"/>
          <w:color w:val="auto"/>
        </w:rPr>
        <w:t>In addition, our current strategy and any changes to this strategy could place significant strain on our resources and our ability to maintain our ongoing operations. We may also be required to rely more heavily on temporary or part-time employees, third party contractors and consultants to assist with managing our operations. These consultants are not our employees and may have commitments to, or consulting or advisory contracts with, other entities that may limit their availability to us. We will have only limited control over the activities of these consultants and can generally expect these individuals to devote only limited time to our activities. Failure of any of these persons to devote sufficient time and resources to our business could harm our business.</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Accordingly, we may fail to maintain our ongoing operations or execute our strategic plan if we are unable to retain or hire qualified personnel or to manage our employees and consultants effectively.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any future growth, which could adversely affect our operations.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we pursue further clinical development and the potential commercialization of our product candidates, we will need to expand our financial, development, regulatory, manufacturing, marketing and sales capabilities or contract with third parties to provide these capabilities for us. If our operations were to expand, we would expect that we would need to manage additional relationships with various strategic collaborators, suppliers and other third parties. Our future financial performance and our ability to develop and commercialize our product candidates and to compete effectively would depend, in part, on our ability to manage any future growth effectively. We have undertaken restructurings in October 2021 and February 2022 with a substantial reduction in headcount, which would adversely impact our ability to meet any potential growth needs.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Commencing with the end of the fiscal year to which this Annual Report on Form 10-K relates, we are required to perform system and process design evaluation and testing of the effectiveness of our internal controls over financial reporting to allow management to report on the effectiveness of our internal controls over financial reporting, as required by Section 404. This has required that we incur substantial additional and recurring professional fees and internal costs to expand our accounting and finance functions and that we expend significant management efforts. We will be required to disclose changes made in our internal controls and procedures on a quarterly basis. However, for as long as we are an emerging growth company (“EGC”),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84"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If we are not able to comply with the requirements of Section 404 in a timely manner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disclosure controls and procedures are designed to reasonably assure that information required to be disclosed by us in reports we file or submit under the Securities Exchange Act of 1934, as amended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3" w:name="page34"/>
    <w:bookmarkEnd w:id="33"/>
    <w:p>
      <w:pPr>
        <w:jc w:val="both"/>
        <w:spacing w:after="0" w:line="243" w:lineRule="auto"/>
        <w:rPr>
          <w:sz w:val="20"/>
          <w:szCs w:val="20"/>
          <w:color w:val="auto"/>
        </w:rPr>
      </w:pPr>
      <w:r>
        <w:rPr>
          <w:rFonts w:ascii="Arial" w:cs="Arial" w:eastAsia="Arial" w:hAnsi="Arial"/>
          <w:sz w:val="18"/>
          <w:szCs w:val="18"/>
          <w:color w:val="auto"/>
        </w:rPr>
        <w:t>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8" w:lineRule="exact"/>
        <w:rPr>
          <w:sz w:val="20"/>
          <w:szCs w:val="20"/>
          <w:color w:val="auto"/>
        </w:rPr>
      </w:pPr>
    </w:p>
    <w:p>
      <w:pPr>
        <w:ind w:right="2200"/>
        <w:spacing w:after="0" w:line="261" w:lineRule="auto"/>
        <w:rPr>
          <w:sz w:val="20"/>
          <w:szCs w:val="20"/>
          <w:color w:val="auto"/>
        </w:rPr>
      </w:pPr>
      <w:r>
        <w:rPr>
          <w:rFonts w:ascii="Arial" w:cs="Arial" w:eastAsia="Arial" w:hAnsi="Arial"/>
          <w:sz w:val="18"/>
          <w:szCs w:val="18"/>
          <w:b w:val="1"/>
          <w:bCs w:val="1"/>
          <w:i w:val="1"/>
          <w:iCs w:val="1"/>
          <w:color w:val="auto"/>
        </w:rPr>
        <w:t>As a result of our business combination with a special purpose acquisition company, regulatory obligations may impact us differently than other publicly traded companies.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became a publicly traded company by completing a transaction with a special purpose acquisition company (“SPAC”). As a result of this transaction, regulatory obligations have, and may continue, to impact us differently than other publicly traded companies. For instance, the SEC and other regulatory agencies may issue additional guidance or apply further regulatory scrutiny to companies like us that have completed a business combination with a SPAC. Managing this regulatory environment, which has and may continue to evolve, could divert management’s attention from the operation of our business, negatively impact our ability to raise additional capital when needed or have an adverse effect on the price of our common stock.</w:t>
      </w:r>
    </w:p>
    <w:p>
      <w:pPr>
        <w:spacing w:after="0" w:line="159"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b w:val="1"/>
          <w:bCs w:val="1"/>
          <w:i w:val="1"/>
          <w:iCs w:val="1"/>
          <w:color w:val="auto"/>
        </w:rPr>
        <w:t>We must retain highly skilled employees in order to succeed. If we are not able to retain our current senior management team and our scientific advisors or continue to attract and retain qualified scientific, technical and business personnel, our business will suffer.</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faces significant competition for experienced personnel. If we do not succeed in retaining qualified personnel, particularly at the management level, it could adversely affect our ability to execute our business plan and harm our operating results. We are dependent on the members of our management team and our scientific advisors for our business success, the loss of whom could require us to identify and engage qualified replacements, and could cause our management and operations to suffer in the interim. For example, in February 2022, Jason Meyenburg transitioned from his role as our Chief Executive Officer. Also in February 2022, Georges Gemayel began serving as our Interim Chief Executive Officer. Even though we are confident in the interim leadership of Dr. Gemayel, any disruption resulting from Mr. Meyenburg’s departure, or any further changes to our key management, commercial and scientific personnel, may be disruptive or cause uncertainty in our business and may adversely impact our results of operations and financial condition. We do not maintain “key person” insurance for any of our key personnel. An important element of our strategy is to take advantage of the research and development expertise of our current management. We currently have employment agreements with all of our executive officers. Our employment agreements with our executive officers are terminable by them without notice and some provide for severance and change in control benefits. The loss of any one of our executive officers could result in a significant loss in the knowledge and experience that we, as an organization, possess and could cause significant delays, or outright failure, in the development and further commercialization of our product candidates.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 is intense competition for qualified personnel, including management in the technical fields in which we operate and we may not be able to attract and retain qualified personnel necessary for the successful research, development and commercialization of our product candidates. 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cannot ensure that our compliance controls, policies, and procedures will in every instance protect us from acts committed by our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enforced by the FDA and applicable foreign regulatory authorities, fails to provide true, complete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jc w:val="both"/>
        <w:spacing w:after="0" w:line="251" w:lineRule="auto"/>
        <w:rPr>
          <w:sz w:val="20"/>
          <w:szCs w:val="20"/>
          <w:color w:val="auto"/>
        </w:rPr>
      </w:pPr>
      <w:r>
        <w:rPr>
          <w:rFonts w:ascii="Arial" w:cs="Arial" w:eastAsia="Arial" w:hAnsi="Arial"/>
          <w:sz w:val="17"/>
          <w:szCs w:val="17"/>
          <w:color w:val="auto"/>
        </w:rPr>
        <w:t>and accurate information to the FDA and applicable foreign regulatory authorities, fails to comply with manufacturing standards we have established, fails to comply with healthcare fraud and abuse laws in the United States and similar foreign laws, or fails to report financial information or data accurately or to disclose unauthorized activities to us. If we obtain FDA approval of any of our product candidates and begin commercializing those products in the United States, our potential exposure under these laws will increase significantly, and our costs associated with compliance with these laws are also likely to increase. Additionally, we are subject to the risk that a person could allege such fraud or other misconduct, even if none occurred. These laws may impact, among other things, our current activities with principal investigators and research patients, as well as proposed and future sales, marketing and education programs.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government funded healthcare programs, such as Medicare and Medicaid, integrity oversight and reporting obligations, and the curtailment or restructuring of our operations.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Enrollment and retention of patients in clinical trials is an expensive and time-consuming process and could be made more difficult or rendered impossible by multiple factors outside our control, significant competition for recruiting patients with AMD in clinical trials.</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Identifying and qualifying patients to participate in our clinical trials is critical to our success. To the extent we continue to pursue product development, we may encounter delays in enrolling, or be unable to enroll, a sufficient number of patients to complete any of our clinical trials, and even once enrolled we may be unable to retain a sufficient number of patients to complete any of our trials.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generally affect patient enrollment include:</w:t>
      </w:r>
    </w:p>
    <w:p>
      <w:pPr>
        <w:spacing w:after="0" w:line="212"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location of clinical sites where patients are to be enrolled;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product being studied in relation to other available therapies, including any new products that may be approved for the indications we are investigating.</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if any significant adverse events or other side effects are observed in any of our future clinical trials, it may make it more difficult for us to recruit patients to our clinical trials and patients may drop out of our trials, or we may be required to abandon the trials or our development efforts of one or more product candidates altogether. Our inability to enroll a sufficient number of patients for our clinical trials would result in significant delays, which would increase our costs and have an adverse effect on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us.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biotechnology industry is intensely competitive and subject to rapid and significant technological change. Our current competitors include multinational pharmaceutical companies, specialized biotechnology companies and universities and other research institutions. A number of pharmaceutical companies, as well as large and small biotechnology companies such as Apellis Pharmaceuticals, Inc. and IVERIC bio are pursuing the development or marketing of pharmaceuticals that target AMD. It is also probable that the number of companies seeking to develop products and therapies for the treatment of serious eye diseases, such as AMD,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do in undertaking nonclinical studies and human clinical trials of new pharmaceutical products and in obtaining regulatory approvals of human therapeutic products. Accordingly, our competitors may succeed in obtaining FDA approval for superior products. In addition, to the extent we continue to pursue product development,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competitors may obtain regulatory approval of their products more rapidly than we do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deficiencies in our or related parties’ cyber security.</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Given our limited operating history, we are still in the process of implementing our internal security measures. Our internal computer systems and those of current and future third parties on which we rely may fail and are vulnerable to damage from computer viruses and unauthorized access. Our information technology and other internal infrastructure systems, including corporate firewalls, servers, leased lines and connection to the Internet, face the risk of systemic failure that could disrupt our operations.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hindered or delayed.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rules dealing with United States federal, state and local income taxation are constantly under review by persons involved in the legislative process and by the Internal Revenue Service (“IRS”) and the United States Treasury Department. Changes to tax laws (which changes may have retroactive application) could adversely affect us or holders of our common stock. In recent years, many such changes have been made and changes are likely to continue to occur in the future. For example, the Coronavirus Aid, Relief, and Economic Security Act (“CARES Act”) was enacted on March 27, 2020, and, among other things, suspends the 80% limitation on the deduction for NOLs in taxable years beginning before January 1, 2021, permits a 5-year carryback of NOLs arising in taxable years beginning after December 31, 2017 and before January 1, 2021, and generally caps the limitation on the deduction for net interest expense at 50% of adjusted taxable income for taxable years beginning in 2019 and 2020. It cannot be predicted whether, when, in what form, or with what effective dates, new tax laws may be enacted, or regulations and rulings may be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U.S. NOL carryforwards and U.S. research and development tax credit carryforwards.</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of December 31, 2021, we had federal net operating loss carryforwards of $7.6 million that are subject to expire at various dates through 2037, and net operating loss carryforwards of $156.5 million, which have no expiration date, can be carried forward indefinitely, and are limited to a deduction to 80% of annual taxable income. We have state tax net operating loss carryforwards of $143.1 million, which may be available to offset future income tax liabilities and expire at various dates through 2041, and net operating loss carryforwards of $1.0 million, which have no expiration date, can be carried forward indefinitely. We also have federal and state research and development tax credit carryforwards of $5.0 million and $1.2 million, respectively, which expire at various dates through 2041. We do not anticipate generating revenue from sales of products for the foreseeable future, if ever, and we may never achieve profitability. These NOL and tax credit carryforwards could expire unused and be unavailable to offset future income tax liabilities. Under the Tax Act, unused losses generated in taxable years beginning after December 31, 2017 will not expire and may be carried forward indefinitely, and generally may not be carried back to prior taxable years, except that, under the CARES Act a 5-year carryback of NOLs arising in taxable years beginning after December 31, 2017 and before January 1, 2021 is permitted. Additionally, for taxable years beginning after December 31, 2020, the deductibility of such U.S. federal NOLs is limited to 80% of our taxable income in any future taxable year. In addition, under Section 382 of the Code, the amount of benefits from our NOL carryforwards may be impaired or limited if we incur a cumulative ownership change of more than 50% over a three-year period. We may have experienced ownership changes in the past and we may experience ownership changes in the future as a result of the Business Combination and subsequent shifts in our stock ownership, some of which are outside our control. As a result, our use of U.S. federal NOL carryforwards could be limited. State NOL carryforwards may be similarly limited. Any such disallowances may result in greater tax liabilities than we would incur in the absence of such a limitation and any increased liabilities could adversely affect our business, results of operations, financial position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 products. To the extent we continue to pursue product development,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approval processes of the FDA and applicable foreign regulatory authorities are lengthy, time-consuming and inherently unpredictable.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obtain regulatory approval for GEM103 or any other product candidate would substantially harm our business.</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time required to obtain approval from the FDA and applicable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the extent we continue to pursue product development, GEM103 or our other product candidates could fail to receive regulatory approval from the FDA or an applicable foreign regulatory authority for many reasons, including:</w:t>
      </w:r>
    </w:p>
    <w:p>
      <w:pPr>
        <w:spacing w:after="0" w:line="171"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our proposed indication;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211" w:lineRule="exact"/>
        <w:rPr>
          <w:rFonts w:ascii="Arial" w:cs="Arial" w:eastAsia="Arial" w:hAnsi="Arial"/>
          <w:sz w:val="18"/>
          <w:szCs w:val="18"/>
          <w:color w:val="auto"/>
        </w:rPr>
      </w:pPr>
    </w:p>
    <w:p>
      <w:pPr>
        <w:ind w:left="5540" w:right="3200" w:hanging="5158"/>
        <w:spacing w:after="0" w:line="512" w:lineRule="auto"/>
        <w:tabs>
          <w:tab w:leader="none" w:pos="7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our safety risks;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nonclinical studies or clinical trials;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product candidates to obtain regulatory approval;</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nonclinical and clinical data insufficient for approval.</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FDA or an applicable foreign regulatory authority may require more information, including additional nonclinical or clinical data to support approval, which may delay or prevent approval and our commercialization plans, or we may decide to abandon the development program for other reasons. If we were to obtain approval, regulatory authorities may approve any of our product for fewer more limited indications than we request, may require labeling or a Risk Evaluation Mitigation Strategy (“REMS”)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75"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Failures or delays in the commencement or completion of, or ambiguous or negative results from, our previous and potential clinical trials of our product candidates could result in increased costs to us and could delay, prevent, or limit our ability to generate revenue and continue our business.</w:t>
      </w:r>
    </w:p>
    <w:p>
      <w:pPr>
        <w:spacing w:after="0" w:line="10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do not know whether any of our potential clinical trials will be completed on schedule, if at all, as the commencement and completion of clinical trials can be delayed or prevented for a number of reasons, including, among others:</w:t>
      </w:r>
    </w:p>
    <w:p>
      <w:pPr>
        <w:spacing w:after="0" w:line="171" w:lineRule="exact"/>
        <w:rPr>
          <w:sz w:val="20"/>
          <w:szCs w:val="20"/>
          <w:color w:val="auto"/>
        </w:rPr>
      </w:pPr>
    </w:p>
    <w:p>
      <w:pPr>
        <w:jc w:val="both"/>
        <w:ind w:left="760" w:hanging="378"/>
        <w:spacing w:after="0" w:line="248"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applicable foreign regulatory authorities may not authorize our or our investigators to commence our planned clinical trials or any other clinical trials we may initiate, or may suspend our clinical trials, for example, through imposition of a clinical hold, and may request additional data to permit allowance of our investigational new drug (“IND”);</w:t>
      </w:r>
    </w:p>
    <w:p>
      <w:pPr>
        <w:spacing w:after="0" w:line="18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filing or receiving allowance of additional IND applications that may be required;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adequate funding to continue our clinical trials, such as our previous Phase 2a studies, and nonclinical studies;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results from our ongoing nonclinical studies;</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study sites, the terms of which can be subject to extensive negotiation and may vary significantly among different CROs and study sites;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inability of CROs to perform under these agreements, including due to impacts from the COVID-19 pandemic on their workforce;</w:t>
      </w:r>
    </w:p>
    <w:p>
      <w:pPr>
        <w:spacing w:after="0" w:line="223" w:lineRule="exact"/>
        <w:rPr>
          <w:rFonts w:ascii="Arial" w:cs="Arial" w:eastAsia="Arial" w:hAnsi="Arial"/>
          <w:sz w:val="17"/>
          <w:szCs w:val="17"/>
          <w:color w:val="auto"/>
        </w:rPr>
      </w:pPr>
    </w:p>
    <w:p>
      <w:pPr>
        <w:ind w:left="76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difficulties obtaining ethics committee or Institutional Review Board (“IRB”) approval to conduct a clinical study at a prospective site or sites;</w:t>
      </w:r>
    </w:p>
    <w:p>
      <w:pPr>
        <w:spacing w:after="0" w:line="223" w:lineRule="exact"/>
        <w:rPr>
          <w:rFonts w:ascii="Arial" w:cs="Arial" w:eastAsia="Arial" w:hAnsi="Arial"/>
          <w:sz w:val="17"/>
          <w:szCs w:val="17"/>
          <w:color w:val="auto"/>
        </w:rPr>
      </w:pPr>
    </w:p>
    <w:p>
      <w:pPr>
        <w:jc w:val="both"/>
        <w:ind w:left="760" w:hanging="378"/>
        <w:spacing w:after="0" w:line="248"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18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subjects in a clinical trial;</w:t>
      </w:r>
    </w:p>
    <w:p>
      <w:pPr>
        <w:spacing w:after="0" w:line="21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or regulatory authorities may require us, to conduct additional nonclinical or clinical trials or abandon product development programs;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validating, or inability to validate, any endpoints utilized in a clinical trial;</w:t>
      </w:r>
    </w:p>
    <w:p>
      <w:pPr>
        <w:spacing w:after="0" w:line="211" w:lineRule="exact"/>
        <w:rPr>
          <w:rFonts w:ascii="Arial" w:cs="Arial" w:eastAsia="Arial" w:hAnsi="Arial"/>
          <w:sz w:val="18"/>
          <w:szCs w:val="18"/>
          <w:color w:val="auto"/>
        </w:rPr>
      </w:pPr>
    </w:p>
    <w:p>
      <w:pPr>
        <w:ind w:left="760" w:hanging="378"/>
        <w:spacing w:after="0" w:line="291"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or applicable foreign regulatory authorities may disagree with our clinical study design and our interpretation of data from clinical trials, or may change the requirements for approval even after it has reviewed and commented on the design for our clinical trials; and</w:t>
      </w:r>
    </w:p>
    <w:p>
      <w:pPr>
        <w:spacing w:after="0" w:line="146" w:lineRule="exact"/>
        <w:rPr>
          <w:rFonts w:ascii="Arial" w:cs="Arial" w:eastAsia="Arial" w:hAnsi="Arial"/>
          <w:sz w:val="17"/>
          <w:szCs w:val="17"/>
          <w:color w:val="auto"/>
        </w:rPr>
      </w:pPr>
    </w:p>
    <w:p>
      <w:pPr>
        <w:ind w:left="760" w:right="20" w:hanging="378"/>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retaining subjects who have enrolled in a clinical trial but may be prone to withdraw due to rigors of the clinical trials, lack of efficacy, side effects, personal issues, or loss of interest.</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study may be suspended or terminated by us, the FDA or applicable foreign regulatory authorities, the IRBs at the sites where the IRBs are overseeing a clinical study, a data and safety monitoring board (“DSMB”) overseeing the clinical study at issue or other regulatory authorities due to a number of factors, including, among others:</w:t>
      </w:r>
    </w:p>
    <w:p>
      <w:pPr>
        <w:spacing w:after="0" w:line="188"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conduct the clinical study in accordance with regulatory requirements or our clinical protocols;</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170"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safety issues or safety signals, including any that could be identified in our ongoing nonclinical studies or clinical trials, adverse side effects or lack of effectiveness;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Any inability to successfully complete nonclinical and clinical development could result in additional costs to us or impair our ability to generate revenue. For example, we announced in January 2022 that we were ending our Phase 2a studies of GEM103 early, and we currently do not have any ongoing clinical trials. In addition, if we make changes to a product candidate, such as changes to the formulation, we may need to conduct additional nonclinical studies or clinical trials to bridge or demonstrate the comparability of our modified product candidate to earlier versions, which could delay our clinical development plan or marketing approval for our product candidates. Clinical trial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limited experience in conducting clinical trials and have never obtained approval for any product candidates and may be unable to do so successfully.</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a company, we have limited experience in designing, conducting or completing clinical trials and have never progressed a product candidate through to regulatory approval. In part because of this lack of experience, to the extent we continue to pursue product development, our potential clinical trials may require more time and incur greater costs than we anticipate, and we may not have sufficient resources to complete these trials. We cannot be certain that the planned clinical trials will begin or conclude on time, if at all. Large-scale trials will require significant additional financial and management resources. Any performance failure on the part of such third parties could delay the clinical development of our product candidates or delay or prevent us from obtaining regulatory approval or commercializing our product candidates, depriving us of potential product revenue and resulting in additional losses.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 Changes in regulations,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jc w:val="both"/>
        <w:spacing w:after="0" w:line="248" w:lineRule="auto"/>
        <w:rPr>
          <w:sz w:val="20"/>
          <w:szCs w:val="20"/>
          <w:color w:val="auto"/>
        </w:rPr>
      </w:pPr>
      <w:r>
        <w:rPr>
          <w:rFonts w:ascii="Arial" w:cs="Arial" w:eastAsia="Arial" w:hAnsi="Arial"/>
          <w:sz w:val="18"/>
          <w:szCs w:val="18"/>
          <w:color w:val="auto"/>
        </w:rPr>
        <w:t>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March 2010, the Patient Protection and Affordable Care Act, as amended by the Health Care and Education Reconciliation Act of 2010 (collectively, the “Affordable Care Act”), was enacted, which includes measures that has significantly changed the way health care is financed by both governmental and private insurers. Since its enactment, there have been numerous judicial, administrative, executive, and legislative challenges to certain aspects of the Affordable Care Act. On June 17, 2021, the U.S. Supreme Court dismissed the most recent judicial challenge to the Affordable Care Act brought by several states without specifically ruling on the constitutionality of the Affordable Care Act. Prior to the Supreme Court's decision, the current President of the United States issued an Executive Order to initiate a special enrollment period from February 15, 2021 through August 15, 2021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other healthcare reform measures of the current administrations or other efforts, if any, to challenge repeal or replace the Affordable Care Act, will impact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 addition, other legislative and regulatory changes have been proposed and adopted in the United States since the Affordable Care Act was enacted:</w:t>
      </w:r>
    </w:p>
    <w:p>
      <w:pPr>
        <w:spacing w:after="0" w:line="127" w:lineRule="exact"/>
        <w:rPr>
          <w:sz w:val="20"/>
          <w:szCs w:val="20"/>
          <w:color w:val="auto"/>
        </w:rPr>
      </w:pPr>
    </w:p>
    <w:p>
      <w:pPr>
        <w:jc w:val="both"/>
        <w:ind w:left="1020" w:hanging="503"/>
        <w:spacing w:after="0" w:line="24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will resume on July 1, 2022.</w:t>
      </w:r>
    </w:p>
    <w:p>
      <w:pPr>
        <w:spacing w:after="0" w:line="81"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January 2, 2013, the U.S. American Taxpayer Relief Act of 2012 was signed into law, which, among other things, further reduced Medicare payments to several types of providers.</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Affordable Care Act for plans sold through such marketplaces.</w:t>
      </w:r>
    </w:p>
    <w:p>
      <w:pPr>
        <w:spacing w:after="0" w:line="73" w:lineRule="exact"/>
        <w:rPr>
          <w:rFonts w:ascii="Arial" w:cs="Arial" w:eastAsia="Arial" w:hAnsi="Arial"/>
          <w:sz w:val="18"/>
          <w:szCs w:val="18"/>
          <w:color w:val="auto"/>
        </w:rPr>
      </w:pPr>
    </w:p>
    <w:p>
      <w:pPr>
        <w:jc w:val="both"/>
        <w:ind w:left="1020" w:hanging="503"/>
        <w:spacing w:after="0" w:line="24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81"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December 20, 2019, the former President of the United States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a federal level, the current President of the United States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jc w:val="both"/>
        <w:spacing w:after="0" w:line="267" w:lineRule="auto"/>
        <w:rPr>
          <w:sz w:val="20"/>
          <w:szCs w:val="20"/>
          <w:color w:val="auto"/>
        </w:rPr>
      </w:pPr>
      <w:r>
        <w:rPr>
          <w:rFonts w:ascii="Arial" w:cs="Arial" w:eastAsia="Arial" w:hAnsi="Arial"/>
          <w:sz w:val="16"/>
          <w:szCs w:val="16"/>
          <w:color w:val="auto"/>
        </w:rPr>
        <w:t>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(“MFN”) Model under which Medicare Part B reimbursement rates would have been be calculated for certain drugs and biologicals based on the lowest price drug manufacturers receive in Organization for Economic Cooperation and Development countries with a similar gross domestic product per capita. However, on December 29, 2021, CMS rescinded the Most Favored 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Although a number of these and other proposed measures may require authorization through additional legislation to become effective, and the current administration may reverse or otherwise change these measures, both the current administration and Congress have indicated that they will continue to seek new legislative measures to control drug costs. We expect that the healthcare reform measures that has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There has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18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and if approved, markets, sells and distributes our products. Restrictions under applicable federal and state healthcare laws and regulations, include the following:</w:t>
      </w:r>
    </w:p>
    <w:p>
      <w:pPr>
        <w:spacing w:after="0" w:line="189" w:lineRule="exact"/>
        <w:rPr>
          <w:sz w:val="20"/>
          <w:szCs w:val="20"/>
          <w:color w:val="auto"/>
        </w:rPr>
      </w:pPr>
    </w:p>
    <w:p>
      <w:pPr>
        <w:jc w:val="both"/>
        <w:ind w:left="760" w:hanging="378"/>
        <w:spacing w:after="0" w:line="262" w:lineRule="auto"/>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jc w:val="both"/>
        <w:ind w:left="760" w:hanging="378"/>
        <w:spacing w:after="0" w:line="262"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federal civil and criminal false claims laws and civil monetary penalty laws, including the federal False Claims Act, which can be enforced through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w:t>
      </w:r>
    </w:p>
    <w:p>
      <w:pPr>
        <w:spacing w:after="0" w:line="172" w:lineRule="exact"/>
        <w:rPr>
          <w:rFonts w:ascii="Arial" w:cs="Arial" w:eastAsia="Arial" w:hAnsi="Arial"/>
          <w:sz w:val="17"/>
          <w:szCs w:val="17"/>
          <w:color w:val="auto"/>
        </w:rPr>
      </w:pPr>
    </w:p>
    <w:p>
      <w:pPr>
        <w:jc w:val="both"/>
        <w:ind w:left="760" w:hanging="378"/>
        <w:spacing w:after="0" w:line="243"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87" w:lineRule="exact"/>
        <w:rPr>
          <w:rFonts w:ascii="Arial" w:cs="Arial" w:eastAsia="Arial" w:hAnsi="Arial"/>
          <w:sz w:val="18"/>
          <w:szCs w:val="18"/>
          <w:color w:val="auto"/>
        </w:rPr>
      </w:pPr>
    </w:p>
    <w:p>
      <w:pPr>
        <w:jc w:val="both"/>
        <w:ind w:left="760" w:hanging="378"/>
        <w:spacing w:after="0" w:line="24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(“HITECH”) and their implementing regulations, imposes obligations on certain healthcare providers, health plans and healthcare clearinghouses, known as covered entities, as well as their business associates, which are individuals and entities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8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rFonts w:ascii="Arial" w:cs="Arial" w:eastAsia="Arial" w:hAnsi="Arial"/>
          <w:sz w:val="18"/>
          <w:szCs w:val="18"/>
          <w:color w:val="auto"/>
        </w:rPr>
      </w:pPr>
    </w:p>
    <w:p>
      <w:pPr>
        <w:jc w:val="both"/>
        <w:ind w:left="760" w:hanging="378"/>
        <w:spacing w:after="0" w:line="274"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Effective January 1, 2022, these reporting obligations extend to include transfers of value made to certain non-physician providers (physician assistants, nurse practitioners, clinical nurse specialists, certified registered nurse anesthetists and anesthesiologist assistants, and certified-nurse midwives); and</w:t>
      </w:r>
    </w:p>
    <w:p>
      <w:pPr>
        <w:spacing w:after="0" w:line="163" w:lineRule="exact"/>
        <w:rPr>
          <w:rFonts w:ascii="Arial" w:cs="Arial" w:eastAsia="Arial" w:hAnsi="Arial"/>
          <w:sz w:val="16"/>
          <w:szCs w:val="16"/>
          <w:color w:val="auto"/>
        </w:rPr>
      </w:pPr>
    </w:p>
    <w:p>
      <w:pPr>
        <w:jc w:val="both"/>
        <w:ind w:left="760" w:hanging="378"/>
        <w:spacing w:after="0" w:line="238"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jc w:val="both"/>
        <w:spacing w:after="0" w:line="324"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California Consumer Privacy Act of 2018 (“CCPA”)), that govern the collection, use, disclosure and protection of health-related and other personal information could apply to our operations or the operations of our collaborators. The state of California, for example, recently adopted the CCPA, which will come into effect beginning in January 2020. The CCPA has been characterized as the first “GDPR-like” privacy statute to be enacted in the United States because it mirrors a number of the key provisions of the European Union General Data Protection Regulation (“EU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Compliance with U.S. and international data protection laws and regulations, including the EU GDPR and other EU data protection laws,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Clinical development is uncertain, and our clinical trials for GEM103 and any other product candidates may experience delays, which would adversely affect our ability to obtain regulatory approvals or commercialize these programs on a timely basis or at all, which would have an adverse effect on our business.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cannot be sure that we will be able to submit INDs or similar applications for our preclinical programs on the timelines we expect, if at all. To proceed with our development plans and ultimately commercialization, we may need to conduct and meet regulatory requirements for preclinical and clinical studies. For therapeutic applications, the FDA may require additional extensive preclinical and other studies. We cannot be certain of the timely completion or outcomes of our preclinical testing and studies and cannot predict if the FDA or other regulatory authorities will accept our proposed clinical programs or if the outcomes of our preclinical testing and studies will ultimately support the further development of our programs. As a result, there is no assurance that we will be able to submit INDs or similar applications on the timelines we expect, if at all, and we cannot be sure that submission of an IND or similar applications will result in the FDA or other regulatory authorities allowing a clinical trial design to begin.</w:t>
      </w:r>
    </w:p>
    <w:p>
      <w:pPr>
        <w:spacing w:after="0" w:line="18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Even if we are able to obtain regulatory approvals for our product candidates, if they exhibit harmful side effects after approval, our regulatory approvals could be revoked or otherwise negatively impacted, and we could be subject to costly and damaging product liability claims.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has significant variability. Even if we receive regulatory approval for GEM103 or any of our other product candidates, we will have tested them in only a small number of patients during our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jc w:val="both"/>
        <w:spacing w:after="0" w:line="252" w:lineRule="auto"/>
        <w:rPr>
          <w:sz w:val="20"/>
          <w:szCs w:val="20"/>
          <w:color w:val="auto"/>
        </w:rPr>
      </w:pPr>
      <w:r>
        <w:rPr>
          <w:rFonts w:ascii="Arial" w:cs="Arial" w:eastAsia="Arial" w:hAnsi="Arial"/>
          <w:sz w:val="17"/>
          <w:szCs w:val="17"/>
          <w:color w:val="auto"/>
        </w:rPr>
        <w:t>identified. Further, even larger clinical trials may not identify rare serious adverse effects or the duration of such studies may not be sufficient to identify when those events may occur. If our applications for marketing are approved and more patients begin to use our product, new risks and side effects associated with our products may be discovered. There have been other products that have been approved by the regulatory authorities but for which safety concerns has been uncovered following approval. Such safety concerns have led to labelling changes or withdrawal of products from the market, and any of our product candidates may be subject to similar risks. Additionally, we may be required to conduct additional nonclinical and clinical trials, require additional warnings on the label of our products, reformulate our product or make changes, create a medication guide outlining the risks of such side effects for distribution to patients and obtain new approvals for our and our suppliers’ manufacturing facilities for GEM103 and any other product candidates. We might have to withdraw or recall our products from the marketplace. We may also experience a significant drop in the potential sales of our products if and when regulatory approvals for such products are obtained, experience harm to our reputation in the marketplace or become subject to lawsuits, including class actions. Any of these results could decrease or prevent any sales of our approved products or substantially increase the costs and expenses of commercializing and marketing our products.</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will remain subject to extensive regulatory scrutiny and may still face future development and regulatory difficulties.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Even if we obtain regulatory approval for a product candidate, regulatory authorities may still impose significant restrictions on our product candidates, including their indicated uses or marketing, or impose ongoing requirements for potentially costly post-approval studies. Further, even if we obtain regulatory approval for a product candidate, we would be subject to ongoing requirements by the governing the manufacture, quality control, further development, labeling, packaging, storage, distribution, tracking and tracing, safety surveillance, import, export, advertising, promotion, recordkeeping and reporting of safety and other post-market information.</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FDA and applicable foreign regulatory authorities will continue to closely monitor the safety profile of any product even after approval. If the FDA or applicable foreign regulatory authorities become aware of new safety information after approval of our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manufacturers of drug and biologic products and their facilities are subject to continual review and periodic inspections by the FDA and other regulatory authorities for compliance with current good manufacturing practice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191" w:lineRule="exact"/>
        <w:rPr>
          <w:sz w:val="20"/>
          <w:szCs w:val="20"/>
          <w:color w:val="auto"/>
        </w:rPr>
      </w:pPr>
    </w:p>
    <w:p>
      <w:pPr>
        <w:ind w:left="760" w:hanging="378"/>
        <w:spacing w:after="0"/>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issue safety alerts, Dear Healthcare Provider letters, press releases or other communications containing warnings about such product;</w:t>
      </w:r>
    </w:p>
    <w:p>
      <w:pPr>
        <w:spacing w:after="0" w:line="223" w:lineRule="exact"/>
        <w:rPr>
          <w:rFonts w:ascii="Arial" w:cs="Arial" w:eastAsia="Arial" w:hAnsi="Arial"/>
          <w:sz w:val="17"/>
          <w:szCs w:val="17"/>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applicable foreign regulatory authorities will heavily scrutinize advertising and promotion of any product candidate that obtains approval outside of the United States.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and biologic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has increased significantly in volume and breadth, leading to several substantial civil and criminal settlements regarding certain sales practices promoting off-label product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adopt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Healthcare insurance coverage and reimbursement may be limited or unavailable for our product candidates, if approved, which could make it difficult for us to sell our product candidates profitably.</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To the extent we continue to pursue product development, the success of our product candidates, if approved, depends on the availability of coverage and adequate reimbursement from third-party payors including governmental healthcare programs, such as Medicare and Medicaid, commercial payors, and health maintenance organizations.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Coverage and adequate reimbursement from third-party payors is critical to new product acceptance.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Third-party payors decide which products and treatments they will cover and the amount of reimbursement. Coverage and reimbursement by a third-party payor may depend upon a number of factors, including the third-party payor’s determination that use of a product is:</w:t>
      </w:r>
    </w:p>
    <w:p>
      <w:pPr>
        <w:spacing w:after="0" w:line="171" w:lineRule="exact"/>
        <w:rPr>
          <w:sz w:val="20"/>
          <w:szCs w:val="20"/>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our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has their own methods and approval process apart from Medicare determinations. Even if we obtains coverage for a given product, the resulting reimbursement payment rates might not be adequate for us to achieve or sustain profitability or may require co-payments that patients find unacceptably high.</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tend to be significantly lower.</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Even if our products are approved for marketing in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applicable foreign regulatory authorities and compliance with applicable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has a negative effect on the regulatory approval process in others.</w:t>
      </w:r>
    </w:p>
    <w:p>
      <w:pPr>
        <w:spacing w:after="0" w:line="16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Also, regulatory approval for our product candidates may be withdrawn if we fail to comply with regulatory requirements, if problems occur after the product candidate reaches the market or for other reasons. If we fail to comply with the regulatory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7"/>
          <w:szCs w:val="17"/>
          <w:color w:val="auto"/>
        </w:rPr>
        <w:t>requirements in international markets and fail to receive applicable marketing approvals, our target market will be reduced and our ability to realize the full market potential of our product candidates will be harmed and our business will be adversely affected. We may not obtain applicable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our product candidates by applicable foreign regulatory authorities, we will be unable to commercialize our product in that country, and the commercial prospects of that product candidate and our business prospects could decline.</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has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our business may rely, which could negatively impact our business.</w:t>
      </w:r>
    </w:p>
    <w:p>
      <w:pPr>
        <w:spacing w:after="0" w:line="14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has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has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the Business Combination and in our operations as a public company, future government shutdowns could impact our ability to access the public markets and obtain necessary capital in order to properly capitalize and continue our operations.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Separately, since March 2020 when foreign and domestic inspections of facilities were largely placed on hold due to the COVID-19 pandemic,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jc w:val="both"/>
        <w:spacing w:after="0" w:line="243" w:lineRule="auto"/>
        <w:rPr>
          <w:sz w:val="20"/>
          <w:szCs w:val="20"/>
          <w:color w:val="auto"/>
        </w:rPr>
      </w:pPr>
      <w:r>
        <w:rPr>
          <w:rFonts w:ascii="Arial" w:cs="Arial" w:eastAsia="Arial" w:hAnsi="Arial"/>
          <w:sz w:val="18"/>
          <w:szCs w:val="18"/>
          <w:color w:val="auto"/>
        </w:rPr>
        <w:t>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the FDA becomes unable to continue its current level of performance, we could experience delays and setbacks for our product candidates and for any approvals we may seek which could adversely affect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GEM103 and other product candidates for which we may choose to seek approval as biologic products may face competition sooner than anticipated.</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GEM103 and GEM307 are a biological product candidates. We believe that any of our product candidates approved in the United States as a biological product under a Biologics License Application (“BLA”) should qualify for the 12-year period of regulatory exclusivity. The enactment of the Biologics Price Competition and Innovation Act of 2009 (“BPCIA”) as part of the Affordable Care Act,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However, there is also a risk that this exclusivity could be changed in the future. For example, this exclusivity could be shortened due to congressional action or through other actions, including future proposed budgets, international trade agreements and other arrangements or proposals. The extent to which a biosimilar, once approved, will be substituted for any one of its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the extent that we do not receive any anticipated periods of regulatory exclusivity for GEM103 and other product candidates or the FDA or foreign regulatory authorities approve any biosimilar, interchangeable, or other competing products to GEM103 and other product candidates, it could have a material adverse effect on our business, financial condition, results of operations, stock price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 It is difficult and costly to protect our proprietary rights and technology, and we may not be able to ensure their protection.</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GEM103 and our other product candidates, proprietary patient screening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Finally, we maintain our non-patented, but proprietary technologies, as company trade secrets.</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jc w:val="both"/>
        <w:spacing w:after="0" w:line="241"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currently do not have any company-owned or in-licensed patents covering GEM103. Although we are pursuing pending patent applications on GEM103, these applications may not issue as patents and as a result we may not be able to prevent biosimilars to GEM103 from entering the market when the market exclusivity period has expired. We cannot be certain that the claims in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patent or our licensor’s issued patents will not be found invalid or unenforceable if challenged.</w:t>
      </w:r>
    </w:p>
    <w:p>
      <w:pPr>
        <w:spacing w:after="0" w:line="175"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182" w:lineRule="exact"/>
        <w:rPr>
          <w:sz w:val="20"/>
          <w:szCs w:val="20"/>
          <w:color w:val="auto"/>
        </w:rPr>
      </w:pPr>
    </w:p>
    <w:p>
      <w:pPr>
        <w:jc w:val="both"/>
        <w:ind w:left="760" w:hanging="378"/>
        <w:spacing w:after="0" w:line="24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8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181"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patent prosecution process is also expensive and time-consuming, and we or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intellectual property rights or technology necessary to develop and commercialize our product candidates.</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Several third parties are actively researching and seeking and obtaining patent protection in the AMD field, and there are issued third-party patents and published third-party patent applications in these fields. Although no third party has asserted a claim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jc w:val="both"/>
        <w:spacing w:after="0" w:line="255" w:lineRule="auto"/>
        <w:rPr>
          <w:sz w:val="20"/>
          <w:szCs w:val="20"/>
          <w:color w:val="auto"/>
        </w:rPr>
      </w:pPr>
      <w:r>
        <w:rPr>
          <w:rFonts w:ascii="Arial" w:cs="Arial" w:eastAsia="Arial" w:hAnsi="Arial"/>
          <w:sz w:val="17"/>
          <w:szCs w:val="17"/>
          <w:color w:val="auto"/>
        </w:rPr>
        <w:t>patent infringement against us as of the date of this annual report, a third party may hold proprietary rights that could prevent our product candidates from being marketed. For example, we are aware of an issued European patent expiring in 2026 that claims an isolated CFH polypeptide which could be alleged to cover GEM103. While we believe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We may not be aware of all third-party intellectual property rights potentially relating to our product candidates and technologies.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depending on the ultimate formulation and method of use of our product candidates, we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reasons, we may lose our rights to in-licensed technologies.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including the license agreement with Sanquin Blood Supply Foundation related to anti-CFH agonistic antibodies, we may be required to pay damages and could lose intellectual property rights that are necessary for developing and protecting our product candidates.</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dependent on patents, know-how and proprietary technology in-licensed from Sanquin Blood Supply Foundation and other licensors. Our commercial success depends upon our ability to develop, manufacture, market and sell our product candidates and use our and our licensor’s proprietary technologies without infringing the proprietary rights of third parties. Sanquin Blood Supply Foundation and other licensors may have the right to terminate the license agreement in full in the event we materially breach or default in the performance of any of the obligations under the license agreement. A termination of the license agreement with Sanquin Blood Supply Foundation or other licensors could result in the loss of significant rights and could harm our ability to commercialize our product candidates.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Disputes may also arise between us and Sanquin Blood Supply Foundation, as well as any current or future potential licensors, regarding intellectual property subject to a license agreement, including:</w:t>
      </w:r>
    </w:p>
    <w:p>
      <w:pPr>
        <w:spacing w:after="0" w:line="171"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1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70"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jc w:val="both"/>
        <w:spacing w:after="0" w:line="261"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the Research Collaboration and License Agreement under which we currently license intellectual property is complex, and certain provisions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Research Collaboration and License Agreement, either of which could has a material adverse effect on our business, financial condition, results of operations, and prospects. Moreover, if disputes over intellectual property that we have licensed prevent or impair our ability to maintain our current licensing arrangement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14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Currently, we do not own or have in-licensed issued patents covering GEM103.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and our licensor may not be able to prevent third parties from practicing our and our licensor’s inventions in all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further, may export otherwise infringing products to territories where we and our licensor have patent protection, but enforcement is not as strong as that in the United States. These products may compete with our product candidates our and our licensor’s patents or other intellectual property rights may not be effective or sufficient to prevent them from competing.</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jc w:val="both"/>
        <w:spacing w:after="0" w:line="239" w:lineRule="auto"/>
        <w:rPr>
          <w:sz w:val="20"/>
          <w:szCs w:val="20"/>
          <w:color w:val="auto"/>
        </w:rPr>
      </w:pPr>
      <w:r>
        <w:rPr>
          <w:rFonts w:ascii="Arial" w:cs="Arial" w:eastAsia="Arial" w:hAnsi="Arial"/>
          <w:sz w:val="18"/>
          <w:szCs w:val="18"/>
          <w:color w:val="auto"/>
        </w:rPr>
        <w:t>patents and other intellectual property protection, particularly those relating to biotechnology. This could make it difficult for us and our licensor to stop the infringement of our and our licensor’s patents or the marketing of competing products in violation of our and our licensor’s proprietary rights, generally. Proceedings to enforce our and our licensor’s patent rights in foreign jurisdictions could result in substantial costs and divert our and our licensor’s efforts and attention from other aspects of our business, could put our and our licensor’s patents at risk of being invalidated or interpreted narrowly, could place our and our licensor’s patent applications at risk of not issuing and could provoke third parties to assert claims against our or our licensor. Our or our licensor may not prevail in any lawsuits that our or our licensor initiates and the damages or other remedies awarded, if any, may not be commercially meaningful.</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our and our licensor may have limited remedies if patents are infringed or if our or our licensor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and our licensor’s efforts to enforce intellectual property rights around the world may be inadequate to obtain a significant commercial advantage from the intellectual property that we owns or licenses.</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 fails to maintain the patents and patent applications covering our product candidates, our competitors might be able to enter the market with similar or identical products or technology, which would have a material adverse effect on our business, financial condition and results of operations.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Third parties may infringe on our or our licensor’s patents or misappropriate or otherwise violate our or our licensor’s intellectual property rights. In the future, we or our licensor may initiate legal proceedings to enforce or defend our or our licensor’s intellectual property rights, to protect our or our licensor’s trade secrets or to determine the validity or scope of intellectual property rights we own or controls. Also, third parties may initiate legal proceedings against our or our licensor to challenge the validity or scope of intellectual property rights we own, controls or to which we have rights. For example, generic or biosimilar drug manufacturers or other competitors or third parties may challenge the scope, validity or enforceability of our or our licensor’s patents, requiring us or our licensor to engage in complex, lengthy and costly litigation or other proceedings. These proceedings can be expensive and time-consuming and many of our or our licensor’s adversaries in these proceedings may have the ability to dedicate substantially greater resources to prosecuting these legal actions than we can. Moreover, the outcome following legal assertions of invalidity and unenforceability is unpredictable. Accordingly, despite our or our licensor’s efforts, we or our licensor may not be able to prevent third parties from infringing upon or misappropriating intellectual property rights we own, controls or has rights to, particularly in countries where the laws may not protect those rights as fully as in the United States. Litigation could result in substantial costs and diversion of management resources, which could harm our business and financial results. In addition, if we or our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7"/>
          <w:szCs w:val="17"/>
          <w:color w:val="auto"/>
        </w:rPr>
        <w:t>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we or our licensor’s patents do not cover the technology in question. An adverse result in any litigation proceeding could put one or more of our or our licensor’s patents at risk of being invalidated, narrowed, held unenforceable or interpreted in such a manner that would not preclude third parties from entering the market with competing products.</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revocation 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other pre-issuance or post-grant proceedings or other patent office proceedings or litigation in the United States or other jurisdictions provoked by third parties or brought by us or our licensor, may be necessary to determine the inventorship, priority, patentability or validity of inventions with respect to our or our licensor’s patents or patent applications. An unfavorable outcome could leave our technology or product candidates without patent protection, allow third parties to commercialize our technology or product candidates and compete directly with us, without payment to us, or could require us or our licensor to obtain license rights from the prevailing party in order to be able to manufacture or commercialize our product candidates without infringing third-party patent rights. Our business could be harmed if the prevailing party does not offer us or our licensor a license on commercially reasonable terms, or at all. Even if we or our licensor obtains a license, it may be non-exclusive, thereby giving our competitors access to the same technologies licensed to us or our licensor. In addition, if the breadth or strength of protection provided by our or our licensor’s patents and patent applications is threatened, it could dissuade companies from collaborating with us to license, develop or commercialize product candidates. Even if we successfully defends such litigation or proceeding, we may incur substantial costs and it may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collaborations.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which may make defending or enforcing our or our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are infringing on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Our commercial success depends upon our ability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or our licensor alleging that we or our licensor is infringing on their intellectual property rights or we or our licensor may initiate legal proceedings against third parties to challenge the validity or scope of intellectual property rights controlled by third parties, including in oppositions, revocations,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derivation proceedings before the USPTO or its counterparts in other jurisdictions. These proceedings can be expensive and time-consuming and many of our or our licensor’s adversaries in these proceedings may have the ability to dedicate substantially greater resources to prosecuting these legal actions than we or our licensor can.</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 unfavorable outcome in any such proceeding could require us or our licensor to cease using the related technology or developing or commercializing our product candidates, or to attempt to license rights to it from the prevailing party, which may not be available on commercially reasonable terms, or at all.</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and/or patentability of our product candidates. In general, such searches are conducted based on keywords,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jc w:val="both"/>
        <w:spacing w:after="0" w:line="261" w:lineRule="auto"/>
        <w:rPr>
          <w:sz w:val="20"/>
          <w:szCs w:val="20"/>
          <w:color w:val="auto"/>
        </w:rPr>
      </w:pPr>
      <w:r>
        <w:rPr>
          <w:rFonts w:ascii="Arial" w:cs="Arial" w:eastAsia="Arial" w:hAnsi="Arial"/>
          <w:sz w:val="18"/>
          <w:szCs w:val="18"/>
          <w:color w:val="auto"/>
        </w:rPr>
        <w:t>sequences, inventors/authors and assignees/entities to capture U.S. and European patents and patent applications, PCT publications and scientific journal articles.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patent landscape around our GEM103 product candidate is complex, and we may not be aware of all third-party intellectual property rights potentially relating to our product candidates and technologies. Although no third party has asserted a claim of patent infringement against us as of the date of this annual report, a third party may hold proprietary rights that could prevent our product candidates from being marketed. For example, we are aware of an issued European patent expiring in 2026 that claims an isolated CFH polypeptide which could be alleged to cover GEM103. While we believe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Moreover, it is possible that we may become aware of patents or pending patent applications that we think do not relate to our product candidates or that we believe are invalid or unenforceable, but that may nevertheless be interpreted to encompass our product candidates and to be valid and enforceable. As to pending third-party applications, we cannot predict with any certainty which claims will issue, if any, or the scope of such issued claims. If any third party intellectual property claims are asserted against us, even if we believe the claims are without merit, there is no assurance that a court would find in our favor, e.g., on questions of infringement, validity, enforceability or priority. A court of competent jurisdiction could hold that these third-party patents are valid, enforceable and infringed, which could materially and adversely affect our ability and the ability of our licensor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our licensor or other commercialization partners and we were unable to successfully challenge the validity or enforceability of any such asserted patents, then we or our licensor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our business.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 Any of the foregoing would have a material adverse effect on our business, financial condition and operating results.</w:t>
      </w:r>
    </w:p>
    <w:p>
      <w:pPr>
        <w:spacing w:after="0" w:line="3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a third party’s intellectual property, or claiming ownership of what we regards as our own intellectual property.</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Many of our employees, including our senior management, were previously employed at other biotechnology or pharmaceutical companies, including our competitors or potential competitors. Some of these employees executed proprietary rights, non-disclosure and non-competition agreements in connection with such previous employment.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prosecutes or defends against such claims, litigation could result in substantial costs and distract management.</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jc w:val="both"/>
        <w:spacing w:after="0" w:line="324" w:lineRule="auto"/>
        <w:rPr>
          <w:sz w:val="20"/>
          <w:szCs w:val="20"/>
          <w:color w:val="auto"/>
        </w:rPr>
      </w:pPr>
      <w:r>
        <w:rPr>
          <w:rFonts w:ascii="Arial" w:cs="Arial" w:eastAsia="Arial" w:hAnsi="Arial"/>
          <w:sz w:val="16"/>
          <w:szCs w:val="16"/>
          <w:color w:val="auto"/>
        </w:rPr>
        <w:t>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to seeking patents for some of our technology and products, in our activities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CMOs, consultants, advisors and other third parties. We also enters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you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1" w:lineRule="exact"/>
        <w:rPr>
          <w:sz w:val="20"/>
          <w:szCs w:val="20"/>
          <w:color w:val="auto"/>
        </w:rPr>
      </w:pPr>
    </w:p>
    <w:p>
      <w:pPr>
        <w:ind w:left="760" w:hanging="378"/>
        <w:spacing w:after="0" w:line="261"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70"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make the inventions covered by the issued patents and pending patent applications that we license or may own in the future;</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or our current or future collaborators, might not have been the first to file patent applications covering certain of our or their inventions;</w:t>
      </w:r>
    </w:p>
    <w:p>
      <w:pPr>
        <w:spacing w:after="0" w:line="223" w:lineRule="exact"/>
        <w:rPr>
          <w:rFonts w:ascii="Arial" w:cs="Arial" w:eastAsia="Arial" w:hAnsi="Arial"/>
          <w:sz w:val="17"/>
          <w:szCs w:val="17"/>
          <w:color w:val="auto"/>
        </w:rPr>
      </w:pPr>
    </w:p>
    <w:p>
      <w:pPr>
        <w:ind w:left="760" w:right="20" w:hanging="378"/>
        <w:spacing w:after="0" w:line="261"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223" w:lineRule="exact"/>
        <w:rPr>
          <w:rFonts w:ascii="Arial" w:cs="Arial" w:eastAsia="Arial" w:hAnsi="Arial"/>
          <w:sz w:val="17"/>
          <w:szCs w:val="17"/>
          <w:color w:val="auto"/>
        </w:rPr>
      </w:pPr>
    </w:p>
    <w:p>
      <w:pPr>
        <w:ind w:left="760" w:hanging="378"/>
        <w:spacing w:after="0" w:line="261"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1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these events occur, they could have a material adverse effect on our business, financial condition, results of operations and prospects.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i w:val="1"/>
          <w:iCs w:val="1"/>
          <w:color w:val="auto"/>
        </w:rPr>
        <w:t>Patents that ultimately issue that cover our product candidates could be found invalid or unenforceable if challenged in court or the USPTO.</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If we or our licensing partner initiate legal proceedings against a third party to enforce a patent, if obtained, covering our product candidates, the defendant could counterclaim that the patent covering our product candidates,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A loss of patent protection for our product candidates could have a material adverse impact on our ability to commercialize or license our technology and product candidates and, resultantly, on our business, financial condition, prospects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our and our licensor’s ability to obtain new patents or to enforce existing patents and patents we and our licensor may obtain in the future.</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Patent reform laws, such as the Leahy-Smith America Invents Act (“Leahy-Smith Act”), as well as changes in how patent laws are interpreted, could increase the uncertainties and costs surrounding the prosecution of our and our licensor’s patent applications and the enforcement or defense of our or our licensor’s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has on the operation of our business. However, the Leahy-Smith Act and our implementation could increase the uncertainties and costs surrounding the prosecution of our or our licensor’s patent applications and the enforcement or defense of our or our licensor’s issued patents, all of which could has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may rely on third parties to conduct our clinical trials. If these third parties do not successfully carry out their contractual duties or meet expected deadlines or comply with regulatory requirements, we may not be able to obtain regulatory approval of or commercialize any potential product candidates.</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continue to depend upon third parties, including independent investigators, to conduct our clinical trials under agreements with universities, medical institutions, CROs, strategic partners and others. We continue to negotiate budgets and contracts with CROs and trial sites, which may result in delays to our development timelines and increased costs.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jc w:val="both"/>
        <w:spacing w:after="0" w:line="251" w:lineRule="auto"/>
        <w:rPr>
          <w:sz w:val="20"/>
          <w:szCs w:val="20"/>
          <w:color w:val="auto"/>
        </w:rPr>
      </w:pPr>
      <w:r>
        <w:rPr>
          <w:rFonts w:ascii="Arial" w:cs="Arial" w:eastAsia="Arial" w:hAnsi="Arial"/>
          <w:sz w:val="17"/>
          <w:szCs w:val="17"/>
          <w:color w:val="auto"/>
        </w:rPr>
        <w:t>We continue to rely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our reliance on third parties does not relieve us of our regulatory responsibilities and we are responsible for ensuring that each of our trials is conducted in accordance with the applicable protocol, legal and regulatory requirements and scientific standards. We and these third parties are required to comply with good clinical practice (“GCP”) requirements, which are regulations and guidelines enforced by the FDA and applicable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applicable foreign regulatory authorities may require us to suspend or terminate these trials or perform additional nonclinical studies or clinical trials before approving our marketing applications. We cannot be certain that, upon inspection, regulatory authorities will determine that any of our clinical trials comply with the GCP requirements. In addition, our clinical trials must be conducted with products produced under cGMP requirements and may require a large number of patients. Our failure or any failure by these third parties to comply with these applicable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third parties who may conduct our future clinical trials will not be our employees and, except for remedies that may be available to us under our agreements with those third parties, we cannot control whether or not they devote sufficient time and resources to our ongoing nonclinical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in a timely manner or at all. As a result, our financial results and the commercial prospects for our product candidates would be harmed, our costs could increase and our ability to generate revenue could be delayed.</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our ability to meet our desired clinical development timelines. Though we carefully manages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If CROs do not successfully carry out their contractual duties or obligations or meet expected deadlines or if the quality or accuracy of the clinical data they obtain is compromised due to the failure (including by clinical sites or investigators)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revenues could be delayed significantly.</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testing and expects to continue to do so for clinical trials and for commercialization, if approved. This reliance on third parties increases the risk that we will not have sufficient quantities of our product candidates or products, if approved, or that such supply will not be available to us at an acceptable cost, which could delay, prevent or impair our development or commercialization efforts.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do not have any manufacturing facilities. We currently rely, and expects to continue to rely, on third-party manufacturers for the manufacture of our product candidates for nonclinical and clinical testing and for commercial supply of any of these product candidates for which we obtain marketing approval. Reliance on third-party manufacturers may expose us to different risks than if we were to manufacture product candidates ourselves. Any disruption in supply from any supplier or manufacturing location, including on account of the ongoing COVID-19 pandemic, could lead to supply delays or interruptions which would damage our business, financial condition, results of operations and prospects. To the extent any issues arise with our third-party manufacturers, we may be unable to establish any agreements with any other third-party manufacturers or to do so on acceptable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terms. Even if we are able to establish agreements with third-party manufacturers, reliance on third-party manufacturers entails additional risks, including:</w:t>
      </w:r>
    </w:p>
    <w:p>
      <w:pPr>
        <w:spacing w:after="0" w:line="235" w:lineRule="exact"/>
        <w:rPr>
          <w:sz w:val="20"/>
          <w:szCs w:val="20"/>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Third-party manufacturers may not be able to comply with cGMP regulations or applicable foreign regulatory requirements.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product candidates and harm our business and results of operations.</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product candidates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for bulk drug substances. If any one of our current CMOs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171"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b w:val="1"/>
          <w:bCs w:val="1"/>
          <w:i w:val="1"/>
          <w:iCs w:val="1"/>
          <w:color w:val="auto"/>
        </w:rPr>
        <w:t>The manufacturing of our product candidates is complex, and we may encounter difficulties in production. If we or any of our third-party manufacturers encounter such difficulties, or fails to meet rigorously enforced regulatory standards, our ability to provide supply of our product candidates for clinical trials or our products for patients, if approved, could be delayed or stopped, or we may be unable to maintain a commercially viable cost structure.</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processes involved in manufacturing our product candidates are complex, expensive, highly-regulated,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the manufacturing process for any products that we may develop is subject to FDA and other applicable foreign regulatory authority approval processes and continuous oversight, and we will need to contract with manufacturers who can meet all applicable FDA and applicable foreign regulatory authority requirements, including, for example, complying with cGMPs, on an ongoing basis. If we or our third-party manufacturers are unable to reliably produce products to specifications acceptable to the FDA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our product candidates, impair commercialization efforts, increase our cost of goods, and has an adverse effect on our business, financial condition, results of operations, and growth prospects.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8" w:name="page59"/>
    <w:bookmarkEnd w:id="58"/>
    <w:p>
      <w:pPr>
        <w:jc w:val="both"/>
        <w:spacing w:after="0" w:line="261"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may pursue collaborations in order to develop and commercialize GEM103 and other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candidates.</w:t>
      </w:r>
    </w:p>
    <w:p>
      <w:pPr>
        <w:spacing w:after="0" w:line="18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Even if we commercialize our product candidates, these products may become subject to unfavorable pricing regulations, third-party reimbursement practices or healthcare reform initiatives, which could harm our business.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regulations that govern marketing approvals, pricing and reimbursement for new drugs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marketing approval, if any. If coverage and reimbursement are not available or reimbursement is available only to limited levels, we may not be able to successfully commercialize any product candidate for which marketing approval is obtained, if any.</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biologics, and coverage may be more limited than the purposes for which the product is approved by the FDA or applicable foreign regulatory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9" w:name="page60"/>
    <w:bookmarkEnd w:id="59"/>
    <w:p>
      <w:pPr>
        <w:jc w:val="both"/>
        <w:spacing w:after="0" w:line="272" w:lineRule="auto"/>
        <w:rPr>
          <w:sz w:val="20"/>
          <w:szCs w:val="20"/>
          <w:color w:val="auto"/>
        </w:rPr>
      </w:pPr>
      <w:r>
        <w:rPr>
          <w:rFonts w:ascii="Arial" w:cs="Arial" w:eastAsia="Arial" w:hAnsi="Arial"/>
          <w:sz w:val="16"/>
          <w:szCs w:val="16"/>
          <w:color w:val="auto"/>
        </w:rPr>
        <w:t>authorities. Moreover, eligibility for coverage and reimbursement does not imply that a drug will be paid for in all cases or at a rate that covers our costs, including research, development, manufacture, sale and distribution. Interim reimbursement levels for new drugs and biologics, if applicable, may also not be sufficient to cover our costs and may only be temporary.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drugs and biologics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16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2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do not currently have an infrastructure for the sales, marketing, and distribution of pharmaceutical products. In order to market our product candidates, if approved by the FDA or any other regulatory body, we must build our sales, marketing, managerial, and other non-technical capabilities, or make arrangements with third parties to perform these services. 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we recruit a sales force and establishes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and they could expose our company to regulatory enforcement and legal risk in the execution of their sales and commercialization activities. If we do not establish commercialization capabilities successfully, either on our own or in collaboration with third parties, we will not be successful in commercializing our product candidates if approved.</w:t>
      </w:r>
    </w:p>
    <w:p>
      <w:pPr>
        <w:spacing w:after="0" w:line="18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third-party payors and others in the medical community necessary for commercial success.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Even if our product candidates receive regulatory approval, they may not gain adequate market acceptance among physicians, patients, third-party payors, pharmaceutical companies and others in the medical community.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and private insurers, which may be difficult or time-consuming to obtain, may be limited in scope and may not be obtained in all jurisdictions in which we may seek to market our products. Third-party payors closely examine medical products to determine whether they should be covered by reimbursement and, if so, the level of reimbursement that will apply. We cannot be certain that third-party payors will sufficiently reimburse sales of our product, or enable us to sell our product at a profitable price. Similar concerns could also limit the reimbursement amounts that health insurers or government agencies in other countries are prepared to pay for our products. In many regions outside the United States where we may pursue regulatory approvals and market our products, the pricing of prescription drugs is controlled by the government or regulatory agencies.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Regulatory agencies in these countries could determine that the pricing for our products should be based on prices of other commercially available products for the same disease, rather than allowing us to market our products at a premium as new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drugs. The degree of market acceptance of any of our approved product candidates will depend on a number of factors, including:</w:t>
      </w:r>
    </w:p>
    <w:p>
      <w:pPr>
        <w:spacing w:after="0" w:line="212" w:lineRule="exact"/>
        <w:rPr>
          <w:sz w:val="20"/>
          <w:szCs w:val="20"/>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potential and perceived advantages of the product candidate over alternative treatments, including any similar generic treatments;</w:t>
      </w:r>
    </w:p>
    <w:p>
      <w:pPr>
        <w:spacing w:after="0" w:line="223" w:lineRule="exact"/>
        <w:rPr>
          <w:rFonts w:ascii="Arial" w:cs="Arial" w:eastAsia="Arial" w:hAnsi="Arial"/>
          <w:sz w:val="17"/>
          <w:szCs w:val="17"/>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third-party payors;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Potential product liability lawsuits against us could cause us to incur substantial liabilities and to limit commercialization of any products that we may develop and insurance coverage may not be adequate.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commercialize any resulting products. Product liability claims may be brought against us by subjects enrolled in our clinical trials, patients, their family members,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189" w:lineRule="exact"/>
        <w:rPr>
          <w:sz w:val="20"/>
          <w:szCs w:val="20"/>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1" w:name="page62"/>
    <w:bookmarkEnd w:id="61"/>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adoption of our product or expand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71" w:lineRule="exact"/>
        <w:rPr>
          <w:sz w:val="20"/>
          <w:szCs w:val="20"/>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1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has been and may continue to be volatile and the value of an investment in our common stock may decline.</w:t>
      </w:r>
    </w:p>
    <w:p>
      <w:pPr>
        <w:spacing w:after="0" w:line="2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stock price has been and is likely to continue to be highly volatile. From February 5, 2021, the date of our Business Combination, through February 28, 2022, the trading price of our common stock ranged between a low sales price of $1.36 and a high sales price of $19.08. The stock market in general and the market for biopharmaceutical companies in particular have experienced periods of extreme volatility that has often been unrelated to the operating performance of particular companies. As a result of this volatility, a holder may not be able to sell our common stock at or above the price at which such holder acquired shares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price of our common stock may fluctuate due to a variety of factors, including:</w:t>
      </w:r>
    </w:p>
    <w:p>
      <w:pPr>
        <w:spacing w:after="0" w:line="212" w:lineRule="exact"/>
        <w:rPr>
          <w:sz w:val="20"/>
          <w:szCs w:val="20"/>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industries in which our and our customers operate;</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 in general;</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material and adverse impact of the ongoing COVID-19 pandemic on the markets and the broader global economy;</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ind w:left="760" w:hanging="378"/>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223" w:lineRule="exact"/>
        <w:rPr>
          <w:rFonts w:ascii="Arial" w:cs="Arial" w:eastAsia="Arial" w:hAnsi="Arial"/>
          <w:sz w:val="17"/>
          <w:szCs w:val="17"/>
          <w:color w:val="auto"/>
        </w:rPr>
      </w:pPr>
    </w:p>
    <w:p>
      <w:pPr>
        <w:ind w:left="760" w:hanging="378"/>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 and</w:t>
      </w:r>
    </w:p>
    <w:p>
      <w:pPr>
        <w:spacing w:after="0" w:line="211" w:lineRule="exact"/>
        <w:rPr>
          <w:rFonts w:ascii="Arial" w:cs="Arial" w:eastAsia="Arial" w:hAnsi="Arial"/>
          <w:sz w:val="18"/>
          <w:szCs w:val="18"/>
          <w:color w:val="auto"/>
        </w:rPr>
      </w:pPr>
    </w:p>
    <w:p>
      <w:pPr>
        <w:ind w:left="760" w:hanging="378"/>
        <w:spacing w:after="0" w:line="291" w:lineRule="auto"/>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general economic, political and geopolitical conditions such as recessions, interest rates, fuel prices, foreign currency fluctuations, international tariffs, social, political and economic risks and acts of war or terrorism, such as the recent invasion by Russia of Ukraine.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These market and industry factors may materially reduce the market price of our common stock regardless of our operating performance.</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Securities research analysts may establish or discontinue coverage and may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future sales of shares by existing stockholders and future exercise of registration rights may adversely affect the market price of our Common Stock.</w:t>
      </w:r>
    </w:p>
    <w:p>
      <w:pPr>
        <w:spacing w:after="0" w:line="17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spacing w:after="0" w:line="12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Pursuant to the Registration Rights Agreement entered into in connection with the Business Combination, certain stockholders of FSDC and Old Gemini can each demand that we register their registrable securities under certain circumstances and each also have piggyback registration rights for these securities. The registration of these securities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our securities.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3" w:name="page64"/>
    <w:bookmarkEnd w:id="63"/>
    <w:p>
      <w:pPr>
        <w:jc w:val="both"/>
        <w:spacing w:after="0" w:line="261"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the terms of our existing financing arrangements restrict or limit our ability to pay cash dividends. Accordingly, we may not pay any dividends on our common stock in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incur significant additional costs as a result of being a public company, which may adversely affect our operating results and financial condition.</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may incur costs associated with corporate governance requirements, including requirements under the Sarbanes-Oxley Act of 2002 (“Sarbanes-Oxley Act”), as well as rules implemented by the Dodd-Frank Wall Street Reform and Consumer Protection Act of 2010 (“Dodd-Frank Act”), the SEC and Nasdaq. Our management and other personnel will need to devote a substantial amount of time to these compliance initiatives. Moreover, we expect these rules and regulations are expected to increase our accounting, legal and financial compliance costs and make some activities more time-consuming and costly. In addition, we will incur additional costs associated with our public company reporting requirements and we expect those costs to increase in the future. For example, we have and will continue to devote significant resources for the continuing assessment and documentation of our internal control system and financial processes under Section 404, including an assessment of the design of our information systems associated with our internal controls.</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may identify control deficiencies and be unable to remediate them. Furthermore, if we fail to remediate any potential material weakness in our internal control over financial reporting or if material weaknesses are identified or arise in the future, we may not detect errors on a timely basis and our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timely file accurate quarterly and annual reports with the SEC under the Exchange Act. Any failure to report our financial results on an accurate and timely basis could result in sanctions, lawsuits, delisting of our shares from Nasdaq or other adverse consequences. We will incur significant costs to remediate any potential material weaknesses that we may identify through these efforts. The increased costs would increase our net loss and may require us to reduce costs in other areas of our business. We also expect these rules and regulations to make it more expensive for us to maintain directors’ and officers’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 We cannot predict or estimate the amount or timing of such costs.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4" w:name="page65"/>
    <w:bookmarkEnd w:id="64"/>
    <w:p>
      <w:pPr>
        <w:jc w:val="both"/>
        <w:spacing w:after="0" w:line="248" w:lineRule="auto"/>
        <w:rPr>
          <w:sz w:val="20"/>
          <w:szCs w:val="20"/>
          <w:color w:val="auto"/>
        </w:rPr>
      </w:pPr>
      <w:r>
        <w:rPr>
          <w:rFonts w:ascii="Arial" w:cs="Arial" w:eastAsia="Arial" w:hAnsi="Arial"/>
          <w:sz w:val="18"/>
          <w:szCs w:val="18"/>
          <w:color w:val="auto"/>
        </w:rPr>
        <w:t>New laws and regulations, as well as changes to existing laws and regulations affecting public companies, including the provisions of the Sarbanes-Oxley Act, the Dodd-Frank Act and rules adopted by the SEC and Nasdaq, would likely result in increased costs as we respond to their requirements, which may adversely affect our operating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19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pharmaceutical companies, including us, have experienced significant stock price volatility in the past.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contained in our charter and our by-laws, as well as provisions of Delaware law, could impair a takeover attempt.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charter contains provisions that may discourage unsolicited takeover proposals that stockholders may consider to be in their best interests. We are also subject to anti-takeover provisions under Delaware law, which could discourage, delay, defer or prevent a merger, tender offer, proxy contest or other change of control transaction that a stockholder might consider in our best interest, including those attempts that might result in a premium over the market price for the shares of common stock held by our stockholders. These provisions provide for, among other things:</w:t>
      </w:r>
    </w:p>
    <w:p>
      <w:pPr>
        <w:spacing w:after="0" w:line="172" w:lineRule="exact"/>
        <w:rPr>
          <w:sz w:val="20"/>
          <w:szCs w:val="20"/>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classified board with a three-year staggered term;</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“blank check” preferred stock;</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advance notice for nominations of directors by stockholders and for stockholders to include matters to be considered at our annual meetings; and</w:t>
      </w:r>
    </w:p>
    <w:p>
      <w:pPr>
        <w:spacing w:after="0" w:line="234" w:lineRule="exact"/>
        <w:rPr>
          <w:rFonts w:ascii="Arial" w:cs="Arial" w:eastAsia="Arial" w:hAnsi="Arial"/>
          <w:sz w:val="16"/>
          <w:szCs w:val="16"/>
          <w:color w:val="auto"/>
        </w:rPr>
      </w:pPr>
    </w:p>
    <w:p>
      <w:pPr>
        <w:ind w:left="760" w:hanging="378"/>
        <w:spacing w:after="0" w:line="261"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amendment of certain provisions of the organizational documents only by the affirmative vote of at least two-thirds of our then-outstanding shares of capital stock entitled to vote generally at an election of directors.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These anti-takeover provisions as well as certain provisions of Delaware law could make it more difficult for a third party to acquire us, even if the third party’s offer may be considered beneficial by many of our stockholders. As a result, our stockholders may be limited in their ability to obtain a premium for their shares. If prospective takeovers are not consummated for any reason, we may experience negative reactions from the financial markets, including negative impacts on the price of our Common Stock. These provisions could also discourage proxy contests and make it more difficult for our stockholders to elect directors of their choosing and to cause us to take other corporate actions that our stockholders desire.</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District of Massachusetts will be the exclusive forums for substantially all disputes between us and our stockholders, which could limit our stockholders’ ability to obtain a favorable judicial forum for disputes with us or our directors, officers, or employees.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by-laws provide that the Court of Chancery of the State of Delaware is the exclusive forum for:</w:t>
      </w:r>
    </w:p>
    <w:p>
      <w:pPr>
        <w:spacing w:after="0" w:line="212" w:lineRule="exact"/>
        <w:rPr>
          <w:sz w:val="20"/>
          <w:szCs w:val="20"/>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(“DGCL”), our charter, or our by-laws;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charter or our by-laws;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7"/>
          <w:szCs w:val="17"/>
          <w:color w:val="auto"/>
        </w:rPr>
        <w:t>This exclusive-forum provision would not apply to suits brought to enforce a duty or liability created by the Exchange Act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provides that the federal district courts of the District of Massachusetts will be the exclusive forum for resolving any complaint asserting a cause of action arising under the Securities Act.</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the By-laws to be inapplicable or unenforceable in an action, we may incur additional costs associated with resolving the dispute in other jurisdictions, which could harm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Our facilities consisted of office space in Cambridge, Massachusetts. We terminated this lease on December 31, 2021 and no longer have any properties.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current remote working arrangement is sufficient for our current needs.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right="1920"/>
        <w:spacing w:after="0" w:line="4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on Nasdaq under the symbol “GMTX”.</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February 28, 2022, there were 37 holders of record of our common stock. The actual number of holders of our common stock is greater than this number of record holders, and includes stockholders who are beneficial owners, but whose shares are held in street name by brokers or held by other nominees. This number of holders of record also does not include stockholders whose shares may be held in trust by other entities.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of directors. In addition, our board of directors is not currently contemplating and does not anticipate declaring stock dividends in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about our equity compensation plans is incorporated herein by reference to Item 12, Security Ownership of Certain Beneficial Owners and Management and Related Stockholder Matters,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Offerings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Except as previously disclosed in our Quarterly Reports on Form 10-Q during 2021, we did not sell any securities that were not registered under the Securities Act during the period covered by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notes thereto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our actual results could differ materially from the results described in or implied by the forward-looking statements contained in the following discussion and analysis.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January 2022, we announced that we discontinued both of our Phase 2a clinical trials of GEM103, the ReGAtta study and the GEM103 as an Add-On to Anti-VEGF Therapy for the Treatment of Wet-AMD study.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February 2022, we announced a corporate restructuring and that we have initiated a process to evaluate strategic alternatives. We expect to devote substantial time and resources to exploring strategic alternatives that our board of directors believes will maximize shareholder value. Despite devoting significant efforts to identify and evaluate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of directors has not approved a definitive course of action. Additionally, there can be no assurances that any particular course of action, business arrangement or transaction, or series of transactions, will be pursued, successfully consummated or lead to increased stockholder value or that we will make any additional cash distributions to our stockholders.</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Since inception in 2015, we have devoted substantially all of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To the extent we continue to pursue clinical development of GEM103 or any other product candidate,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also working to advance GEM307, that could be effective for treatment of systemic diseases, towards IND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Restructuring and Process to Evaluate Strategic Alternatives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February 28, 2022, we announced a restructuring plan to reduce our operations to preserve financial resources, resulting in a reduction of our workforce by up to 24 positions, or approximately 80%, by the end of the second quarter of 2022. As a result, we estimate that we will incur costs within the range of $1.6 million to $1.9 million, which are expected to consist of severance benefits for the affected employees and other restructuring costs and expenses. The restructuring plan is expected to be completed by the end of the second quarter of 2022. Additionally, we have initiated a process to evaluate strategic alternatives in order to maximize shareholder value. There can be no assurance that this strategic review process will result in us pursuing any transaction or that any transaction, if pursued, will be completed on attractive terms or at all.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9" w:name="page70"/>
    <w:bookmarkEnd w:id="69"/>
    <w:p>
      <w:pPr>
        <w:jc w:val="both"/>
        <w:spacing w:after="0" w:line="235" w:lineRule="auto"/>
        <w:rPr>
          <w:sz w:val="20"/>
          <w:szCs w:val="20"/>
          <w:color w:val="auto"/>
        </w:rPr>
      </w:pPr>
      <w:r>
        <w:rPr>
          <w:rFonts w:ascii="Arial" w:cs="Arial" w:eastAsia="Arial" w:hAnsi="Arial"/>
          <w:sz w:val="18"/>
          <w:szCs w:val="18"/>
          <w:color w:val="auto"/>
        </w:rPr>
        <w:t>In addition, effective as of February 28, 2022, Georges Gemayel, Ph.D., our current Executive Chair, was appointed as interim President and Chief Executive Officer to succeed Jason Meyenburg, who has transitioned from his roles as President, CEO and Director and will continue to serve as an advisor to the Company. Dr. Gemayel will continue to serve as the Chair of our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Restructuring</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October 2021, we announced a restructuring plan resulting in a reduction of our workforce by 11 positions, or approximately 26% of our then workforce. In connection with the October 2021 restructuring, we incurred costs of $1.4 million related to severance benefits for the affected employees. The restructuring plan was completed by the end of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Georges Gemayel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November 2021, we entered into an employment agreement with Dr. Georges Gemayel to serve as Executive Chair of our board of directors.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March 2020, the World Health Organization declared the novel coronavirus (“COVID-19”) outbreak a pandemic. The ongoing COVID-19 pandemic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ongoing COVID-19 pandemic and related impacts have resulted in, and will likely continue to result in, significant disruptions to the global economy and capital markets around the world. We cannot predict the future progression or full impact of the outbreak and its effects on our business and operations.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not incurred impairment losses in the carrying values of our assets as a result of the ongoing COVID-19 pandemic, and we are not aware of any specific related event or circumstance that would require us to revise our estimates reflected in our consolidated financial statements. Although the COVID-19 pandemic did not have a significant impact on our financial results in 2021, the full extent to which the ongoing COVID-19 pandemic may impact our business, results of operations, financial condition and cash flows will depend on future developments that are highly uncertain, and the estimates of the impact on our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5, 2021, FSDC consummated the previously announced Business Combination pursuant to the terms of the Agreement and Plan of Merger, dated as of October 15, 2020 (as amended, supplemented or otherwise modified from time to time, the “Merger Agreement”), by and among Old Gemini, Stockholders’ Representative, and Merger Sub.</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our Common Stock in a private placement of public equity (the “PIPE Financing”). Together with FSDC’s cash resources and funding of the PIPE Financing, we received net proceeds of approximately $195.9 million.</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accounted for the Business Combination as a reverse recapitalization, which is the equivalent of Old Gemini issuing stock for the net assets of FSDC, accompanied by a recapitalization, with FSDC treated as the acquired company for accounting purposes. The net assets of FSDC were stated at historical cost with no goodwill or other intangible assets recorded. Reported results from operations included herein prior to the Business Combination are those of Old Gemini. The shares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0" w:name="page71"/>
    <w:bookmarkEnd w:id="70"/>
    <w:p>
      <w:pPr>
        <w:jc w:val="both"/>
        <w:spacing w:after="0" w:line="248" w:lineRule="auto"/>
        <w:rPr>
          <w:sz w:val="20"/>
          <w:szCs w:val="20"/>
          <w:color w:val="auto"/>
        </w:rPr>
      </w:pPr>
      <w:r>
        <w:rPr>
          <w:rFonts w:ascii="Arial" w:cs="Arial" w:eastAsia="Arial" w:hAnsi="Arial"/>
          <w:sz w:val="18"/>
          <w:szCs w:val="18"/>
          <w:color w:val="auto"/>
        </w:rPr>
        <w:t>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our company (the “Conversion Ratio”)).</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additional information on the Business Combination, please read Note 2, </w:t>
      </w:r>
      <w:r>
        <w:rPr>
          <w:rFonts w:ascii="Arial" w:cs="Arial" w:eastAsia="Arial" w:hAnsi="Arial"/>
          <w:sz w:val="18"/>
          <w:szCs w:val="18"/>
          <w:i w:val="1"/>
          <w:iCs w:val="1"/>
          <w:color w:val="auto"/>
        </w:rPr>
        <w:t>Business Combination</w:t>
      </w:r>
      <w:r>
        <w:rPr>
          <w:rFonts w:ascii="Arial" w:cs="Arial" w:eastAsia="Arial" w:hAnsi="Arial"/>
          <w:sz w:val="18"/>
          <w:szCs w:val="18"/>
          <w:color w:val="auto"/>
        </w:rPr>
        <w:t>, to our consolidated financial statements included elsewhere in this Annual Report on Form 10-K.</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if at all. If our development efforts were to continue and be successful and we were to commercialize any of our product candidates,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Research and development expenses consist primarily of costs incurred for research activities, including drug discovery efforts and the clinical development of our product candidates. We expense research and development costs as incurred, which include:</w:t>
      </w:r>
    </w:p>
    <w:p>
      <w:pPr>
        <w:spacing w:after="0" w:line="63" w:lineRule="exact"/>
        <w:rPr>
          <w:sz w:val="20"/>
          <w:szCs w:val="20"/>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expenses incurred to conduct the necessary preclinical studies and clinical trials required to obtain regulatory approval;</w:t>
      </w:r>
    </w:p>
    <w:p>
      <w:pPr>
        <w:spacing w:after="0" w:line="184"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expenses incurred under agreements with CROs that are primarily engaged in the oversight and conduct of our drug discovery efforts, preclinical studies, and clinical trials;</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CMOs that are primarily engaged to provide preclinical and clinical drug substance and product for our research and development programs;</w:t>
      </w:r>
    </w:p>
    <w:p>
      <w:pPr>
        <w:spacing w:after="0" w:line="194" w:lineRule="exact"/>
        <w:rPr>
          <w:rFonts w:ascii="Arial" w:cs="Arial" w:eastAsia="Arial" w:hAnsi="Arial"/>
          <w:sz w:val="16"/>
          <w:szCs w:val="16"/>
          <w:color w:val="auto"/>
        </w:rPr>
      </w:pPr>
    </w:p>
    <w:p>
      <w:pPr>
        <w:jc w:val="both"/>
        <w:ind w:left="760" w:hanging="378"/>
        <w:spacing w:after="0" w:line="248"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154"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payments made in cash or equity securities under third-party licensing, acquisition and option agreements;</w:t>
      </w:r>
    </w:p>
    <w:p>
      <w:pPr>
        <w:spacing w:after="0" w:line="17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employee-related expenses, including salaries and benefits, travel and stock-based compensation expense for employees engaged in research and development functions;</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related to comply with regulatory requirements; and</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allocated facilities-related costs, depreciation and other expenses, which include rent and utilities.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CMOs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1" w:name="page72"/>
    <w:bookmarkEnd w:id="71"/>
    <w:p>
      <w:pPr>
        <w:jc w:val="both"/>
        <w:spacing w:after="0" w:line="284" w:lineRule="auto"/>
        <w:rPr>
          <w:sz w:val="20"/>
          <w:szCs w:val="20"/>
          <w:color w:val="auto"/>
        </w:rPr>
      </w:pPr>
      <w:r>
        <w:rPr>
          <w:rFonts w:ascii="Arial" w:cs="Arial" w:eastAsia="Arial" w:hAnsi="Arial"/>
          <w:sz w:val="16"/>
          <w:szCs w:val="16"/>
          <w:color w:val="auto"/>
        </w:rPr>
        <w:t>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Research and development activities have been central to our business model to date. We anticipate that our research and development expenses will decrease in 2022 compared to 2021 due to our planned reduced clinical efforts in 2022 and recent restructurings announced in connection with our exploration of strategic alternatives. If we continue to pursue development efforts and we believe a regulatory approval of a product candidate appears likely, we would anticipate an increase in payroll and other expenses as a result of our preparation of regulatory filings and precommercial activities.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At this time, we cannot reasonably estimate or know the nature, timing and costs of the efforts that would be necessary to complete the preclinical and clinical development of any of our product candidates or when, if ever, material net cash inflows may commence from any of our product candidates. The successful development and commercialization of any of our product candidates is highly uncertain. This uncertainty is due to the numerous risks and uncertainties associated with product development and commercialization, including the uncertainty of the following:</w:t>
      </w:r>
    </w:p>
    <w:p>
      <w:pPr>
        <w:spacing w:after="0" w:line="64" w:lineRule="exact"/>
        <w:rPr>
          <w:sz w:val="20"/>
          <w:szCs w:val="20"/>
          <w:color w:val="auto"/>
        </w:rPr>
      </w:pPr>
    </w:p>
    <w:p>
      <w:pPr>
        <w:ind w:left="760" w:hanging="378"/>
        <w:spacing w:after="0" w:line="261"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progress, timing, outcome and costs of any continued preclinical development activities, clinical trials and other related development activities;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delays, suspensions, or other setbacks or interruptions encountered, including as a result of the ongoing COVID-19 pandemic;</w:t>
      </w:r>
    </w:p>
    <w:p>
      <w:pPr>
        <w:spacing w:after="0" w:line="17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an appropriate safety and efficacy profile with any Investigational New Drug application (“IND”) enabling studies and obtaining clearance for future IND applications;</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any clinical trials;</w:t>
      </w:r>
    </w:p>
    <w:p>
      <w:pPr>
        <w:spacing w:after="0" w:line="17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 including the U.S. Food and Drug Administration (“FDA”) and non-U.S. regulatory authorities;</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84"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and scale our products successfully;</w:t>
      </w:r>
    </w:p>
    <w:p>
      <w:pPr>
        <w:spacing w:after="0" w:line="130"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 and timely delivery of clinical-grade and commercial-grade drug formulations that can be used in our clinical trials and for commercial launch;</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 of our product candidates.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change in any of these variables with respect to any of our programs would significantly change the costs, timing and viability associated with that program.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2" w:name="page73"/>
    <w:bookmarkEnd w:id="72"/>
    <w:p>
      <w:pPr>
        <w:jc w:val="both"/>
        <w:ind w:right="20"/>
        <w:spacing w:after="0" w:line="261" w:lineRule="auto"/>
        <w:rPr>
          <w:sz w:val="20"/>
          <w:szCs w:val="20"/>
          <w:color w:val="auto"/>
        </w:rPr>
      </w:pPr>
      <w:r>
        <w:rPr>
          <w:rFonts w:ascii="Arial" w:cs="Arial" w:eastAsia="Arial" w:hAnsi="Arial"/>
          <w:sz w:val="18"/>
          <w:szCs w:val="18"/>
          <w:color w:val="auto"/>
        </w:rPr>
        <w:t>facility-related costs as well as insurance costs and professional fees for legal, patent, consulting, investor and public relations, accounting and audit services. We expense general and administrative costs as incurred.</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anticipate that our general and administrative expenses will decrease in 2022 as compared to 2021 due to recent restructurings announced in connection with our exploration of strategic alternatives. If, however, at any point in the future we believe a regulatory approval of a product candidate appears likely, we anticipate an increase in payroll and other expenses as a result of our preparation for commercial operations, especially as it relates to the sales and marketing of that product candidate.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consists of interest accrued on the Term Loan we entered into in February 2019 and the Notes, including the accretion of the beneficial conversion feature discount recognized on the issuance date of the Notes.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income earned on our cash, cash equivalents and restricted cash.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Immediately prior to the closing of the Business Combination, the outstanding principal and interest under the Notes converted into shares of Series B preferred stock, and we recorded other expense equal to the difference between the reacquisition price of the Notes and the net carrying amount of the Notes in the consolidated statements of operations and 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February 2019, in conjunction with the Term Loan with SVB, we issued warrants to purchase 15,257 shares of Old Gemini’s Series A preferred stock. We accounted for, and classified, these warrants as a liability on our balance sheet because the warrants were freestanding financial instruments. We remeasured this liability to fair value at each reporting date and recognized changes in the fair value of the warrant liability in our consolidated statements of operations and comprehensive loss. At the closing of the Business Combination, these warrants were automatically exercised for 15,257 shares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1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included in the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We continue to maintain a full valuation allowance against all of our net deferred tax assets based on our evaluation of all available evidence.</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file income tax returns in the United States (“U.S.”) federal tax jurisdiction and state jurisdictions and may become subject to income tax audit and adjustments by related tax authorities. Our tax return period for U.S. federal income taxes for the tax years since 2018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3" w:name="page74"/>
    <w:bookmarkEnd w:id="73"/>
    <w:p>
      <w:pPr>
        <w:jc w:val="both"/>
        <w:spacing w:after="0" w:line="248" w:lineRule="auto"/>
        <w:rPr>
          <w:sz w:val="20"/>
          <w:szCs w:val="20"/>
          <w:color w:val="auto"/>
        </w:rPr>
      </w:pPr>
      <w:r>
        <w:rPr>
          <w:rFonts w:ascii="Arial" w:cs="Arial" w:eastAsia="Arial" w:hAnsi="Arial"/>
          <w:sz w:val="18"/>
          <w:szCs w:val="18"/>
          <w:color w:val="auto"/>
        </w:rPr>
        <w:t>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may experience ownership changes as a result of subsequent shifts in our stock ownership.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gridSpan w:val="5"/>
          </w:tcPr>
          <w:p>
            <w:pPr>
              <w:jc w:val="right"/>
              <w:ind w:right="921"/>
              <w:spacing w:after="0"/>
              <w:rPr>
                <w:sz w:val="20"/>
                <w:szCs w:val="20"/>
                <w:color w:val="auto"/>
              </w:rPr>
            </w:pPr>
            <w:r>
              <w:rPr>
                <w:rFonts w:ascii="Arial" w:cs="Arial" w:eastAsia="Arial" w:hAnsi="Arial"/>
                <w:sz w:val="14"/>
                <w:szCs w:val="14"/>
                <w:color w:val="auto"/>
              </w:rPr>
              <w:t>Year Ended December 31,</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5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color w:val="auto"/>
              </w:rPr>
              <w:t>2021</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450"/>
              <w:spacing w:after="0"/>
              <w:rPr>
                <w:sz w:val="20"/>
                <w:szCs w:val="20"/>
                <w:color w:val="auto"/>
              </w:rPr>
            </w:pPr>
            <w:r>
              <w:rPr>
                <w:rFonts w:ascii="Arial" w:cs="Arial" w:eastAsia="Arial" w:hAnsi="Arial"/>
                <w:sz w:val="14"/>
                <w:szCs w:val="14"/>
                <w:color w:val="auto"/>
              </w:rPr>
              <w:t>Change</w:t>
            </w: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48,717</w:t>
            </w:r>
          </w:p>
        </w:tc>
        <w:tc>
          <w:tcPr>
            <w:tcW w:w="26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28,170</w:t>
            </w:r>
          </w:p>
        </w:tc>
        <w:tc>
          <w:tcPr>
            <w:tcW w:w="24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20,547</w:t>
            </w:r>
          </w:p>
        </w:tc>
        <w:tc>
          <w:tcPr>
            <w:tcW w:w="100" w:type="dxa"/>
            <w:vAlign w:val="bottom"/>
          </w:tcPr>
          <w:p>
            <w:pPr>
              <w:spacing w:after="0"/>
              <w:rPr>
                <w:sz w:val="17"/>
                <w:szCs w:val="17"/>
                <w:color w:val="auto"/>
              </w:rPr>
            </w:pPr>
          </w:p>
        </w:tc>
      </w:tr>
      <w:tr>
        <w:trPr>
          <w:trHeight w:val="203"/>
        </w:trPr>
        <w:tc>
          <w:tcPr>
            <w:tcW w:w="65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20,285</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5,870</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14,415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69,002</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34,040</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34,962</w:t>
            </w: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(69,002</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(34,040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(34,962</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(2,158 )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(6,826 )</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4,668</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(22 )</w:t>
            </w: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conversion of convertible notes</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(711 )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(711 )</w:t>
            </w: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20" w:type="dxa"/>
            <w:vAlign w:val="bottom"/>
          </w:tcPr>
          <w:p>
            <w:pPr>
              <w:spacing w:after="0"/>
              <w:rPr>
                <w:sz w:val="17"/>
                <w:szCs w:val="17"/>
                <w:color w:val="auto"/>
              </w:rPr>
            </w:pPr>
          </w:p>
        </w:tc>
        <w:tc>
          <w:tcPr>
            <w:tcW w:w="13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(8 )</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(13 )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(13 )</w:t>
            </w:r>
          </w:p>
        </w:tc>
      </w:tr>
      <w:tr>
        <w:trPr>
          <w:trHeight w:val="20"/>
        </w:trPr>
        <w:tc>
          <w:tcPr>
            <w:tcW w:w="65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40" w:type="dxa"/>
            <w:vAlign w:val="bottom"/>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(71,869 )</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(40,837 )</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(31,032 )</w:t>
            </w:r>
          </w:p>
        </w:tc>
      </w:tr>
      <w:tr>
        <w:trPr>
          <w:trHeight w:val="20"/>
        </w:trPr>
        <w:tc>
          <w:tcPr>
            <w:tcW w:w="6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-1205230</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-1205230</wp:posOffset>
            </wp:positionV>
            <wp:extent cx="6032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-1205230</wp:posOffset>
            </wp:positionV>
            <wp:extent cx="5969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wp:posOffset>
            </wp:positionV>
            <wp:extent cx="6032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Research and development expenses were $48.7 million for the year ended December 31, 2021, compared to $28.2 million for the year ended December 31, 2020. The increase of $20.5 million was primarily due to an increase in external research and development costs related to clinical trial activities of GEM103. In addition, research and development personnel costs were higher period over period, including stock-based compensation, due to an increase in headcount in our research and development function to support the advancement of our programs.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General and administrative expenses were $20.3 million for the year ended December 31, 2021, compared to $5.9 million for the year ended December 31, 2020. The increase of $14.4 million was primarily due to higher personnel-related costs, including stock-based compensation, in support of organizational growth and higher legal, insurance and other professional fees incurred in connection with operating as a public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Interest expense was $2.2 million for the year ended December 31, 2021, compared to $6.8 million for the year ended December 31, 2020. The decrease of $4.6 million was due to the accretion of the beneficial conversion feature discount recognized at the issuance date of the Notes in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loss on conversion of convertible notes was $0.7 million for the year ended December 31, 2021, compared to $0 for the year ended December 31, 2020. The increase reflects the difference between the reacquisition price of the Notes and the net carrying amount of the Notes at the time that the Notes converted into shares of Series B preferred stock immediately prior to the closing of the Business Combination.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capital</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expect to generate revenue from sales of any product candidates for several years, if at all. Our net loss was $71.9 million for the year ended December 31, 2021. As of December 31, 2021, we had an accumulated deficit of $184.7 million.</w:t>
      </w:r>
    </w:p>
    <w:p>
      <w:pPr>
        <w:spacing w:after="0" w:line="1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Prior to the Business Combination, we funded our operations to date primarily with proceeds from the sale of preferred stock, borrowings under convertible promissory notes and borrowings under loan agreements. In January 2020, we received gross proceeds of $20.1 million from the sale of our preferred stock. In August 2020, we received gross proceeds of $14.0 million from borrowings under convertible promissory notes. In February 2021, in connection with the Business Combination, we received net proceeds of $195.9 million.</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2021, we had cash and cash equivalents of $136.6 million. Continued cash generation is highly dependent on our ability to finance our operations through a combination of equity offerings, debt financings, collaboration arrangements and strategic transactions. However, our resource requirements could materially change to the extent we identify and enter into any strategic transaction.</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 ended December 31,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0"/>
              </w:rPr>
              <w:t>Year Ended 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6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96"/>
              </w:rPr>
              <w:t>2020</w:t>
            </w:r>
          </w:p>
        </w:tc>
        <w:tc>
          <w:tcPr>
            <w:tcW w:w="100" w:type="dxa"/>
            <w:vAlign w:val="bottom"/>
          </w:tcPr>
          <w:p>
            <w:pPr>
              <w:spacing w:after="0"/>
              <w:rPr>
                <w:sz w:val="14"/>
                <w:szCs w:val="14"/>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(59,700</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(32,708</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2"/>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9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344</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(22 )</w:t>
            </w: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191,480</w:t>
            </w:r>
          </w:p>
        </w:tc>
        <w:tc>
          <w:tcPr>
            <w:tcW w:w="2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34,247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0"/>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980" w:type="dxa"/>
            <w:vAlign w:val="bottom"/>
            <w:tcBorders>
              <w:bottom w:val="single" w:sz="8" w:color="auto"/>
            </w:tcBorders>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132,124</w:t>
            </w:r>
          </w:p>
        </w:tc>
        <w:tc>
          <w:tcPr>
            <w:tcW w:w="280" w:type="dxa"/>
            <w:vAlign w:val="bottom"/>
          </w:tcPr>
          <w:p>
            <w:pPr>
              <w:spacing w:after="0"/>
              <w:rPr>
                <w:sz w:val="17"/>
                <w:szCs w:val="17"/>
                <w:color w:val="auto"/>
              </w:rPr>
            </w:pPr>
          </w:p>
        </w:tc>
        <w:tc>
          <w:tcPr>
            <w:tcW w:w="6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1,517</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-159385</wp:posOffset>
            </wp:positionV>
            <wp:extent cx="6032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do not generate any cash inflows from our operating activities. Our cash flows from operating activities are significantly influenced by our use of cash for operating expenses and working capital requirements to support the business. We have historically experienced negative cash flows from operating activities as we invested in developing our platform, drug discovery efforts and related infrastructure.</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the year ended December 31, 2021, we used cash in operating activities of $59.7 million, reflecting a net loss of $71.9 million, partially offset by non-cash charges of $10.3 million and a net change of $1.9 million in our operating assets and liabilities. The non-cash charges consist primarily of $7.8 million of stock-based compensation expense, $1.6 million accretion of the discount on the Notes, and $0.7 million of expense related to the conversion of the Notes. The net change in our operating assets and liabilities was primarily due to an increase in accounts payable and accrued expenses and other current liabilities and a decrease in deferred offering costs, partially offset by an increase in prepaid expenses and other current assets.</w:t>
      </w:r>
    </w:p>
    <w:p>
      <w:pPr>
        <w:spacing w:after="0" w:line="13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the year ended December 31, 2020, we used cash in operating activities of $32.7 million, reflecting a net loss of $40.8 million, offset by non-cash charges of $7.8 million and a net change of $0.3 million in our operating assets and liabilities. The non-cash charges primarily consist of $5.9 million accretion of the discount on the Notes, $1.0 million of stock-based compensation expense and $0.6 million of non-cash interest expense. The net change in our operating assets and liabilities was primarily due to a decrease in prepaid expenses and other current assets, partially offset by an increase in deferred offering costs.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year ended December 31, 2021, net cash provided by investing activities was $0.3 million, consisting primarily of proceeds from the sale of property and equipment, compared to net cash used in investing activities of less than $0.1 million during the year ended December 31, 2020, consisting of purchases of laboratory equipment.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year ended December 31, 2021, net cash provided by financing activities was $191.5 million, consisting primarily of $195.9 million of net proceeds received in connection with the Business Combination, partially offset by principal payments made on our term loan.</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During the year ended December 31, 2020, net cash provided by financing activities was $34.2 million, consisting primarily of $20.1 million of net proceeds from the issuance of our Series B preferred stock and $14.0 million of net proceeds from the issuance of the convertible promissory notes.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primary use of cash is to fund operating expenses, primarily related to our research and development activities. However, our resource requirements could materially change to the extent we identify and enter into any strategic transaction. Cash used to fund operating expenses is impacted by the timing of when we pay these expenses, as reflected in the change in our outstanding accounts payable, accrued expenses and prepaid expenses.</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expect our expenses to decrease in 2022 compared to 2021 due to our planned reduced clinical efforts in 2022 and the restructurings announced in October 2021 and February 2022 in connection with our exploration of strategic alternatives. To the extent we continue to pursue the development of our product candidates, the timing and amount of our operating expenditures will depend largely on our ability to:</w:t>
      </w:r>
    </w:p>
    <w:p>
      <w:pPr>
        <w:spacing w:after="0" w:line="141" w:lineRule="exact"/>
        <w:rPr>
          <w:sz w:val="20"/>
          <w:szCs w:val="20"/>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preclinical development of our early-stage programs and clinical trials of our product candidates;</w:t>
      </w:r>
    </w:p>
    <w:p>
      <w:pPr>
        <w:spacing w:after="0" w:line="17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manufacture, or have manufactured on our behalf, including sourcing raw materials, our preclinical and clinical drug material and develop processes for late stage and commercial manufacturing;</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7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maintain and protect our intellectual property portfolio;</w:t>
      </w:r>
    </w:p>
    <w:p>
      <w:pPr>
        <w:spacing w:after="0" w:line="184"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 the costs of preparing, filing and prosecuting patent applications, maintaining and protecting our intellectual property rights, including enforcing and defending intellectual property related claims;</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 the costs of operating as a public company; and</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realize the anticipated benefits of our restructuring plans.</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would be derived from sales of products that we do not expect to be commercially available for many years, if ever. Accordingly, we will need to obtain substantial additional funds to achieve our business objectives.</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December 31, 2021, we had cash and cash equivalents of $136.6 million. We believe that our cash and cash equivalents will enable us to fund our operating expenses and capital expenditure requirements through at least the next twelve months from the filing of this Annual Report on Form 10-K. We have based this estimate on assumptions that may prove to be wrong, and we could utilize our available capital resources sooner than we expect. However, our resource requirements could materially change to the extent we identify and enter into any strategic transaction.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6" w:name="page77"/>
    <w:bookmarkEnd w:id="76"/>
    <w:p>
      <w:pPr>
        <w:jc w:val="both"/>
        <w:spacing w:after="0" w:line="252" w:lineRule="auto"/>
        <w:rPr>
          <w:sz w:val="20"/>
          <w:szCs w:val="20"/>
          <w:color w:val="auto"/>
        </w:rPr>
      </w:pPr>
      <w:r>
        <w:rPr>
          <w:rFonts w:ascii="Arial" w:cs="Arial" w:eastAsia="Arial" w:hAnsi="Arial"/>
          <w:sz w:val="17"/>
          <w:szCs w:val="17"/>
          <w:color w:val="auto"/>
        </w:rPr>
        <w:t>Until such time as we can generate substantial product revenue, if ever, and subject to our pursuit of a strategic transaction,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 candidates, we are unable to estimate the exact amount of our working capital requirements. Subject to our pursuit of a strategic transaction, our future funding requirements will depend on and could increase significantly as a result of many factors, including:</w:t>
      </w:r>
    </w:p>
    <w:p>
      <w:pPr>
        <w:spacing w:after="0" w:line="141" w:lineRule="exact"/>
        <w:rPr>
          <w:sz w:val="20"/>
          <w:szCs w:val="20"/>
          <w:color w:val="auto"/>
        </w:rPr>
      </w:pPr>
    </w:p>
    <w:p>
      <w:pPr>
        <w:ind w:left="760" w:hanging="378"/>
        <w:spacing w:after="0"/>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trials;</w:t>
      </w:r>
    </w:p>
    <w:p>
      <w:pPr>
        <w:spacing w:after="0" w:line="196" w:lineRule="exact"/>
        <w:rPr>
          <w:rFonts w:ascii="Arial" w:cs="Arial" w:eastAsia="Arial" w:hAnsi="Arial"/>
          <w:sz w:val="17"/>
          <w:szCs w:val="17"/>
          <w:color w:val="auto"/>
        </w:rPr>
      </w:pPr>
    </w:p>
    <w:p>
      <w:pPr>
        <w:ind w:left="760" w:hanging="378"/>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7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timing and ability to manufacture our product candidates to supply our clinical and preclinical development efforts and our clinical trials;</w:t>
      </w:r>
    </w:p>
    <w:p>
      <w:pPr>
        <w:spacing w:after="0" w:line="130"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of raw materials and manufacturing commercial-grade product and necessary inventory to support commercial launch;</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196" w:lineRule="exact"/>
        <w:rPr>
          <w:rFonts w:ascii="Arial" w:cs="Arial" w:eastAsia="Arial" w:hAnsi="Arial"/>
          <w:sz w:val="17"/>
          <w:szCs w:val="17"/>
          <w:color w:val="auto"/>
        </w:rPr>
      </w:pPr>
    </w:p>
    <w:p>
      <w:pPr>
        <w:ind w:left="760" w:right="20" w:hanging="378"/>
        <w:spacing w:after="0" w:line="261"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and strategic alliances on favorable terms, if at all; and</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February 2019, we entered into a term loan facility of up to $10.0 million (the “Term Loan”) with SVB. The proceeds were used for general corporate and working capital purposes. Concurrent with the Term Loan, we issued SVB warrants to purchase 15,257 shares of Old Gemini’s Series A preferred stock at an exercise price of $5.46. At the closing of the Business Combination, these warrants were automatically exercised for 15,257 shares of our common stock. As of December 31, 2021 and 2020, we had $5.4 million and $10.0 million, respectively, in principal outstanding under the Term Loan.</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Term Loan is governed by a loan and security agreement, entered into in February 2019, between Gemini and SVB (the “SVB Loan Agreement”). The SVB Loan Agreement provided for two separate tranches under which we could borrow.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April 2019, we borrowed $7.5 million under the first tranche, and in December 2019, we borrowed $2.5 million under the second tranche.</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Term Loan matures in January 2023 and accrues interest at a floating rate per annum equal to the greater of 3.75% or the prime rate minus 1.5% (1.75% as of September 30, 2021). The Term Loan provides for monthly interest-only payments until February 2021. Thereafter, payments are payable in equal monthly installments of principal, plus all accrued and unpaid interest. We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April 2020, we entered into a deferral agreement with SVB to defer scheduled principal repayments on its term loan by six months. The deferral agreement was offered in connection with SVB’s venture debt relief initiative, which was started due to the COVID-19 pandemic. Our first principal payment under our credit facility occurred in February 2021. The required monthly interest-only payment was not impacted by the deferral. The Term Loan’s new maturity date is January 2023.</w:t>
      </w:r>
    </w:p>
    <w:p>
      <w:pPr>
        <w:spacing w:after="0" w:line="1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the end of the loan term (whether at maturity, by prepayment in full or otherwise), we are required to pay a final end of term charge to SVB in the amount of 4.0% of the aggregate original principal amount advanced by SVB.</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August 2020, we entered into a purchase agreement with existing investors to issue $14.0 million in convertible promissory notes, (the “Notes”). The Notes accrued simple interest at 8% per annum and matured in February 2021. The Notes served as a bridge loan prior to the PIPE Financing that was completed in connection with the closing of the Business Combination.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research and manufacturing organizations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enter into contracts in the normal course of business with CMOs, CROs and other third parties for the manufacture of our product candidates and to support clinical trials and preclinical research studies and testing. These contracts are generally cancelable at any time by us following a certain period of notice. Payments due upon cancellation consist only of payments for services provided or expenses incurred, including noncancelable obligations of our service providers, up to the date of cancellation. We recorded accrued expenses of approximately $4.0 million in our consolidated balance sheet for expenditures incurred by CROs and CMOs as of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Tax-related obligations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date, we have not recognized any reserves related to uncertain tax positions. As of December 31, 2021, we had no accrued interest or penalties related to uncertain tax positions.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(“GAAP”). The preparation of our consolidated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While our significant accounting policies are described in more detail in Note 3 to the consolidated financial statements appearing elsewhere in this Annual Report on Form 10-K, we believe that the following accounting policies are those most critical to the judgments and estimates used in the preparation of our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8" w:name="page79"/>
    <w:bookmarkEnd w:id="78"/>
    <w:p>
      <w:pPr>
        <w:jc w:val="both"/>
        <w:spacing w:after="0" w:line="274"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123" w:lineRule="exact"/>
        <w:rPr>
          <w:sz w:val="20"/>
          <w:szCs w:val="20"/>
          <w:color w:val="auto"/>
        </w:rPr>
      </w:pPr>
    </w:p>
    <w:p>
      <w:pPr>
        <w:ind w:left="760" w:hanging="378"/>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vendors, including research laboratories, in connection with preclinical development activities;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 and</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our estimated accruals have not differed materially from actual costs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measure all stock-based awards granted to employees, directors and non-employees based on the fair value on the date of grant and recognize compensation expense of those awards over the requisite service period, which is generally the vesting period of the respective award. Forfeitures are accounted for as they occur. We grant stock options and restricted stock awards that are subject to either service or performance-based vesting conditions. For awards with service-based vesting conditions, we recognize equity-based compensation expense on a straight-line basis over the vesting period.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We estimate the probability that certain performance criteria will be met and do not recognize compensation expense until it is probable that the performance-based vesting condition will be achieved.</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our common stock as reported by Nasdaq on the date of grant.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estimate the fair value of stock options using the Black-Scholes option pricing model, which uses as inputs the fair value of our common stock, and certain management estimates, including the expected stock price volatility, the expected term of the award, the risk-free rate, and expected dividends. Expected volatility is calculated based on reported volatility data for a representative group of publicly traded companies for which historical information is available. We select companies with comparable characteristics with historical share price information that approximates the expected term of the equity-based awards. We compute the historical volatility data using the daily closing prices for the selected companies’ shares during the equivalent period that approximates the calculated expected term of the stock options. We will continue to apply this method until a sufficient amount of historical information regarding the volatility of its stock price becomes available. The risk-free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9" w:name="page80"/>
    <w:bookmarkEnd w:id="79"/>
    <w:p>
      <w:pPr>
        <w:jc w:val="both"/>
        <w:spacing w:after="0" w:line="243" w:lineRule="auto"/>
        <w:rPr>
          <w:sz w:val="20"/>
          <w:szCs w:val="20"/>
          <w:color w:val="auto"/>
        </w:rPr>
      </w:pPr>
      <w:r>
        <w:rPr>
          <w:rFonts w:ascii="Arial" w:cs="Arial" w:eastAsia="Arial" w:hAnsi="Arial"/>
          <w:sz w:val="18"/>
          <w:szCs w:val="18"/>
          <w:color w:val="auto"/>
        </w:rPr>
        <w:t>interest rate is based on the U.S. Treasury yield curve in effect at the time of grant commensurate with the expected term assumption. We use the simplified method, under which the expected term is presumed to be the midpoint between the vesting date and the end of the contractual term. We utilize this method due to lack of historical exercise data. The expected dividend yield is assumed to be zero as we have no current plans to pay any dividends on common stock.</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Prior to the completion of the Business Combination, given there had been no public market for our common stock, the estimated fair value of our common stock was determined by the board of directors as of the date of each award grant, with input from management, considering our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Our common stock valuations were prepared using an option pricing method (“OPM”) or a hybrid method, both of which used market approaches to estimate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(“PWERM”) where the equity value in one or more scenarios is calculated using an OPM. The PWERM is a scenario-based methodology that estimates the fair value of our common stock based upon an analysis of our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our common stock. These estimates and assumptions include a number of objective and subjective factors, including external market conditions, the prices at which we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included elsewhere in this Annual Report on Form 10-K for information regarding recently issued accounting pronouncements.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are an “emerging growth company,” as defined in the Jumpstart Our Business Startups Act of 2012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w:t>
      </w:r>
    </w:p>
    <w:p>
      <w:pPr>
        <w:spacing w:after="0" w:line="1" w:lineRule="exact"/>
        <w:rPr>
          <w:sz w:val="20"/>
          <w:szCs w:val="20"/>
          <w:color w:val="auto"/>
        </w:rPr>
      </w:pPr>
    </w:p>
    <w:p>
      <w:pPr>
        <w:jc w:val="both"/>
        <w:ind w:firstLine="8"/>
        <w:spacing w:after="0" w:line="238" w:lineRule="auto"/>
        <w:tabs>
          <w:tab w:leader="none" w:pos="2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last day of the fiscal year (a) following the fifth anniversary of the closing of our initial public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 index of those financial statements is found in Item 15, Exhibits and Financial Statement Schedules,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our principal financial officers, as appropriate, to allow timely decisions regarding required disclosure.</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With respect to the year ended December 31, 2021,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were effective as of December 31, 2021 to provide reasonable assurance that the information required to be disclosed by us in this Annual Report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is defined in Rules 13a-15(f) and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1" w:lineRule="exact"/>
        <w:rPr>
          <w:sz w:val="20"/>
          <w:szCs w:val="20"/>
          <w:color w:val="auto"/>
        </w:rPr>
      </w:pPr>
    </w:p>
    <w:p>
      <w:pPr>
        <w:ind w:left="102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2021.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framework) (COSO). Based on its assessment, management believes that, as of December 31, 2021,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is effective at the reasonable assurance level.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1" w:name="page82"/>
    <w:bookmarkEnd w:id="81"/>
    <w:p>
      <w:pPr>
        <w:jc w:val="both"/>
        <w:spacing w:after="0" w:line="261"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as allowed by the SEC's transition period for emerging growth companies.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fiscal year ended December 31, 2021 which have materially affected, or are reasonably likely to materially affect, our internal control over financial reporting.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as of the date of this report, concerning the directors and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6"/>
                <w:szCs w:val="16"/>
                <w:color w:val="auto"/>
              </w:rPr>
            </w:pPr>
          </w:p>
        </w:tc>
        <w:tc>
          <w:tcPr>
            <w:tcW w:w="560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Position</w:t>
            </w:r>
          </w:p>
        </w:tc>
      </w:tr>
      <w:tr>
        <w:trPr>
          <w:trHeight w:val="196"/>
        </w:trPr>
        <w:tc>
          <w:tcPr>
            <w:tcW w:w="3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Georges Gemayel, Ph.D.</w:t>
            </w: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61</w:t>
            </w:r>
          </w:p>
        </w:tc>
        <w:tc>
          <w:tcPr>
            <w:tcW w:w="200" w:type="dxa"/>
            <w:vAlign w:val="bottom"/>
            <w:shd w:val="clear" w:color="auto" w:fill="CFF0FC"/>
          </w:tcPr>
          <w:p>
            <w:pPr>
              <w:spacing w:after="0"/>
              <w:rPr>
                <w:sz w:val="17"/>
                <w:szCs w:val="17"/>
                <w:color w:val="auto"/>
              </w:rPr>
            </w:pPr>
          </w:p>
        </w:tc>
        <w:tc>
          <w:tcPr>
            <w:tcW w:w="5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Interim President and Chief Executive Officer, Executive Chairperson</w:t>
            </w: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Brian Piekos</w:t>
            </w:r>
          </w:p>
        </w:tc>
        <w:tc>
          <w:tcPr>
            <w:tcW w:w="192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17"/>
                <w:szCs w:val="17"/>
                <w:color w:val="auto"/>
              </w:rPr>
            </w:pP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Chief Financial Officer and Chief Business Officer</w:t>
            </w:r>
          </w:p>
        </w:tc>
      </w:tr>
      <w:tr>
        <w:trPr>
          <w:trHeight w:val="203"/>
        </w:trPr>
        <w:tc>
          <w:tcPr>
            <w:tcW w:w="3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Samuel Barone, M.D.</w:t>
            </w:r>
          </w:p>
        </w:tc>
        <w:tc>
          <w:tcPr>
            <w:tcW w:w="192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48</w:t>
            </w:r>
          </w:p>
        </w:tc>
        <w:tc>
          <w:tcPr>
            <w:tcW w:w="200" w:type="dxa"/>
            <w:vAlign w:val="bottom"/>
            <w:shd w:val="clear" w:color="auto" w:fill="CFF0FC"/>
          </w:tcPr>
          <w:p>
            <w:pPr>
              <w:spacing w:after="0"/>
              <w:rPr>
                <w:sz w:val="17"/>
                <w:szCs w:val="17"/>
                <w:color w:val="auto"/>
              </w:rPr>
            </w:pPr>
          </w:p>
        </w:tc>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Carl Gordon, Ph.D., CFA</w:t>
            </w:r>
          </w:p>
        </w:tc>
        <w:tc>
          <w:tcPr>
            <w:tcW w:w="192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57</w:t>
            </w:r>
          </w:p>
        </w:tc>
        <w:tc>
          <w:tcPr>
            <w:tcW w:w="200" w:type="dxa"/>
            <w:vAlign w:val="bottom"/>
          </w:tcPr>
          <w:p>
            <w:pPr>
              <w:spacing w:after="0"/>
              <w:rPr>
                <w:sz w:val="17"/>
                <w:szCs w:val="17"/>
                <w:color w:val="auto"/>
              </w:rPr>
            </w:pP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David Lubner</w:t>
            </w:r>
          </w:p>
        </w:tc>
        <w:tc>
          <w:tcPr>
            <w:tcW w:w="192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57</w:t>
            </w:r>
          </w:p>
        </w:tc>
        <w:tc>
          <w:tcPr>
            <w:tcW w:w="200" w:type="dxa"/>
            <w:vAlign w:val="bottom"/>
            <w:shd w:val="clear" w:color="auto" w:fill="CFF0FC"/>
          </w:tcPr>
          <w:p>
            <w:pPr>
              <w:spacing w:after="0"/>
              <w:rPr>
                <w:sz w:val="17"/>
                <w:szCs w:val="17"/>
                <w:color w:val="auto"/>
              </w:rPr>
            </w:pPr>
          </w:p>
        </w:tc>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Tuyen Ong, M.D., MRCOphth</w:t>
            </w:r>
          </w:p>
        </w:tc>
        <w:tc>
          <w:tcPr>
            <w:tcW w:w="192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17"/>
                <w:szCs w:val="17"/>
                <w:color w:val="auto"/>
              </w:rPr>
            </w:pP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Jason Rhodes</w:t>
            </w:r>
          </w:p>
        </w:tc>
        <w:tc>
          <w:tcPr>
            <w:tcW w:w="192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52</w:t>
            </w:r>
          </w:p>
        </w:tc>
        <w:tc>
          <w:tcPr>
            <w:tcW w:w="200" w:type="dxa"/>
            <w:vAlign w:val="bottom"/>
            <w:shd w:val="clear" w:color="auto" w:fill="CFF0FC"/>
          </w:tcPr>
          <w:p>
            <w:pPr>
              <w:spacing w:after="0"/>
              <w:rPr>
                <w:sz w:val="17"/>
                <w:szCs w:val="17"/>
                <w:color w:val="auto"/>
              </w:rPr>
            </w:pPr>
          </w:p>
        </w:tc>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Director</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Jim Tananbaum, M.D.</w:t>
            </w:r>
          </w:p>
        </w:tc>
        <w:tc>
          <w:tcPr>
            <w:tcW w:w="19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58</w:t>
            </w:r>
          </w:p>
        </w:tc>
        <w:tc>
          <w:tcPr>
            <w:tcW w:w="2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Georges Gemayel, Ph.D. </w:t>
      </w:r>
      <w:r>
        <w:rPr>
          <w:rFonts w:ascii="Arial" w:cs="Arial" w:eastAsia="Arial" w:hAnsi="Arial"/>
          <w:sz w:val="16"/>
          <w:szCs w:val="16"/>
          <w:color w:val="auto"/>
        </w:rPr>
        <w:t>Dr. Georges Gemayel has served as our Interim President and Chief Executive Officer since February 2022, Executive Chair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since November 2021 and Chair of the Board since May 2021. Dr. Gemayel has over 30 years of experience in the pharmaceutical industry, including management and executive positions in the U.S., Europe and the Middle East. Dr. Gemayel currently serves on the board of directors of Supernus Pharmaceuticals, Inc., and is the chair of the boards of Dynacure, Enterome SA, and Orphazyme A/S. Previously, Dr. Gemayel served as Executive Chair of FoldRx Pharmaceuticals and of Syndexa Pharmaceuticals, as Chair of Oxthera AB, Dimension Therapeutics and Epitherapeutics and as Director of Prosensa, Raptor Pharmaceuticals, NPS Pharma, Momenta Pharmaceuticals and Adolor. From 2008 to 2009, Dr. Gemayel was President and Chief Executive Officer of Altus Pharmaceuticals Inc., a publicly traded pharmaceutical company. From 2003 to 2008, he was Executive Vice President at Genzyme Corporation where he was responsible for the company’s global therapeutics, transplant, renal and biosurgery businesses. From 1998 to 2003, he held progressively senior roles at Hoffmann Ltd. and Roche Labs, most recently as Vice President, National Specialty Care, responsible for its U.S. business for dermatology, oncology, transplantation, hepatitis and HIV. Dr. Gemayel completed his doctorate in pharmacy at St. Joseph University in Beirut, Lebanon, and earned a Ph.D. in pharmacology at University in Paris, France. Our Board has concluded that Dr. Gemayel possesses the expertise and extensive professional experience and knowledge that qualifies him to serve as our Chair of the Board.</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Brian Piekos </w:t>
      </w:r>
      <w:r>
        <w:rPr>
          <w:rFonts w:ascii="Arial" w:cs="Arial" w:eastAsia="Arial" w:hAnsi="Arial"/>
          <w:sz w:val="18"/>
          <w:szCs w:val="18"/>
          <w:color w:val="auto"/>
        </w:rPr>
        <w:t>has served as our Chief Financial Officer since February 2021 and has held the additional title of Chief Business Officer since October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Piekos has more than 20 years of experience in industry and finance. Previously, Mr. Piekos was most recently Executive Vice President, Chief Financial Officer and Treasurer of AMAG Pharmaceuticals, Inc., from September 2015 to November 2020. Prior to joining AMAG, he held leadership roles in Corporate Finance, Tax and Treasury at Cubist Pharmaceuticals, Inc. from August 2010 to February 2015. Mr. Piekos began his career as a healthcare investment banker at Needham &amp; Company and Leerink Partners, now SVB Leerink. Mr. Piekos earned his MBA from the Simon Business School at the University of Rochester. He obtained an M.S. in molecular biology from the University of Massachusetts Medical School and a B.A. in biochemistry from Ithaca College.</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 xml:space="preserve">Samuel Barone, M.D. </w:t>
      </w:r>
      <w:r>
        <w:rPr>
          <w:rFonts w:ascii="Arial" w:cs="Arial" w:eastAsia="Arial" w:hAnsi="Arial"/>
          <w:sz w:val="16"/>
          <w:szCs w:val="16"/>
          <w:color w:val="auto"/>
        </w:rPr>
        <w:t>has served as our Chief Medical Officer since April 2021. Dr. Barone has more than 20 years of clinical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Previously, Dr. Barone was most recently co-Founder, Manager and Chief Medical Officer at Halodine, LLC, a company spun out of Veloce BioPharma. Prior to his role at Halodine, he held the role of Chief Medical Officer of Veloce BioPharma. Dr. Barone worked at Veloce BioPharma and subsequently Halodine from September 2017 to April 2021. Prior to joining Veloce BioPharma, he served as Senior Vice President at Adverum Biotechnologies (formerly Avalanche Biotechnologies) from May 2016 to September 2017. While at Avalanche Biotechnologies, Dr. Barone served as Chief Medical Officer from June 2014 to September 2016. Before joining Avalanche Biotechnologies, Dr. Barone served as a Medical Officer in the Office of Cellular, Tissue and Gene Therapies at the U.S. Food and Drug Administration (FDA) from October 2009 to June 2014. Dr. Barone received his B.S. in biology from Boston College and his M.D. from the Pennsylvania State University College of Medicine. After obtaining his medical degree, Dr. Barone served as a flight surgeon in the United States Air Force serving active duty at Andrews Air Force Base and at bases in Korea, Afghanistan, and Iraq for which he received several military honors. Following his military service, Dr. Barone completed a residency in ophthalmology at the New York Eye and Ear Infirmary, where he served as Chief Resident, as well as a medical and surgical retina fellowship at the University of California, San Diego.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3" w:name="page84"/>
    <w:bookmarkEnd w:id="83"/>
    <w:p>
      <w:pPr>
        <w:jc w:val="both"/>
        <w:spacing w:after="0" w:line="253" w:lineRule="auto"/>
        <w:rPr>
          <w:sz w:val="20"/>
          <w:szCs w:val="20"/>
          <w:color w:val="auto"/>
        </w:rPr>
      </w:pPr>
      <w:r>
        <w:rPr>
          <w:rFonts w:ascii="Arial" w:cs="Arial" w:eastAsia="Arial" w:hAnsi="Arial"/>
          <w:sz w:val="17"/>
          <w:szCs w:val="17"/>
          <w:b w:val="1"/>
          <w:bCs w:val="1"/>
          <w:i w:val="1"/>
          <w:iCs w:val="1"/>
          <w:color w:val="auto"/>
        </w:rPr>
        <w:t xml:space="preserve">Carl L. Gordon, Ph.D., CFA </w:t>
      </w:r>
      <w:r>
        <w:rPr>
          <w:rFonts w:ascii="Arial" w:cs="Arial" w:eastAsia="Arial" w:hAnsi="Arial"/>
          <w:sz w:val="17"/>
          <w:szCs w:val="17"/>
          <w:color w:val="auto"/>
        </w:rPr>
        <w:t>has served as a member of our Board since April 2016. Dr. Gordon is a founding member, Managing Partner, and Co-Head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Private Equity at OrbiMed Advisors LLC, an investment firm. Dr. Gordon currently serves on the boards of directors of Adicet Bio, Inc., Compass Therapeutics Inc., Keros Therapeutics Inc., Kinnate Biopharma, Inc., Terns Pharmaceuticals, Inc., and Thesus Pharmaceuticals, Inc., as well as several private companies. Dr. Gordon previously served on the boards of directors of several biopharmaceutical companies, including Alector Inc., ARMO Biosciences, Inc., Arsanis, Inc. (which merged with X4 Pharmaceuticals, Inc.), Intellia Therapeutics, Inc., ORIC Pharmaceuticals, Inc., Passage Bio Inc., Prevail Therapeutics Inc., Selecta Biosciences, Inc., SpringWorks Therapeutics Inc., and Turning Point Therapeutics, Inc. Dr. Gordon received a B.A. in chemistry from Harvard College, a Ph.D. in molecular biology from the Massachusetts Institute of Technology, and he was a Fellow at The Rockefeller University. Our Board believes that Dr. Gordon is qualified to serve on our Board due to his scientific expertise, extensive business experience, and experience in venture capital and the life science industry.</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i w:val="1"/>
          <w:iCs w:val="1"/>
          <w:color w:val="auto"/>
        </w:rPr>
        <w:t xml:space="preserve">David C. Lubner </w:t>
      </w:r>
      <w:r>
        <w:rPr>
          <w:rFonts w:ascii="Arial" w:cs="Arial" w:eastAsia="Arial" w:hAnsi="Arial"/>
          <w:sz w:val="17"/>
          <w:szCs w:val="17"/>
          <w:color w:val="auto"/>
        </w:rPr>
        <w:t>has been a member of our Board since April 2020. Mr. Lubner is an experienced financial professional with tenure in the biotech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pharmaceutical industry. From January 2016, until its acquisition by UCB S.A. in April 2020, Mr. Lubner served as the Executive Vice President and Chief Financial Officer of Ra Pharmaceuticals, Inc., a publicly-traded biotechnology company. Before joining Ra Pharmaceuticals, Mr. Lubner served as Senior Vice President and Chief Financial Officer of Tetraphase Pharmaceuticals, Inc. from its inception in 2006 through 2015, as the Chief Financial Officer of PharMetrics Inc., a leading patient-based pharmacy and medical claims data informatics company, from 1999 until it was acquired by IMS Health in 2015 and as Vice President and Chief Financial Officer, from 1996 to 1999, of ProScript, Inc., a biotechnology company, where Velcade</w:t>
      </w:r>
      <w:r>
        <w:rPr>
          <w:rFonts w:ascii="Arial" w:cs="Arial" w:eastAsia="Arial" w:hAnsi="Arial"/>
          <w:sz w:val="10"/>
          <w:szCs w:val="10"/>
          <w:color w:val="auto"/>
        </w:rPr>
        <w:t>®</w:t>
      </w:r>
      <w:r>
        <w:rPr>
          <w:rFonts w:ascii="Arial" w:cs="Arial" w:eastAsia="Arial" w:hAnsi="Arial"/>
          <w:sz w:val="17"/>
          <w:szCs w:val="17"/>
          <w:color w:val="auto"/>
        </w:rPr>
        <w:t xml:space="preserve"> (bortezomib), a therapy widely used for treatment of the blood cancer, multiple myeloma, was discovered. Mr. Lubner currently serves on the boards of directors of Dyne Therapeutics, Inc., Arcellx, Inc., Vor Biopharma, Inc., and Point Biopharma, Inc. and several other private companies. Mr. Lubner previously served on the board of directors of Nightstar Therapeutics plc, a company focused on the development of one-time retinal gene therapies for patients suffering from rare inherited retinal diseases, acquired by Biogen in June 2019 and Therapeutics Acquisition Corporation (d/b/a as Research Alliance Corp. I.), a blank check company focused on the healthcare industry. Mr. Lubner is a member of the American Institute of CPAs and a Certified Public Accountant in the Commonwealth of Massachusetts. Mr. Lubner received his B.S. in business administration from Northeastern University and M.S. in taxation from Bentley University. Our Board believes that Mr. Lubner is qualified to serve on our Board based on his extensive senior executive experience and his biotechnology company board experience, including serving as chair of the Audit Committee.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Tuyen Ong, M.D., MRCOphth</w:t>
      </w:r>
      <w:r>
        <w:rPr>
          <w:rFonts w:ascii="Arial" w:cs="Arial" w:eastAsia="Arial" w:hAnsi="Arial"/>
          <w:sz w:val="17"/>
          <w:szCs w:val="17"/>
          <w:color w:val="auto"/>
        </w:rPr>
        <w:t>., has served as a member of our Board since August 2020. Dr. Ong is a board- certified ophthalmologist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biotechnology/pharmaceutical industry management executive. He currently serves as Chief Executive Officer of Ring Therapeutics. Prior to joining Ring Therapeutics, Dr. Ong served as 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 (acquired by Valeant Pharmaceuticals International, Inc.), and Pfizer. Dr. Ong holds an M.D. from the University College London and an M.B.A. from New York University Stern School of Business. He is a member of the Royal College of Ophthalmologists and a Churchill Fellow. Our Board believes that Dr. Ong is qualified to serve on our Board based on his extensive leadership and medical experience.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 xml:space="preserve">Jason Rhodes </w:t>
      </w:r>
      <w:r>
        <w:rPr>
          <w:rFonts w:ascii="Arial" w:cs="Arial" w:eastAsia="Arial" w:hAnsi="Arial"/>
          <w:sz w:val="16"/>
          <w:szCs w:val="16"/>
          <w:color w:val="auto"/>
        </w:rPr>
        <w:t>has been a member of our Board since April 2016. Since 2014, Mr. Rhodes has been a partner at Atlas Ventures, a venture capital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he focuses on creating and building novel therapeutics companies. Mr. Rhodes currently serves as the chairman of the board of directors of Generation Bio Co., the chairman of the board of directors of Dyne Therapeutics, Inc., and Rectify Pharmaceuticals. He is also a member of the boards of directors of Replimune Group, Inc. and several private companies. Previously, Mr. Rhodes served as a director at Bicycle Therapeutics, Inc. from 2016 to 2020.Mr. Rhodes also served as the founding President and Chief Executive Officer of Dyne Therapeutics, Inc. from December 2017 to November 2018. From 2010 to 2014, Mr. Rhodes was at Epizyme, Inc., a biotechnology company, where he most recently served as President and Chief Financial Officer. Prior to that, he led business development at Alnylam Pharmaceuticals, Inc. from 2007 to 2010. Mr. Rhodes earned a B.A. in history from Yale University and an M.B.A. from the Wharton School of the University of Pennsylvania. Our Board believes that Mr. Rhodes is qualified to serve on our Board based on his extensive leadership experience, his biotechnology company board experience and his experience investing in life science companies.</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Jim Tananbaum, M.D. </w:t>
      </w:r>
      <w:r>
        <w:rPr>
          <w:rFonts w:ascii="Arial" w:cs="Arial" w:eastAsia="Arial" w:hAnsi="Arial"/>
          <w:sz w:val="18"/>
          <w:szCs w:val="18"/>
          <w:color w:val="auto"/>
        </w:rPr>
        <w:t>has been a director since June 2020. Prior to the closing of the merger between FS Development Corp. (“FSDC”) and Gemini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Therapeutics Inc., Dr. Tananbaum also served as the President and Chief Executive Officer of FSDC since June 2020. Dr. Tananbaum currently serves as the chief executive officer of Foresite Capital, a U.S.-focused healthcare investment firm, which he founded in 2011. He is also a member of the boards of directors of Quantum-SI, Inc. Pardes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4" w:name="page85"/>
    <w:bookmarkEnd w:id="84"/>
    <w:p>
      <w:pPr>
        <w:jc w:val="both"/>
        <w:spacing w:after="0" w:line="254" w:lineRule="auto"/>
        <w:rPr>
          <w:sz w:val="20"/>
          <w:szCs w:val="20"/>
          <w:color w:val="auto"/>
        </w:rPr>
      </w:pPr>
      <w:r>
        <w:rPr>
          <w:rFonts w:ascii="Arial" w:cs="Arial" w:eastAsia="Arial" w:hAnsi="Arial"/>
          <w:sz w:val="17"/>
          <w:szCs w:val="17"/>
          <w:color w:val="auto"/>
        </w:rPr>
        <w:t>Biosciences, Inc., and Kinnate Biopharma Inc. Prior to founding Foresite Capital, Dr. Tananbaum served as Managing Director of Prospect Venture Partners L.P. II and III, healthcare venture partnerships, from 2000 to 2010. Dr. Tananbaum was also a Founder of GelTex, Inc. in 1991, an intestinal medicine pharmaceutical company acquired in 1999. Dr. Tananbaum was also the founding chief executive officer of Theravance, Inc., which has since split into two parts,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Our Board believes that Dr. Tananbaum is qualified to serve on our Board based on his scientific, financial and strategic business development expertise gained as a physician, founder of two life science companies and venture capital investor focused on life science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Officers and Directors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Board consists of six members. In accordance with the filed Charter, the Board is divided into three classes. At each annual general meeting of stockholders, the successors to directors whose terms then expire will be elected to serve from the time of election and qualification until the third annual meeting following the election. The directors are divided among the three classes as follows:</w:t>
      </w:r>
    </w:p>
    <w:p>
      <w:pPr>
        <w:spacing w:after="0" w:line="74"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Class I director is Dr. Carl Gordon, and his term will expire at the annual meeting of stockholders to be held in 2024;</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Class II directors are David Lubner, Dr. Tuyen Ong, and Jason Rhodes, and their terms will expire at the annual meeting of stockholders to be held in 2022;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Class III directors are Dr. Georges Gemayel and Dr. Jim Tananbaum, and their terms will expire at the annual meeting of stockholders to be held in 2023.</w:t>
      </w:r>
    </w:p>
    <w:p>
      <w:pPr>
        <w:spacing w:after="0" w:line="17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Board has established an Audit Committee, a Compensation Committee, and a Nominating and Corporate Governance Committee. Members will serve on these committees until their resignation or until otherwise determined by our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Dr. Carl Gordon, David Lubner and Jason Rhodes serve on our Audit Committee, which is chaired by Mr. Lubner. The Board has determined that each member of the Audit Committee is independent under the listing standards of the Nasdaq Stock Market (“Listing Standards”), and Rule 10A-3(b)(1) of the Exchange Act. The Board has determined that Mr. Lubner is an “audit committee financial expert” within the meaning of SEC regulations. The Board has also determined that each member of the Audit Committee has the requisite financial expertise required under the applicable requirements of the Nasdaq Stock Market. In arriving at this determination, the Board has examined each Audit Committee member’s scope of experience and the nature of their employment in the corporate finance sector.</w:t>
      </w:r>
    </w:p>
    <w:p>
      <w:pPr>
        <w:spacing w:after="0" w:line="1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primary purpose of the Audit Committee is to discharge the responsibilities of the Board with respect to our accounting, financial, and other reporting and internal control practices and to oversee our independent registered accounting firm. Specific responsibilities of our audit committee include:</w:t>
      </w:r>
    </w:p>
    <w:p>
      <w:pPr>
        <w:spacing w:after="0" w:line="16"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policies on risk assessment and risk management;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5" w:name="page86"/>
    <w:bookmarkEnd w:id="85"/>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Dr. Tuyen Ong, Jason Rhodes and Dr. Jim Tananbaum serve on our Compensation Committee, which is chaired by Dr. Ong. The Board has determined each member is a “non-employee director” as defined in Rule 16b-3 promulgated under the Exchange Act. The Board has determined that each member of the Compensation Committee, other than Dr. Tananbaum, is independent under the Listing Standards. The Listing Standards provide that, under limited and exceptional circumstances, a director who is not a current officer or employee (or a family member of an officer or employee) of the Company, but who does not otherwise meet the independence criteria, (i) may serve as a member of compensation committee if such membership is in the best interests of the Company and our shareholders and (ii) such member does not serve longer than two years. The Board has elected to rely on this limited exception in appointing Dr. Tananbaum as a member of the Compensation Committee. In making this election, the Board considered Dr. Tananbaum’s extensive experience in the life sciences industry and the marketplace for life science executives. The primary purpose of the Compensation Committee is to discharge the responsibilities of the Board to oversee its compensation policies, plans and programs and to review and determine the compensation to be paid to its executive officers, directors and other senior management, as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the Compensation Committee include:</w:t>
      </w:r>
    </w:p>
    <w:p>
      <w:pPr>
        <w:spacing w:after="0" w:line="104"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approve, the compensation of our executive officers;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62"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approve, incentive compensation and equity plans, severance agreements, change-of-control protections and any other compensatory arrangements for our executive officers and other senior management, as appropriate;</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David Lubner, Jason Rhodes and Dr. Jim Tananbaum serve on our Nominating and Corporate Governance Committee, which is chaired by Mr. Lubner. The Board has determined each member of the Nominating and Corporate Governance Committee, other than Dr. Tananbaum, is independent under the Listing Standards. The Listing Standards provide that, under limited and exceptional circumstances, a director who is not a current officer or employee (or a family member of an officer or employee) of the Company, but who does not otherwise meet the independence criteria, (i) may serve as a member of nominating and corporate governance committee if such membership is in the best interests of the Company and our shareholders and (ii) such member does not serve longer than two years. The Board has elected to rely on this limited exception in appointing Dr. Tananbaum as a member of the Nominating and Corporate Governance Committee. In making this election, the Board considered Dr. Tananbaum’s extensive experience in the life sciences industry and in serving on the board of directors of numerous organizations.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04" w:lineRule="exact"/>
        <w:rPr>
          <w:sz w:val="20"/>
          <w:szCs w:val="20"/>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approve, nominees for election to our Board;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evaluating the performance of our Board and of individual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6" w:name="page87"/>
    <w:bookmarkEnd w:id="86"/>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regarding corporate governance guidelines and matters.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Board will consider director candidates recommended for nomination by our shareholders during such times as they are seeking proposed nominees to stand for election at the next annual meeting of shareholders (or, if applicable, a special meeting of shareholders). Our shareholders that wish to nominate a director for election to our Board followed the procedures set forth in our bylaws.</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will consider educational background, diversity of professional experience, knowledge of our business, integrity, professional reputation, independence, wisdom, and the ability to represent the best interests of our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During 2021, Dr. Georges Gemayel, Dr. Tuyen Ong, Jason Rhodes and Dr. Jim Tananbaum served on the Compensation Committee. Other than Dr. Gemayel and Dr. Tananbaum, no member of the Compensation Committee has ever been an officer or employee of the Company or had any other relationship requiring disclosure herein. Prior to the closing of the Business Combination, Dr. Tananbaum served as the President and Chief Executive Officer of FSDC from June 2020 until such closing. Dr. Gemayel became an employee of the Company and transitioned to serve as Executive Chair of the Board in November 2021 and resigned from the Compensation Committee upon such transition. None of our current executive officers serves, or has served during the last fiscal year, as a member of the board of directors, compensation committee or other board committee performing equivalent functions of any other entity that has one or more executive officers serving as one of our directors or on our Compensation Committee.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Section 16(a) of the Securities Exchange Act of 1934, as amended,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not aware of any late or delinquent filings required under Section 16(a) of the Exchange Act in respect of our equity securities other than the following reports filed late due to administrative error, as previously disclosed in our quarterly report on Form 10-Q for the period ended March 31, 2021 and our Proxy Statement dated August 17, 2021 filed with the SEC with respect to our 2021 Annual Meeting of Stockholders: a Form 3 which inadvertently omitted Foresite Capital Fund V, L.P and Foresite Capital Management V LLC as beneficial owners of 3,018,750 shares of Class B Common Stock of FSDC; a Form 3 for James Tananbaum, which inadvertently omitted 3,018,750 shares of Class B Common Stock of FSDC; and a Form 4 of the Sponsor, Foresite Capital Fund V, L.P, Foresite Capital Management V LLC and James Tananbaum which inadvertently omitted 441,500 shares of Class A Common Stock of FSDC.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Committee Charters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adopted a Code of Ethics that applies to all of our directors, executive officers and employees that complies with the rules and regulations of the Nasdaq. Copies of our code of ethics and our Board committee charters are available on our website (</w:t>
      </w:r>
      <w:r>
        <w:rPr>
          <w:rFonts w:ascii="Arial" w:cs="Arial" w:eastAsia="Arial" w:hAnsi="Arial"/>
          <w:sz w:val="17"/>
          <w:szCs w:val="17"/>
          <w:i w:val="1"/>
          <w:iCs w:val="1"/>
          <w:color w:val="auto"/>
        </w:rPr>
        <w:t>https://geminitherapeutics.com</w:t>
      </w:r>
      <w:r>
        <w:rPr>
          <w:rFonts w:ascii="Arial" w:cs="Arial" w:eastAsia="Arial" w:hAnsi="Arial"/>
          <w:sz w:val="17"/>
          <w:szCs w:val="17"/>
          <w:color w:val="auto"/>
        </w:rPr>
        <w:t>). You may review these documents by accessing our public filings at the SEC’s web site at www.sec.gov. In addition, a copy of the Code of Ethics will be provided without charge upon request to us in writing at 297 Boston Post Road #248, Wayland, MA 01778 or by telephone at 617-401-4400. If we make any amendments to our Code of Ethics other than technical, administrative or other non-substantive amendments, or grant any waiver, including any implicit waiver, from a provision of the Code of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or any of the websites of entities that we are affiliated with, is not incorporated by reference into this Annual Report on Form 10-K or in any other report or document we file with the SEC, and any references to our website are intended to be inactive textual references only.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7" w:name="page88"/>
    <w:bookmarkEnd w:id="87"/>
    <w:p>
      <w:pPr>
        <w:jc w:val="both"/>
        <w:spacing w:after="0" w:line="269" w:lineRule="auto"/>
        <w:rPr>
          <w:sz w:val="20"/>
          <w:szCs w:val="20"/>
          <w:color w:val="auto"/>
        </w:rPr>
      </w:pPr>
      <w:r>
        <w:rPr>
          <w:rFonts w:ascii="Arial" w:cs="Arial" w:eastAsia="Arial" w:hAnsi="Arial"/>
          <w:sz w:val="16"/>
          <w:szCs w:val="16"/>
          <w:color w:val="auto"/>
        </w:rPr>
        <w:t>The Certificate of Incorporation limits the liability of our directors to the fullest extent permitted by the Delaware General Corporation Law (“DGCL”), and the Bylaws provide that we will indemnify them to the fullest extent permitted by such law. We have entered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Gemini or any of its subsidiaries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10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the year ended December 31, 2021 are:</w:t>
      </w:r>
    </w:p>
    <w:p>
      <w:pPr>
        <w:spacing w:after="0" w:line="104" w:lineRule="exact"/>
        <w:rPr>
          <w:sz w:val="20"/>
          <w:szCs w:val="20"/>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Jason Meyenburg, our former President and Chief Executive Officer,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Brian Piekos, our Chief Financial Officer and Chief Business Officer,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Samuel Barone, M.D., our Chief Medical Officer,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Scott Lauder, Ph.D., our former Chief Technology Officer.</w:t>
      </w:r>
    </w:p>
    <w:p>
      <w:pPr>
        <w:spacing w:after="0" w:line="10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following table presents information regarding the total compensation awarded to, earned by, and paid to our named executive officers for services rendered to us in all capacities for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10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Bonus</w:t>
            </w: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 Compensation</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333"/>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9"/>
              </w:rPr>
              <w:t>($)(6)</w:t>
            </w:r>
          </w:p>
        </w:tc>
        <w:tc>
          <w:tcPr>
            <w:tcW w:w="126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99"/>
              </w:rPr>
              <w:t>($)(7)</w:t>
            </w:r>
          </w:p>
        </w:tc>
        <w:tc>
          <w:tcPr>
            <w:tcW w:w="156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9"/>
              </w:rPr>
              <w:t>($)(8)</w:t>
            </w:r>
          </w:p>
        </w:tc>
        <w:tc>
          <w:tcPr>
            <w:tcW w:w="128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160" w:type="dxa"/>
            <w:vAlign w:val="bottom"/>
            <w:tcBorders>
              <w:top w:val="single" w:sz="8" w:color="auto"/>
            </w:tcBorders>
            <w:shd w:val="clear" w:color="auto" w:fill="CFF0FC"/>
          </w:tcPr>
          <w:p>
            <w:pPr>
              <w:ind w:left="20"/>
              <w:spacing w:after="0" w:line="156" w:lineRule="exact"/>
              <w:rPr>
                <w:sz w:val="20"/>
                <w:szCs w:val="20"/>
                <w:color w:val="auto"/>
              </w:rPr>
            </w:pPr>
            <w:r>
              <w:rPr>
                <w:rFonts w:ascii="Arial" w:cs="Arial" w:eastAsia="Arial" w:hAnsi="Arial"/>
                <w:sz w:val="18"/>
                <w:szCs w:val="18"/>
                <w:color w:val="auto"/>
              </w:rPr>
              <w:t>Jason Meyenburg (1),</w:t>
            </w:r>
          </w:p>
        </w:tc>
        <w:tc>
          <w:tcPr>
            <w:tcW w:w="160" w:type="dxa"/>
            <w:vAlign w:val="bottom"/>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i w:val="1"/>
                <w:iCs w:val="1"/>
                <w:color w:val="auto"/>
              </w:rPr>
              <w:t>Former Chief Executive</w:t>
            </w:r>
          </w:p>
        </w:tc>
        <w:tc>
          <w:tcPr>
            <w:tcW w:w="620" w:type="dxa"/>
            <w:vAlign w:val="bottom"/>
            <w:gridSpan w:val="2"/>
            <w:vMerge w:val="restart"/>
            <w:shd w:val="clear" w:color="auto" w:fill="CFF0FC"/>
          </w:tcPr>
          <w:p>
            <w:pPr>
              <w:jc w:val="center"/>
              <w:ind w:left="50"/>
              <w:spacing w:after="0"/>
              <w:rPr>
                <w:sz w:val="20"/>
                <w:szCs w:val="20"/>
                <w:color w:val="auto"/>
              </w:rPr>
            </w:pPr>
            <w:r>
              <w:rPr>
                <w:rFonts w:ascii="Arial" w:cs="Arial" w:eastAsia="Arial" w:hAnsi="Arial"/>
                <w:sz w:val="18"/>
                <w:szCs w:val="18"/>
                <w:color w:val="auto"/>
                <w:w w:val="89"/>
              </w:rPr>
              <w:t>2021</w:t>
            </w: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515,000</w:t>
            </w:r>
          </w:p>
        </w:tc>
        <w:tc>
          <w:tcPr>
            <w:tcW w:w="22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9,647,917</w:t>
            </w:r>
          </w:p>
        </w:tc>
        <w:tc>
          <w:tcPr>
            <w:tcW w:w="15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193,125</w:t>
            </w: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7,832(9)</w:t>
            </w:r>
          </w:p>
        </w:tc>
        <w:tc>
          <w:tcPr>
            <w:tcW w:w="11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10,363,874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Officer and President</w:t>
            </w:r>
          </w:p>
        </w:tc>
        <w:tc>
          <w:tcPr>
            <w:tcW w:w="620" w:type="dxa"/>
            <w:vAlign w:val="bottom"/>
            <w:gridSpan w:val="2"/>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1560" w:type="dxa"/>
            <w:vAlign w:val="bottom"/>
            <w:gridSpan w:val="2"/>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89"/>
              </w:rPr>
              <w:t>2020</w:t>
            </w: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437,800</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1,541,002</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201,388</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49,992(9)</w:t>
            </w: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2,230,182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8"/>
                <w:szCs w:val="18"/>
                <w:color w:val="auto"/>
              </w:rPr>
              <w:t xml:space="preserve">Brian Piekos (2), </w:t>
            </w:r>
            <w:r>
              <w:rPr>
                <w:rFonts w:ascii="Arial" w:cs="Arial" w:eastAsia="Arial" w:hAnsi="Arial"/>
                <w:sz w:val="18"/>
                <w:szCs w:val="18"/>
                <w:i w:val="1"/>
                <w:iCs w:val="1"/>
                <w:color w:val="auto"/>
              </w:rPr>
              <w:t>Chief</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line="176" w:lineRule="exact"/>
              <w:rPr>
                <w:sz w:val="20"/>
                <w:szCs w:val="20"/>
                <w:color w:val="auto"/>
              </w:rPr>
            </w:pPr>
            <w:r>
              <w:rPr>
                <w:rFonts w:ascii="Arial" w:cs="Arial" w:eastAsia="Arial" w:hAnsi="Arial"/>
                <w:sz w:val="18"/>
                <w:szCs w:val="18"/>
                <w:i w:val="1"/>
                <w:iCs w:val="1"/>
                <w:color w:val="auto"/>
                <w:w w:val="99"/>
              </w:rPr>
              <w:t>Financial Officer and Chief</w:t>
            </w:r>
          </w:p>
        </w:tc>
        <w:tc>
          <w:tcPr>
            <w:tcW w:w="62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89"/>
              </w:rPr>
              <w:t>2021</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367,875</w:t>
            </w: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20" w:type="dxa"/>
            <w:vAlign w:val="bottom"/>
            <w:vMerge w:val="restart"/>
          </w:tcPr>
          <w:p>
            <w:pPr>
              <w:ind w:left="42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3,621,871</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color w:val="auto"/>
              </w:rPr>
              <w:t>146,910</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5,519(10)</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4,142,175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0"/>
              <w:spacing w:after="0"/>
              <w:rPr>
                <w:sz w:val="20"/>
                <w:szCs w:val="20"/>
                <w:color w:val="auto"/>
              </w:rPr>
            </w:pPr>
            <w:r>
              <w:rPr>
                <w:rFonts w:ascii="Arial" w:cs="Arial" w:eastAsia="Arial" w:hAnsi="Arial"/>
                <w:sz w:val="18"/>
                <w:szCs w:val="18"/>
                <w:i w:val="1"/>
                <w:iCs w:val="1"/>
                <w:color w:val="auto"/>
              </w:rPr>
              <w:t>Business Officer</w:t>
            </w:r>
          </w:p>
        </w:tc>
        <w:tc>
          <w:tcPr>
            <w:tcW w:w="6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1"/>
              </w:rPr>
              <w:t xml:space="preserve">Dr. Samuel Barone (3), </w:t>
            </w:r>
            <w:r>
              <w:rPr>
                <w:rFonts w:ascii="Arial" w:cs="Arial" w:eastAsia="Arial" w:hAnsi="Arial"/>
                <w:sz w:val="18"/>
                <w:szCs w:val="18"/>
                <w:i w:val="1"/>
                <w:iCs w:val="1"/>
                <w:color w:val="auto"/>
                <w:w w:val="91"/>
              </w:rPr>
              <w:t>Chief</w:t>
            </w:r>
          </w:p>
        </w:tc>
        <w:tc>
          <w:tcPr>
            <w:tcW w:w="620" w:type="dxa"/>
            <w:vAlign w:val="bottom"/>
            <w:gridSpan w:val="2"/>
            <w:vMerge w:val="restart"/>
            <w:shd w:val="clear" w:color="auto" w:fill="CFF0FC"/>
          </w:tcPr>
          <w:p>
            <w:pPr>
              <w:jc w:val="center"/>
              <w:ind w:left="50"/>
              <w:spacing w:after="0"/>
              <w:rPr>
                <w:sz w:val="20"/>
                <w:szCs w:val="20"/>
                <w:color w:val="auto"/>
              </w:rPr>
            </w:pPr>
            <w:r>
              <w:rPr>
                <w:rFonts w:ascii="Arial" w:cs="Arial" w:eastAsia="Arial" w:hAnsi="Arial"/>
                <w:sz w:val="18"/>
                <w:szCs w:val="18"/>
                <w:color w:val="auto"/>
                <w:w w:val="89"/>
              </w:rPr>
              <w:t>2021</w:t>
            </w: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305,897</w:t>
            </w:r>
          </w:p>
        </w:tc>
        <w:tc>
          <w:tcPr>
            <w:tcW w:w="12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150,000(5)</w:t>
            </w:r>
          </w:p>
        </w:tc>
        <w:tc>
          <w:tcPr>
            <w:tcW w:w="20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2,194,528</w:t>
            </w:r>
          </w:p>
        </w:tc>
        <w:tc>
          <w:tcPr>
            <w:tcW w:w="15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172,959</w:t>
            </w: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13,441(10)</w:t>
            </w:r>
          </w:p>
        </w:tc>
        <w:tc>
          <w:tcPr>
            <w:tcW w:w="11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2,836,825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Medical Officer</w:t>
            </w:r>
          </w:p>
        </w:tc>
        <w:tc>
          <w:tcPr>
            <w:tcW w:w="620" w:type="dxa"/>
            <w:vAlign w:val="bottom"/>
            <w:gridSpan w:val="2"/>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1560" w:type="dxa"/>
            <w:vAlign w:val="bottom"/>
            <w:gridSpan w:val="2"/>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8"/>
                <w:szCs w:val="18"/>
                <w:color w:val="auto"/>
                <w:w w:val="93"/>
              </w:rPr>
              <w:t xml:space="preserve">Dr. Scott Lauder (4), </w:t>
            </w:r>
            <w:r>
              <w:rPr>
                <w:rFonts w:ascii="Arial" w:cs="Arial" w:eastAsia="Arial" w:hAnsi="Arial"/>
                <w:sz w:val="18"/>
                <w:szCs w:val="18"/>
                <w:i w:val="1"/>
                <w:iCs w:val="1"/>
                <w:color w:val="auto"/>
                <w:w w:val="93"/>
              </w:rPr>
              <w:t>Former</w:t>
            </w:r>
          </w:p>
        </w:tc>
        <w:tc>
          <w:tcPr>
            <w:tcW w:w="62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89"/>
              </w:rPr>
              <w:t>2021</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293,872</w:t>
            </w: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620" w:type="dxa"/>
            <w:vAlign w:val="bottom"/>
            <w:vMerge w:val="restart"/>
          </w:tcPr>
          <w:p>
            <w:pPr>
              <w:ind w:left="42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4,725,438</w:t>
            </w:r>
          </w:p>
        </w:tc>
        <w:tc>
          <w:tcPr>
            <w:tcW w:w="2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35,909(11)</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5,055,219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i w:val="1"/>
                <w:iCs w:val="1"/>
                <w:color w:val="auto"/>
              </w:rPr>
              <w:t>Chief Technology Officer</w:t>
            </w:r>
          </w:p>
        </w:tc>
        <w:tc>
          <w:tcPr>
            <w:tcW w:w="62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355,000</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2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136,517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141,645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7,500(10)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640,662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gridSpan w:val="2"/>
          </w:tcPr>
          <w:p>
            <w:pPr>
              <w:jc w:val="right"/>
              <w:ind w:right="95"/>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8" w:name="page89"/>
    <w:bookmarkEnd w:id="88"/>
    <w:p>
      <w:pPr>
        <w:ind w:left="460" w:hanging="439"/>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Meyenburg's employment with us terminated on February 28, 2022.</w:t>
      </w:r>
    </w:p>
    <w:p>
      <w:pPr>
        <w:ind w:left="460" w:hanging="439"/>
        <w:spacing w:after="0" w:line="21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Piekos commenced employment with us on February 4, 2021. His annual base salary for 2021 was $405,000.</w:t>
      </w:r>
    </w:p>
    <w:p>
      <w:pPr>
        <w:ind w:left="460" w:hanging="439"/>
        <w:spacing w:after="0" w:line="21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Dr. Barone commenced employment with us on April 12, 2021. His annual base salary for 2021 was $425,000.</w:t>
      </w:r>
    </w:p>
    <w:p>
      <w:pPr>
        <w:ind w:left="460" w:hanging="439"/>
        <w:spacing w:after="0" w:line="21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Dr. Lauder resigned from the Company on September 17, 2021. His annual base salary for 2021 was $411,650.</w:t>
      </w:r>
    </w:p>
    <w:p>
      <w:pPr>
        <w:ind w:left="460" w:right="20" w:hanging="439"/>
        <w:spacing w:after="0" w:line="211"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reported represents a $100,000 signing bonus paid to Dr. Barone pursuant to the terms of his employment agreement and a $50,000 milestone bonus paid to Dr. Barone pursuant to the terms of his retention agreement.</w:t>
      </w:r>
    </w:p>
    <w:p>
      <w:pPr>
        <w:jc w:val="both"/>
        <w:ind w:left="460" w:right="20" w:hanging="439"/>
        <w:spacing w:after="0" w:line="218"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amounts reported in the “Stock Awards” column reflect the aggregate grant date fair value of restricted stock units awarded to Mr. Piekos during 2021 based upon the probable outcome of performance conditions and computed in accordance with the provisions of Financial Accounting Standards Board Accounting Standards Codification Topic 718. The aggregate grant date fair value of such restricted stock unit award was $0 as achievement of the performance criteria was deemed not probable on the grant date. The value of this restricted stock unit award at the grant date assuming maximum achievement of the performance conditions is $322,056. See Note 11 to our consolidated financial statements included in this Annual Report on Form 10-K regarding assumptions underlying the valuation of equity awards.</w:t>
      </w:r>
    </w:p>
    <w:p>
      <w:pPr>
        <w:spacing w:after="0" w:line="1" w:lineRule="exact"/>
        <w:rPr>
          <w:rFonts w:ascii="Arial" w:cs="Arial" w:eastAsia="Arial" w:hAnsi="Arial"/>
          <w:sz w:val="17"/>
          <w:szCs w:val="17"/>
          <w:color w:val="auto"/>
        </w:rPr>
      </w:pPr>
    </w:p>
    <w:p>
      <w:pPr>
        <w:jc w:val="both"/>
        <w:ind w:left="460" w:right="20" w:hanging="439"/>
        <w:spacing w:after="0" w:line="20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amounts reported in the “Option Awards” column reflect the aggregate grant date fair value of stock options awarded during 2021 and 2020 computed in accordance with the provisions of Financial Accounting Standards Board Accounting Standards Codification Topic 718. See Note 11 to our consolidated financial statements included in this Annual Report on Form 10-K regarding assumptions underlying the valuation of equity awards.</w:t>
      </w:r>
    </w:p>
    <w:p>
      <w:pPr>
        <w:spacing w:after="0" w:line="1" w:lineRule="exact"/>
        <w:rPr>
          <w:rFonts w:ascii="Arial" w:cs="Arial" w:eastAsia="Arial" w:hAnsi="Arial"/>
          <w:sz w:val="18"/>
          <w:szCs w:val="18"/>
          <w:color w:val="auto"/>
        </w:rPr>
      </w:pPr>
    </w:p>
    <w:p>
      <w:pPr>
        <w:ind w:left="460" w:right="20" w:hanging="439"/>
        <w:spacing w:after="0" w:line="211"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2021 amounts reported represent cash incentive bonuses earned by the named executive officers for performance during the year ended December 31, 2021, which will be paid in March 2022.</w:t>
      </w:r>
    </w:p>
    <w:p>
      <w:pPr>
        <w:jc w:val="both"/>
        <w:ind w:left="460" w:right="20" w:hanging="439"/>
        <w:spacing w:after="0" w:line="20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payment for a living expense allowance of $4,166 per month to facilitate Mr. Meyenburg’s relocation to Cambridge, Massachusetts pursuant to the terms of his employment agreement with the Company as well as the Company’s portion of the executive’s health savings account contribution. The lease related to the living expense allowance was terminated in February 2021 and Mr. Meyenburg did not receive living expenses after February 2021.</w:t>
      </w:r>
    </w:p>
    <w:p>
      <w:pPr>
        <w:spacing w:after="0" w:line="1" w:lineRule="exact"/>
        <w:rPr>
          <w:rFonts w:ascii="Arial" w:cs="Arial" w:eastAsia="Arial" w:hAnsi="Arial"/>
          <w:sz w:val="18"/>
          <w:szCs w:val="18"/>
          <w:color w:val="auto"/>
        </w:rPr>
      </w:pPr>
    </w:p>
    <w:p>
      <w:pPr>
        <w:ind w:left="460" w:hanging="439"/>
        <w:spacing w:after="0" w:line="21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our portion of the executive’s 401(k) plan and health savings account contributions.</w:t>
      </w:r>
    </w:p>
    <w:p>
      <w:pPr>
        <w:ind w:left="460" w:right="20" w:hanging="439"/>
        <w:spacing w:after="0" w:line="226"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our portion of Dr. Lauder’s 401(k) plan and health savings account contributions, as well as his vacation accrual payout of $26,409 upon terminating his employment with us on September 17,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and Compensation Committee review compensation annually for all employees, including our executive officers. In setting executive base salaries and bonuses and granting equity incentive awards, the Compensation Committee and the Board consider compensation for comparable positions in the market, the historical compensation levels of our executive officers, individual performance as compared to our expectations and objectives, internal equity, our desire to motivate our employees to achieve short- and long-term results that are in the best interests of our stockholders, and a long-term commitment to the Company. We target a general competitive position, based on independent third-party benchmark analytics to inform the mix of compensation of base salary, bonus and long-term incentives.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Compensation Committee is primarily responsible for determining the compensation for our executive officers. Our Compensation Committee typically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for approval. Our Board discusses the Compensation Committee’s recommendation and ultimately approves the compensation of our Chief Executive officer without members of management present. Our Compensation Committee has the authority to engage the services of a consulting firm or other outside advisor to assist it in designing our executive compensation programs and in making compensation decisions. During 2021, the Compensation Committee retained the services of Arnosti Consulting, Inc. as its external compensation consultant to advise on executive compensation matters including our overall compensation program design and collection of market data to inform our compensation programs for our executive officers and members of our Board. Arnosti Consulting, Inc. reports directly to our Compensation Committee. Prior to engaging Arnosti Consulting, Inc., our Compensation Committee assessed its independence consistent with Nasdaq listing standards and concluded that the engagement of such consultant did not raise any conflict of interest.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Each named executive officer’s base salary is a fixed component of annual compensation for performing specific duties and functions, and has been established by our Compensation Committee taking into account each individual’s role, responsibilities, skills, and experience. Base salaries are reviewed annually, typically in connection with our annual performance review process, and adjusted from time to time to realign salaries with market levels after taking into account individual responsibilities,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performance and experience. For the year ended December 31, 2021, the annual base salary for each of Mr. Meyenburg, Mr. Piekos, Dr. Barone and Dr.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Lauder was $515,000, $405,000, $425,000 and $411,650,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pay cash bonuses to reward our executives for their performance over the fiscal year, based on goals established by our Board or Compensation Committee. Annual performance bonus awards are determined based on the achievement of certain predetermined annual corporate and individual performance milestones. For the year ended December 31, 2021, the target bonus for Mr. Meyenburg was equal to 50% percent of his base salary (100% based on achievement of annual corporate milestones) and the target bonus for each of Mr. Piekos, Dr. Barone and Dr. Lauder was equal to 40% of the executive officer’s base salary (in each case, 80% based on achievement of annual corporate milestones and 20% based on achievement of individual performance milestones). For fiscal year 2021, 80% of our corporate milestones related to research and development targets and 20% related to organizational targets. Following review and determination of corporate and individual performance for 2021, the Board determined that Mr. Meyenburg’s annual bonus was earned at 75% of his target bonus, Mr. Piekos’ annual bonus was earned at 100% of his target bonus (pro-rated based on his start date) and Dr. Barone’s annual bonus was earned at 100% of his target bonus (pro-rated based on his start date). Dr. Lauder was not eligible to, and did not, receive an annual bonus for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believe that equity grants provide our executives with a strong link to our long-term performance, create an ownership culture and help to align the interests of our executives and our stockholders. In addition, we believe that equity grants promote executive retention because this feature incentivizes our executive officers to remain in our employment during the vesting period. During the year ended December 31, 2021, we granted options to purchase shares of our Common Stock and restricted stock units to Mr. Meyenburg, Mr. Piekos, Dr. Barone and Dr. Lauder, as described in more detail in the “Outstanding Equity Awards at 2021 Fiscal Year-End” table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outstanding equity awards held by each of our named executive officers as of December 31,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738"/>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Equity incentive</w:t>
            </w:r>
          </w:p>
        </w:tc>
        <w:tc>
          <w:tcPr>
            <w:tcW w:w="22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Equity incentive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plan awards:</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plan awards: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 payout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2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unearned</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of unearned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units or</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units 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Vesting</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200" w:type="dxa"/>
            <w:vAlign w:val="bottom"/>
          </w:tcPr>
          <w:p>
            <w:pPr>
              <w:spacing w:after="0"/>
              <w:rPr>
                <w:sz w:val="12"/>
                <w:szCs w:val="12"/>
                <w:color w:val="auto"/>
              </w:rPr>
            </w:pPr>
          </w:p>
        </w:tc>
        <w:tc>
          <w:tcPr>
            <w:tcW w:w="102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other rights that</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other rights that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 vested</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have not vested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20" w:type="dxa"/>
            <w:vAlign w:val="bottom"/>
            <w:gridSpan w:val="2"/>
            <w:vMerge w:val="continue"/>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1"/>
              </w:rPr>
              <w:t>commencement date</w:t>
            </w:r>
          </w:p>
        </w:tc>
        <w:tc>
          <w:tcPr>
            <w:tcW w:w="2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unexercisable</w:t>
            </w:r>
          </w:p>
        </w:tc>
        <w:tc>
          <w:tcPr>
            <w:tcW w:w="84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6"/>
              </w:rPr>
              <w:t>expiration date</w:t>
            </w:r>
          </w:p>
        </w:tc>
        <w:tc>
          <w:tcPr>
            <w:tcW w:w="126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93"/>
              </w:rPr>
              <w:t>(#)</w:t>
            </w:r>
          </w:p>
        </w:tc>
        <w:tc>
          <w:tcPr>
            <w:tcW w:w="142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93"/>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Jason Meyenburg</w:t>
            </w:r>
          </w:p>
        </w:tc>
        <w:tc>
          <w:tcPr>
            <w:tcW w:w="16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9/23/2019(3)</w:t>
            </w:r>
          </w:p>
        </w:tc>
        <w:tc>
          <w:tcPr>
            <w:tcW w:w="26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329,890</w:t>
            </w:r>
          </w:p>
        </w:tc>
        <w:tc>
          <w:tcPr>
            <w:tcW w:w="24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256,582</w:t>
            </w:r>
          </w:p>
        </w:tc>
        <w:tc>
          <w:tcPr>
            <w:tcW w:w="22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2.16</w:t>
            </w:r>
          </w:p>
        </w:tc>
        <w:tc>
          <w:tcPr>
            <w:tcW w:w="20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11/12/2029</w:t>
            </w: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3/11/2020(3)</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56,815</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73,047</w:t>
            </w: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2.53</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3/11/2030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10/16/2020(3)</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74,904</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181,909</w:t>
            </w: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7.62</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10/16/2030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2/5/2021(3)</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1,124,832</w:t>
            </w: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12.66</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2/4/2031</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360" w:type="dxa"/>
            <w:vAlign w:val="bottom"/>
          </w:tcPr>
          <w:p>
            <w:pPr>
              <w:ind w:left="20"/>
              <w:spacing w:after="0" w:line="189" w:lineRule="exact"/>
              <w:rPr>
                <w:sz w:val="20"/>
                <w:szCs w:val="20"/>
                <w:color w:val="auto"/>
              </w:rPr>
            </w:pPr>
            <w:r>
              <w:rPr>
                <w:rFonts w:ascii="Arial" w:cs="Arial" w:eastAsia="Arial" w:hAnsi="Arial"/>
                <w:sz w:val="18"/>
                <w:szCs w:val="18"/>
                <w:color w:val="auto"/>
              </w:rPr>
              <w:t>Brian Piekos</w:t>
            </w:r>
          </w:p>
        </w:tc>
        <w:tc>
          <w:tcPr>
            <w:tcW w:w="1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2/4/2021(3)</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43,580</w:t>
            </w:r>
          </w:p>
        </w:tc>
        <w:tc>
          <w:tcPr>
            <w:tcW w:w="8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12.66</w:t>
            </w:r>
          </w:p>
        </w:tc>
        <w:tc>
          <w:tcPr>
            <w:tcW w:w="1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2/4/2031</w:t>
            </w: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1/25/2021(3)</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377,734</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12.59</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4/11/2031</w:t>
            </w: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90,720(4)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263,995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Dr. Samuel Barone</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4/12/2021(3)</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255,212</w:t>
            </w: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12.59</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4/11/2031</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Dr. Scott Lauder(2)</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gridSpan w:val="2"/>
          </w:tcPr>
          <w:p>
            <w:pPr>
              <w:jc w:val="right"/>
              <w:ind w:right="642"/>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0" w:name="page91"/>
    <w:bookmarkEnd w:id="90"/>
    <w:p>
      <w:pPr>
        <w:ind w:left="480" w:hanging="459"/>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the fair market value of our Common Stock as of December 31, 2021 of $2.91.</w:t>
      </w:r>
    </w:p>
    <w:p>
      <w:pPr>
        <w:ind w:left="480" w:hanging="459"/>
        <w:spacing w:after="0" w:line="219" w:lineRule="auto"/>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Dr. Lauder resigned from the Company on September 17, 2021. He had no outstanding equity awards as of December 31, 2021.</w:t>
      </w:r>
    </w:p>
    <w:p>
      <w:pPr>
        <w:ind w:left="480" w:right="20" w:hanging="459"/>
        <w:spacing w:after="0" w:line="237" w:lineRule="auto"/>
        <w:tabs>
          <w:tab w:leader="none" w:pos="4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shares underlying this stock option vest over four years with 25% of the shares vesting on the first anniversary of the vesting commencement date, and the remaining shares vesting in 36 equal monthly installments thereafter, subject to the executive’s continued service.</w:t>
      </w:r>
    </w:p>
    <w:p>
      <w:pPr>
        <w:spacing w:after="0" w:line="1" w:lineRule="exact"/>
        <w:rPr>
          <w:rFonts w:ascii="Arial" w:cs="Arial" w:eastAsia="Arial" w:hAnsi="Arial"/>
          <w:sz w:val="16"/>
          <w:szCs w:val="16"/>
          <w:color w:val="auto"/>
        </w:rPr>
      </w:pPr>
    </w:p>
    <w:p>
      <w:pPr>
        <w:jc w:val="both"/>
        <w:ind w:left="480" w:right="20" w:hanging="459"/>
        <w:spacing w:after="0" w:line="218" w:lineRule="auto"/>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a restricted stock unit award granted on October 18, 2021. Thirty-three percent (33%) of the restricted stock units shall vest upon the achievement of a clinical milestone, and the remaining sixty-seven percent (67%) of the restricted stock units shall vest on the one (1)-year anniversary of the achievement of this clinical milestone.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maintain a tax-qualified retirement plan that provides eligible U.S. employees, including our named executive officers, with an opportunity to save for retirement on a tax advantaged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Severance Agreements with our Named Executive Officers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employment agreements with each of our named executive officers, the material terms of which are summarized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Jason Meyenburg Employment Agreement</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entered into an employment agreement with Mr. Meyenburg on January 21, 2021, which became effective as of February 5, 2021 (the “Meyenburg Employment Agreement”) and replaced Mr. Meyenburg’s earlier employment agreement. Pursuant to the Meyenburg Employment Agreement, we employed Mr. Meyenburg as our President and Chief Executive Officer. The Meyenburg Employment Agreement also provided for Mr. Meyenburg to serve as a member of our Board for as long as he was employed as our Chief Executive Officer. The employment of Mr. Meyenburg was “at will” and the Meyenburg Employment Agreement endures until terminated by either party.</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Pursuant to the Meyenburg Employment Agreement, in the event Mr. Meyenburg’s employment was terminated by us without Cause or he resigned for Good Reason (as each such term is defined in the Meyenburg Employment Agreement), subject to his execution and non-revocation of a separation agreement, including a general release of claims in our favor (and, in our sole discretion, a one-year post-employment noncompetition agreement) (a “Separation Agreement and Release”), Mr. Meyenburg was entitled to the following severance payments and benefits: (a) continuation of his then-current Base Salary (as such term is defined in the Meyenburg Employment Agreement) for 12 months; (b) a pro rata portion of his Target Bonus (as such term is defined in the Meyenburg Employment Agreement); and (c) if Mr. Meyenburg elected to continue his health benefits through COBRA, monthly COBRA premiums paid by us until the earliest of: (i) the 12-month anniversary of the date of termination, (ii) the date Mr. Meyenburg becomes eligible for health insurance through another employer, or (iii) the cessation of Mr. Meyenburg’s continuation rights under COBRA.</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lieu of the payments and benefits described above, in the event Mr. Meyenburg’s employment was terminated by us without Cause or he resigned for Good Reason, in either event within the 12-month period immediately following a Change in Control (as such term is defined in the Meyenburg Employment Agreement), subject to his execution and non-revocation of a Separation Agreement and Release, Mr. Meyenburg was entitled to (a) a lump sum in cash equal to one and half times the sum of (i) Mr. Meyenburg’s then current Base Salary (or his Base Salary in effect immediately prior to the Change in Control, if higher) plus (ii) Mr. Meyenburg’s Target Bonus for the then-current year; (b) full accelerated vesting of any then-outstanding equity awards as of the later of (i) the date of termination or (ii) the effective date of the Separation Agreement and Release; and (c) if Mr. Meyenburg elected to continue his health benefits through COBRA, monthly COBRA premiums paid by us until the earliest of: (i) the 18-month anniversary of the date of termination, (ii) the date Mr. Meyenburg becomes eligible for health insurance through another employer, or (iii) the cessation of Mr. Meyenburg’s continuation rights under COBRA.</w:t>
      </w:r>
    </w:p>
    <w:p>
      <w:pPr>
        <w:spacing w:after="0" w:line="19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event that Mr. Meyenburg was entitled to any payments pursuant to his Employee Confidentiality, Assignment and Noncompetition Agreement with us, cash severance amounts payable to him pursuant to the Meyenburg Employment Agreement would have been reduced by the amount that Mr. Meyenburg was paid in the same calendar year pursuant to the Employee Confidentiality, Assignment and Noncompetition Agreement. Severance payments under the Meyenburg Employment Agreement would have ceased in the event that Mr. Meyenburg breached his obligations under the Employee Confidentiality, Assignment and Noncompetition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91" w:name="page92"/>
    <w:bookmarkEnd w:id="91"/>
    <w:p>
      <w:pPr>
        <w:jc w:val="both"/>
        <w:spacing w:after="0" w:line="291" w:lineRule="auto"/>
        <w:rPr>
          <w:sz w:val="20"/>
          <w:szCs w:val="20"/>
          <w:color w:val="auto"/>
        </w:rPr>
      </w:pPr>
      <w:r>
        <w:rPr>
          <w:rFonts w:ascii="Arial" w:cs="Arial" w:eastAsia="Arial" w:hAnsi="Arial"/>
          <w:sz w:val="17"/>
          <w:szCs w:val="17"/>
          <w:color w:val="auto"/>
        </w:rPr>
        <w:t>Mr. Meyenburg has also agreed to refrain from disclosing our confidential information during or at any time following his employment with us and from competing with us or soliciting our employees or customers during his employment and for 12 months following termination of his employment.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Meyenburg Separation Agreement</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February 28, 2022, we entered into a separation agreement with Mr. Meyenburg (the “Separation Agreement”). Pursuant to the Separation Agreement, Mr. Meyenburg is entitled to receive (i) an amount equal to 12 months of his base salary, (ii) a pro rata portion of his Target Bonus (as defined in the Meyenburg Employment Agreement) for 2022, and (iii) monthly COBRA premiums paid by the Company until the earlier of (a) 12 months from his separation date, (b) the date Mr. Meyenburg becomes eligible for health insurance through another employer, or (c) the cessation of Mr. Meyenburg’s continuation coverage rights under COBRA. The Separation Agreement also contains a reaffirmation of Mr. Meyenburg’s confidentiality and restrictive covenant obligations to the Company and a general release of claims by Mr. Meyenburg. Mr. Meyenburg will continue to contribute to the Company in an advisory role for a period of time following his separation date, during which time he will continue to vest in his existing equity awards. In addition, Mr. Meyenburg may exercise his vested stock options until 180 days after the termination of his advisory role, or the original expiration date of such stock options, if earlier.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Brian Piekos Employment Agreement</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entered into an employment agreement with Mr. Piekos on January 25, 2021, which became effective as of February 4, 2021 (the “Piekos Employment Agreement”). Pursuant to the Piekos Employment Agreement, Mr. Piekos serves as our Chief Financial Officer, principal accounting officer and principal financial officer. Mr. Piekos was also appointed as Chief Business Officer in October 2021. The employment of Mr. Piekos is “at will” and the agreement endures until terminated by either party.</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Mr. Piekos’s annual base salary for 2021 was $405,000, which is subject to periodic review and adjustment. Pursuant to the Piekos Employment Agreement, Mr. Piekos is eligible to receive an annual bonus targeted at 40% of his annual base salary. The actual amount of the bonus is determined by the Board or the Compensation Committee based on its assessment of the performance of Mr. Piekos and that of the Company against pre-established goals determined by our Board or Compensation Committee. Mr. Piekos is also eligible to participate in the employee benefit plans available to our employees, subject to the terms of those plans.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the event Mr. Piekos’s employment is terminated by us without Cause or he resigns for Good Reason (as each such term is defined in the Piekos Employment Agreement), subject to his execution and non-revocation of a Separation Agreement and Release, Mr. Piekos is entitled to (a) continuation of his then-current Base Salary (as such term is defined in the Piekos Employment Agreement) for nine months, (b) a pro rata portion of the Target Bonus (as such term is defined in the Piekos Employment Agreement); and (c) if Mr. Piekos elects to continue his health benefits through COBRA, monthly COBRA premiums paid by us until the earliest of: (i) the nine-month anniversary of the date of termination, (ii) the date Mr. Piekos becomes eligible for health insurance through another employer, or (iii) the cessation of Mr. Piekos’s continuation rights under COBRA. Such severance payments shall cease in the event that Mr. Piekos breaches his obligations post-employment obligations to the Company.</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lieu of the payments and benefits described above, in the event Mr. Piekos’s employment is terminated by us without Cause or he resigns for Good Reason, in either event within the 12-month period immediately following a Change in Control (as such term is defined in the Piekos Employment Agreement), subject to his execution and non-revocation of a Separation Agreement and Release, Mr. Piekos is entitled to (a) a lump sum in cash equal to one times the sum of (i) Mr. Piekos’s then current Base Salary (or his Base Salary in effect immediately prior to the Change in Control, if higher) plus (ii) Mr. Piekos’ Target Bonus for the then-current year; (b) full accelerated vesting of any then-outstanding equity awards as of the later of (i) the date of termination or (ii) the effective date of the Separation Agreement and Release; and (c) if Mr. Piekos elects to continue his health benefits through COBRA, monthly COBRA premiums paid by us until the earliest of: (i) the 12-month anniversary of the date of termination, (ii) the date Mr. Piekos becomes eligible for health insurance through another employer, or (iii) the cessation of Mr. Piekos’s continuation rights under COBRA.</w:t>
      </w:r>
    </w:p>
    <w:p>
      <w:pPr>
        <w:spacing w:after="0" w:line="16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event that Mr. Piekos is entitled to Garden Leave Pay (as defined in the Piekos Employment Agreement), cash severance amounts payable to him pursuant to the Piekos Employment Agreement will be reduced by any Garden Leave Pay that Mr. Piekos is paid.</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Mr. Piekos has also agreed to refrain from disclosing our confidential information during or at any time following his employment with us and from competing with us or soliciting our employees or customers during his employment and for one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2" w:name="page93"/>
    <w:bookmarkEnd w:id="92"/>
    <w:p>
      <w:pPr>
        <w:jc w:val="both"/>
        <w:ind w:right="20"/>
        <w:spacing w:after="0" w:line="261" w:lineRule="auto"/>
        <w:rPr>
          <w:sz w:val="20"/>
          <w:szCs w:val="20"/>
          <w:color w:val="auto"/>
        </w:rPr>
      </w:pPr>
      <w:r>
        <w:rPr>
          <w:rFonts w:ascii="Arial" w:cs="Arial" w:eastAsia="Arial" w:hAnsi="Arial"/>
          <w:sz w:val="18"/>
          <w:szCs w:val="18"/>
          <w:color w:val="auto"/>
        </w:rPr>
        <w:t>year (or two years if Mr. Piekos breaches his fiduciary duty to us or if he has unlawfully taken, physically or electronically, property belonging to us) following termination of his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Samuel Barone, M.D. Employment Agreement</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entered into an employment agreement with Dr. Barone on March 24, 2021, which became effective on April 12, 2021 (the “Barone Employment Agreement”). Pursuant to the Barone Employment Agreement, Dr. Barone serves as our Chief Medical Officer. The employment of Dr. Barone is “at will” and the agreement endures until terminated by either party.</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8"/>
          <w:szCs w:val="18"/>
          <w:color w:val="auto"/>
        </w:rPr>
        <w:t>Dr. Barone’s annual base salary for 2021 was $425,000, which is subject to periodic review and adjustment. Pursuant to the Barone Employment Agreement, Dr. Barone is eligible to receive an annual bonus targeted at 40% of his annual base salary. The actual amount of the bonus is determined by the Board or the Compensation Committee based on its assessment of the performance of Dr. Barone and that of the Company against pre-established goals determined by our Board or Compensation Committee. Dr. Barone is also eligible to participate in the employee benefit plans available to our employees, subject to the terms of those plans. Pursuant to the terms of the Barone Employment Agreement, Dr. Barone also received a signing bonus of $100,000 on our first regular payroll date following March 24, 2021.</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the event Dr. Barone’s employment is terminated by us without Cause or he resigns for Good Reason (as each such term is defined in the Barone Employment Agreement), subject to his execution and non-revocation of a Separation Agreement and Release, Dr. Barone is entitled to (a) continuation of his then-current Base Salary (as such term is defined in the Barone Employment Agreement) for nine months, (b) a pro rata portion of the Target Bonus (as such term is defined in the Barone Employment Agreement); and (c) if Dr. Barone elects to continue his health benefits through COBRA, monthly COBRA premiums paid by us until the earliest of: (i) the nine-month anniversary of the date of termination, (ii) the date Dr. Barone becomes eligible for health insurance through another employer, or (iii) the cessation of Dr. Barone’s continuation rights under COBRA. Such severance payments shall cease in the event that Dr. Barone breaches his obligations post-employment obligations to us.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lieu of the payments and benefits described above, in the event Dr. Barone s employment is terminated by us without Cause or he resigns for Good Reason, in either event within the 12-month period immediately following a Change in Control (as such term is defined in the Barone Employment Agreement), subject to his execution and non-revocation of a Separation Agreement and Release, Dr. Barone is entitled to (a) a lump sum in cash equal to one times the sum of (i) Dr. Barone’s then current Base Salary (or his Base Salary in effect immediately prior to the Change in Control, if higher) plus (ii) Dr. Barone’s Target Bonus for the then-current year; (b) full accelerated vesting of any then-outstanding equity awards as of the later of (i) the date of termination or (ii) the effective date of the Separation Agreement and Release; and (c) if Dr. Barone elects to continue his health benefits through COBRA, monthly COBRA premiums paid by us until the earliest of: (i) the 12-month anniversary of the date of termination, (ii) the date Dr. Barone becomes eligible for health insurance through another employer, or (iii) the cessation of Dr. Barone’s continuation rights under COBRA.</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Dr. Barone has agreed to refrain from disclosing our confidential information during or at any time following his employment with us and from soliciting our employees or customers during his employment and for one year (or two years if Dr. Barone breaches his fiduciary duty to the Company or if he has unlawfully taken, physically or electronically, property belonging to the Company) following termination of his employment.</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October 4, 2021, we entered into a retention agreement (the “Barone Retention Agreement”) with Dr. Barone, which terminated the Barone Employment Agreement (except for the surviving provisions as described in the Barone Retention Agreement) and to modify his role and responsibilities. Under the Retention Agreement, Dr. Barone will continue to receive his current salary and benefits and vest in his equity awards, and is also eligible to receive a cash incentive of up to $100,000, in two installments, upon achievement of certain milestones. The Retention Agreement also provides that Dr. Barone is eligible to receive a retention bonus equal to the sum of (i) nine months of his base salary and (ii) a pro rata portion of his target bonus for the calendar year in which the last day of his employment occurs, to be paid in calendar year 2022 on a date determined by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Samuel Barone, M.D. Retention Agreement</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October 4, 2021, we entered into an agreement with Dr. Barone (the “Retention Agreement”) to modify his role and responsibilities. Pursuant to the Retention Agreement, Dr. Barone retained his title of Chief Medical Officer, however, he is no longer be primarily responsible for the Company’s regulatory and medical affairs. Under the Retention Agreement, Dr. Barone continues to receive his current salary and benefits and vest in his equity awards, and was also eligible to receive payments in an aggregate amount of up to $100,000, in two installments, upon achievement of certain milestones specified in the Retention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3" w:name="page94"/>
    <w:bookmarkEnd w:id="93"/>
    <w:p>
      <w:pPr>
        <w:jc w:val="both"/>
        <w:spacing w:after="0" w:line="248" w:lineRule="auto"/>
        <w:rPr>
          <w:sz w:val="20"/>
          <w:szCs w:val="20"/>
          <w:color w:val="auto"/>
        </w:rPr>
      </w:pPr>
      <w:r>
        <w:rPr>
          <w:rFonts w:ascii="Arial" w:cs="Arial" w:eastAsia="Arial" w:hAnsi="Arial"/>
          <w:sz w:val="18"/>
          <w:szCs w:val="18"/>
          <w:color w:val="auto"/>
        </w:rPr>
        <w:t>Agreement. The Retention Agreement also provides that Dr. Barone is eligible to receive a retention bonus equal to the sum of (i) nine months of his base salary and (ii) a pro rata portion of his target bonus for the calendar year in which the last day of his employment occurs, to be paid in calendar year 2022 on a date determined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 Lauder, Ph.D. Employment Agreement</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entered into an employment agreement with Dr. Lauder dated January 22, 2021, which became effective as of February 5, 2021 (the “Lauder Employment Agreement”). Pursuant to the Lauder Employment Agreement, Dr. Lauder served as our Chief Technology Officer.</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Pursuant to the Lauder Employment Agreement, in the event Dr. Lauder’s employment was terminated without Cause or he resigned for Good Reason (as each such term is defined in Lauder Employment Agreement), subject to his execution and non-revocation of a Separation Agreement and Release, Dr. Lauder was entitled to the following: (a) continuation of his then-current Base Salary (as defined in the Lauder Employment Agreement) for nine months,</w:t>
      </w:r>
    </w:p>
    <w:p>
      <w:pPr>
        <w:jc w:val="both"/>
        <w:ind w:firstLine="8"/>
        <w:spacing w:after="0" w:line="283" w:lineRule="auto"/>
        <w:tabs>
          <w:tab w:leader="none" w:pos="27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pro rata portion of his Target Bonus (as such term is defined in the Lauder Employment Agreement); and (c) if Dr. Lauder elected to continue his health benefits through COBRA, monthly COBRA premiums paid by us until the earlier of: (i) the 12-month anniversary of the date of termination, (ii) the date Dr. Lauder became eligible for health insurance through another employer, or (iii) the cessation of Dr. Lauder’s continuation rights under COBRA.</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lieu of the payments and benefits described above, in the event Dr. Lauder’s employment was terminated without Cause or he resigned for Good Reason, in either event within the 12-month period immediately following a Change in Control (as such term is defined in the Lauder Employment Agreement), subject to his execution and non-revocation of a Separation Agreement and Release, Dr. Lauder was entitled to (a) a lump sum in cash equal to one times the sum of (i) Dr. Lauder’s then-current Base Salary plus (ii) Dr. Lauder’s Target Bonus for the then-current year; (b) full accelerated vesting of any then-outstanding equity awards as of the later of (i) the date of termination or (ii) the effective date of the Separation Agreement and Release; and (c) if Dr. Lauder elected to continue his health benefits through COBRA, monthly COBRA premiums paid by us until the earliest of: (i) the 12-month anniversary of the date of termination, (ii) the date Dr. Lauder became eligible for health insurance through another employer, or (iii) the cessation of Dr. Lauder’s continuation rights under COBRA.</w:t>
      </w:r>
    </w:p>
    <w:p>
      <w:pPr>
        <w:spacing w:after="0" w:line="19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event that Dr. Lauder was entitled to any payments pursuant to his Employee Confidentiality, Assignment and Noncompetition Agreement with us, cash severance amounts payable to him pursuant to the Lauder Employment Agreement would have been reduced by the amount that Dr. Lauder was paid in the same calendar year pursuant to the Employee Confidentiality, Assignment and Noncompetition Agreement. Severance payments under the Lauder Employment Agreement would have ceased in the event that Dr. Lauder breached his obligations under the Employee Confidentiality, Assignment and Noncompetition Agreement.</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following table presents the total compensation for each person who served as a non-employee member of our Board during 2021. Other than as set forth in the table and described more fully below, we did not pay any compensation, make any equity awards to, or pay any other compensation to any of the non-employee members of our Board. Jason Meyenburg, our former President and Chief Executive Officer, did not receive any compensation for his service as a member of our Board during 2021. Mr. Meyenburg’s compensation for service as an employee for fiscal year 2021 is presented in the “2021 Summary Compensation Table”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Director Compensation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Fees earned or</w:t>
            </w:r>
          </w:p>
        </w:tc>
        <w:tc>
          <w:tcPr>
            <w:tcW w:w="1500" w:type="dxa"/>
            <w:vAlign w:val="bottom"/>
          </w:tcPr>
          <w:p>
            <w:pPr>
              <w:ind w:left="500"/>
              <w:spacing w:after="0"/>
              <w:rPr>
                <w:sz w:val="20"/>
                <w:szCs w:val="20"/>
                <w:color w:val="auto"/>
              </w:rPr>
            </w:pPr>
            <w:r>
              <w:rPr>
                <w:rFonts w:ascii="Arial" w:cs="Arial" w:eastAsia="Arial" w:hAnsi="Arial"/>
                <w:sz w:val="14"/>
                <w:szCs w:val="14"/>
                <w:b w:val="1"/>
                <w:bCs w:val="1"/>
                <w:color w:val="auto"/>
              </w:rPr>
              <w:t>Option</w:t>
            </w:r>
          </w:p>
        </w:tc>
        <w:tc>
          <w:tcPr>
            <w:tcW w:w="320" w:type="dxa"/>
            <w:vAlign w:val="bottom"/>
          </w:tcPr>
          <w:p>
            <w:pPr>
              <w:spacing w:after="0"/>
              <w:rPr>
                <w:sz w:val="14"/>
                <w:szCs w:val="14"/>
                <w:color w:val="auto"/>
              </w:rPr>
            </w:pPr>
          </w:p>
        </w:tc>
        <w:tc>
          <w:tcPr>
            <w:tcW w:w="16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All other compensation</w:t>
            </w:r>
          </w:p>
        </w:tc>
        <w:tc>
          <w:tcPr>
            <w:tcW w:w="300" w:type="dxa"/>
            <w:vAlign w:val="bottom"/>
          </w:tcPr>
          <w:p>
            <w:pPr>
              <w:spacing w:after="0"/>
              <w:rPr>
                <w:sz w:val="14"/>
                <w:szCs w:val="14"/>
                <w:color w:val="auto"/>
              </w:rPr>
            </w:pPr>
          </w:p>
        </w:tc>
        <w:tc>
          <w:tcPr>
            <w:tcW w:w="148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2"/>
                <w:szCs w:val="12"/>
                <w:color w:val="auto"/>
              </w:rPr>
            </w:pPr>
          </w:p>
        </w:tc>
        <w:tc>
          <w:tcPr>
            <w:tcW w:w="2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paid in cash</w:t>
            </w:r>
          </w:p>
        </w:tc>
        <w:tc>
          <w:tcPr>
            <w:tcW w:w="150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awards</w:t>
            </w:r>
          </w:p>
        </w:tc>
        <w:tc>
          <w:tcPr>
            <w:tcW w:w="3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80" w:type="dxa"/>
            <w:vAlign w:val="bottom"/>
            <w:vMerge w:val="continue"/>
          </w:tcPr>
          <w:p>
            <w:pPr>
              <w:spacing w:after="0"/>
              <w:rPr>
                <w:sz w:val="16"/>
                <w:szCs w:val="16"/>
                <w:color w:val="auto"/>
              </w:rPr>
            </w:pPr>
          </w:p>
        </w:tc>
        <w:tc>
          <w:tcPr>
            <w:tcW w:w="1980" w:type="dxa"/>
            <w:vAlign w:val="bottom"/>
            <w:gridSpan w:val="2"/>
          </w:tcPr>
          <w:p>
            <w:pPr>
              <w:jc w:val="center"/>
              <w:ind w:left="153"/>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500" w:type="dxa"/>
            <w:vAlign w:val="bottom"/>
          </w:tcPr>
          <w:p>
            <w:pPr>
              <w:ind w:left="500"/>
              <w:spacing w:after="0"/>
              <w:rPr>
                <w:sz w:val="20"/>
                <w:szCs w:val="20"/>
                <w:color w:val="auto"/>
              </w:rPr>
            </w:pPr>
            <w:r>
              <w:rPr>
                <w:rFonts w:ascii="Arial" w:cs="Arial" w:eastAsia="Arial" w:hAnsi="Arial"/>
                <w:sz w:val="14"/>
                <w:szCs w:val="14"/>
                <w:b w:val="1"/>
                <w:bCs w:val="1"/>
                <w:color w:val="auto"/>
              </w:rPr>
              <w:t>($)(2)(3)</w:t>
            </w:r>
          </w:p>
        </w:tc>
        <w:tc>
          <w:tcPr>
            <w:tcW w:w="2000" w:type="dxa"/>
            <w:vAlign w:val="bottom"/>
            <w:gridSpan w:val="2"/>
          </w:tcPr>
          <w:p>
            <w:pPr>
              <w:jc w:val="right"/>
              <w:ind w:right="593"/>
              <w:spacing w:after="0"/>
              <w:rPr>
                <w:sz w:val="20"/>
                <w:szCs w:val="20"/>
                <w:color w:val="auto"/>
              </w:rPr>
            </w:pPr>
            <w:r>
              <w:rPr>
                <w:rFonts w:ascii="Arial" w:cs="Arial" w:eastAsia="Arial" w:hAnsi="Arial"/>
                <w:sz w:val="14"/>
                <w:szCs w:val="14"/>
                <w:b w:val="1"/>
                <w:bCs w:val="1"/>
                <w:color w:val="auto"/>
              </w:rPr>
              <w:t>($)(4)</w:t>
            </w:r>
          </w:p>
        </w:tc>
        <w:tc>
          <w:tcPr>
            <w:tcW w:w="1780" w:type="dxa"/>
            <w:vAlign w:val="bottom"/>
            <w:gridSpan w:val="2"/>
          </w:tcPr>
          <w:p>
            <w:pPr>
              <w:jc w:val="right"/>
              <w:ind w:right="57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Dr. Georges Gemayel(1)</w:t>
            </w:r>
          </w:p>
        </w:tc>
        <w:tc>
          <w:tcPr>
            <w:tcW w:w="24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40,217</w:t>
            </w:r>
          </w:p>
        </w:tc>
        <w:tc>
          <w:tcPr>
            <w:tcW w:w="340" w:type="dxa"/>
            <w:vAlign w:val="bottom"/>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460,711</w:t>
            </w:r>
          </w:p>
        </w:tc>
        <w:tc>
          <w:tcPr>
            <w:tcW w:w="32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216,508</w:t>
            </w:r>
          </w:p>
        </w:tc>
        <w:tc>
          <w:tcPr>
            <w:tcW w:w="30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717,436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line="202" w:lineRule="exact"/>
              <w:rPr>
                <w:sz w:val="20"/>
                <w:szCs w:val="20"/>
                <w:color w:val="auto"/>
              </w:rPr>
            </w:pPr>
            <w:r>
              <w:rPr>
                <w:rFonts w:ascii="Arial" w:cs="Arial" w:eastAsia="Arial" w:hAnsi="Arial"/>
                <w:sz w:val="18"/>
                <w:szCs w:val="18"/>
                <w:color w:val="auto"/>
              </w:rPr>
              <w:t>Dr. Carl Gordon</w:t>
            </w:r>
          </w:p>
        </w:tc>
        <w:tc>
          <w:tcPr>
            <w:tcW w:w="1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34,236</w:t>
            </w:r>
          </w:p>
        </w:tc>
        <w:tc>
          <w:tcPr>
            <w:tcW w:w="3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44,318</w:t>
            </w:r>
          </w:p>
        </w:tc>
        <w:tc>
          <w:tcPr>
            <w:tcW w:w="3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78,554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David Lubner</w:t>
            </w:r>
          </w:p>
        </w:tc>
        <w:tc>
          <w:tcPr>
            <w:tcW w:w="1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54,882</w:t>
            </w: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695,108</w:t>
            </w:r>
          </w:p>
        </w:tc>
        <w:tc>
          <w:tcPr>
            <w:tcW w:w="3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749,990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line="202" w:lineRule="exact"/>
              <w:rPr>
                <w:sz w:val="20"/>
                <w:szCs w:val="20"/>
                <w:color w:val="auto"/>
              </w:rPr>
            </w:pPr>
            <w:r>
              <w:rPr>
                <w:rFonts w:ascii="Arial" w:cs="Arial" w:eastAsia="Arial" w:hAnsi="Arial"/>
                <w:sz w:val="18"/>
                <w:szCs w:val="18"/>
                <w:color w:val="auto"/>
              </w:rPr>
              <w:t>Dr. Tuyen Ong</w:t>
            </w:r>
          </w:p>
        </w:tc>
        <w:tc>
          <w:tcPr>
            <w:tcW w:w="1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43,785</w:t>
            </w:r>
          </w:p>
        </w:tc>
        <w:tc>
          <w:tcPr>
            <w:tcW w:w="3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706,212</w:t>
            </w:r>
          </w:p>
        </w:tc>
        <w:tc>
          <w:tcPr>
            <w:tcW w:w="3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749,997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Jason Rhodes</w:t>
            </w:r>
          </w:p>
        </w:tc>
        <w:tc>
          <w:tcPr>
            <w:tcW w:w="1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30,354</w:t>
            </w: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44,318</w:t>
            </w:r>
          </w:p>
        </w:tc>
        <w:tc>
          <w:tcPr>
            <w:tcW w:w="3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74,672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Dr. Jim Tananbaum</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6,722</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44,318</w:t>
            </w: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51,040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3580" w:type="dxa"/>
            <w:vAlign w:val="bottom"/>
          </w:tcPr>
          <w:p>
            <w:pPr>
              <w:spacing w:after="0"/>
              <w:rPr>
                <w:sz w:val="24"/>
                <w:szCs w:val="24"/>
                <w:color w:val="auto"/>
              </w:rPr>
            </w:pPr>
          </w:p>
        </w:tc>
        <w:tc>
          <w:tcPr>
            <w:tcW w:w="2320" w:type="dxa"/>
            <w:vAlign w:val="bottom"/>
            <w:gridSpan w:val="3"/>
          </w:tcPr>
          <w:p>
            <w:pPr>
              <w:jc w:val="right"/>
              <w:ind w:right="180"/>
              <w:spacing w:after="0"/>
              <w:rPr>
                <w:sz w:val="20"/>
                <w:szCs w:val="20"/>
                <w:color w:val="auto"/>
              </w:rPr>
            </w:pPr>
            <w:r>
              <w:rPr>
                <w:rFonts w:ascii="Arial" w:cs="Arial" w:eastAsia="Arial" w:hAnsi="Arial"/>
                <w:sz w:val="18"/>
                <w:szCs w:val="18"/>
                <w:color w:val="auto"/>
              </w:rPr>
              <w:t>89</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4" w:name="page95"/>
    <w:bookmarkEnd w:id="94"/>
    <w:p>
      <w:pPr>
        <w:ind w:left="480" w:right="20" w:hanging="459"/>
        <w:spacing w:after="0" w:line="220" w:lineRule="auto"/>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May 2021, Dr. Gemayel was appointed to serve as Chair of the Board. In November 2021, he entered into an employment agreement to serve as Executive Chair of the Board.</w:t>
      </w:r>
    </w:p>
    <w:p>
      <w:pPr>
        <w:spacing w:after="0" w:line="1" w:lineRule="exact"/>
        <w:rPr>
          <w:rFonts w:ascii="Arial" w:cs="Arial" w:eastAsia="Arial" w:hAnsi="Arial"/>
          <w:sz w:val="18"/>
          <w:szCs w:val="18"/>
          <w:color w:val="auto"/>
        </w:rPr>
      </w:pPr>
    </w:p>
    <w:p>
      <w:pPr>
        <w:jc w:val="both"/>
        <w:ind w:left="480" w:right="20" w:hanging="459"/>
        <w:spacing w:after="0" w:line="206" w:lineRule="auto"/>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reported in the “Option Awards” column reflect the aggregate grant date fair value of stock options awarded during the year computed in accordance with the provisions of Financial Accounting Standards Board Accounting Standards Codification Topic 718. See Note 11 to our consolidated financial statements included in this Annual Report on Form 10-K regarding assumptions underlying the valuation of equity awards. For Dr. Gemayel, the amount reported includes $94,921 attributable to a stock option granted to him pursuant to the terms of his employment agreement with us.</w:t>
      </w:r>
    </w:p>
    <w:p>
      <w:pPr>
        <w:spacing w:after="0" w:line="2" w:lineRule="exact"/>
        <w:rPr>
          <w:rFonts w:ascii="Arial" w:cs="Arial" w:eastAsia="Arial" w:hAnsi="Arial"/>
          <w:sz w:val="18"/>
          <w:szCs w:val="18"/>
          <w:color w:val="auto"/>
        </w:rPr>
      </w:pPr>
    </w:p>
    <w:p>
      <w:pPr>
        <w:ind w:left="480" w:right="20" w:hanging="459"/>
        <w:spacing w:after="0" w:line="237"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Non-employee directors who served on the board of directors during 2021 held the following unexercised stock options as of December 31, 2021: Dr. Gemayel – 86,225; Dr. Gordon – 17,245; Mr. Lubner – 126,731; Dr. Ong – 139,730; Mr. Rhodes – 17,245; and Dr. Tananbaum – 17,245.</w:t>
      </w:r>
    </w:p>
    <w:p>
      <w:pPr>
        <w:spacing w:after="0" w:line="1" w:lineRule="exact"/>
        <w:rPr>
          <w:rFonts w:ascii="Arial" w:cs="Arial" w:eastAsia="Arial" w:hAnsi="Arial"/>
          <w:sz w:val="16"/>
          <w:szCs w:val="16"/>
          <w:color w:val="auto"/>
        </w:rPr>
      </w:pPr>
    </w:p>
    <w:p>
      <w:pPr>
        <w:jc w:val="both"/>
        <w:ind w:left="480" w:right="20" w:hanging="459"/>
        <w:spacing w:after="0" w:line="239"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amount reported for Dr. Gemayel represents (i) base salary paid from November 15, 2021 to December 31, 2021 for his role as Executive Chair ($38,333), (ii) a signing bonus paid to Dr. Gemayel pursuant to the terms of his employment agreement ($63,300), (iii) a cash incentive bonus earned for performance during the year ended December 31, 2021, which was paid in March 2022 ($112,500), and (iv) the Company’s portion of the executive’s 401(k) plan and health savings account contributions ($2,375). Dr. Gemayel’s annual base salary as Executive Chair is $300,000 (which is inclusive of fees associated with Dr. Gemayel’s services as both a director of the Company and in the capacity of Executive Chair).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Georges Gemayel, Ph.D.</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entered into an employment agreement with Dr. Gemayel, which became effective as of November 15, 2021 (the “Gemayel Employment Agreement”). Pursuant to the Gemayel Employment Agreement, we employ Dr. Gemayel as our Executive Chair of the Board. Effective as of February 28, 2022, Dr. Gemayel was appointed as Interim President and Chief Executive Officer. The employment of Dr. Gemayel is “at will” and the Gemayel Employment Agreement endures until terminated by either party.</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Dr. Gemayel’s current annual base salary is $300,000 (which is inclusive of fees associated with Dr. Gemayel’s services as both a director of the Company and in the capacity of Executive Chair), which is subject to periodic review and adjustment. Dr. Gemayel's employment with the Company is part-time. Pursuant to the Gemayel Employment Agreement, Dr. Gemayel also received a signing bonus of $63,300. Further, pursuant to the Gemayel Employment Agreement, Dr. Gemayel is eligible to participate in any annual bonus programs as may be established from time to time by the Board. The actual amount of the bonus is determined by the Board. Dr. Gemayel is also eligible to participate in the employee benefit plans available to our employees, subject to the terms of those plans.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Gemayel Employment Agreement, Dr. Gemayel is entitled to stock option grants as follows, in each case subject to approval of the Board,</w:t>
      </w:r>
    </w:p>
    <w:p>
      <w:pPr>
        <w:spacing w:after="0" w:line="35" w:lineRule="exact"/>
        <w:rPr>
          <w:sz w:val="20"/>
          <w:szCs w:val="20"/>
          <w:color w:val="auto"/>
        </w:rPr>
      </w:pPr>
    </w:p>
    <w:p>
      <w:pPr>
        <w:jc w:val="both"/>
        <w:ind w:firstLine="8"/>
        <w:spacing w:after="0" w:line="237" w:lineRule="auto"/>
        <w:tabs>
          <w:tab w:leader="none" w:pos="21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stock option to purchase 23,514 shares, which will vest in full on August 5, 2022; (ii) a stock option to purchase 17,245 shares, which will vest in full on the earlier of the one-year anniversary of the grant date and the Company’s next annual meeting of stockholders, (iii) on January 3, 2022, a stock option to purchase 793,274 shares, which will vest 50% on August 5, 2022 and the remaining 50% on August 5, 2023, and (iv) an annual equity award of an option to purchase such number of shares equal to 0.16% of the then issued and outstanding shares of the Company, which shall vest on the earlier of the one-year anniversary of the grant date and the Company’s next annual meeting of stockholders, subject in each case to Dr. Gemayel’s continued service relationship with the Company on each such vesting date.</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Dr. Gemayel has also agreed to refrain from disclosing our confidential information during or at any time following his employment with us and from soliciting our employees or customers during his employment and for 12 months following termination of his employment.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0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Our Board adopted a non-employee director compensation policy, which is designed to enable us to attract and retain, on a long-term basis, highly qualified non-employee directors. Employee directors do not receive additional compensation for their services as directors. Each director who is not an employee is paid cash compensation as set forth below for serving on the Board, with such compensation paid on a quarterly basis in arrears: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5"/>
        </w:trPr>
        <w:tc>
          <w:tcPr>
            <w:tcW w:w="9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Annual Retainer</w:t>
            </w:r>
          </w:p>
        </w:tc>
        <w:tc>
          <w:tcPr>
            <w:tcW w:w="60" w:type="dxa"/>
            <w:vAlign w:val="bottom"/>
          </w:tcPr>
          <w:p>
            <w:pPr>
              <w:spacing w:after="0"/>
              <w:rPr>
                <w:sz w:val="16"/>
                <w:szCs w:val="16"/>
                <w:color w:val="auto"/>
              </w:rPr>
            </w:pPr>
          </w:p>
        </w:tc>
      </w:tr>
      <w:tr>
        <w:trPr>
          <w:trHeight w:val="196"/>
        </w:trPr>
        <w:tc>
          <w:tcPr>
            <w:tcW w:w="9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Board of Directors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35,000</w:t>
            </w:r>
          </w:p>
        </w:tc>
        <w:tc>
          <w:tcPr>
            <w:tcW w:w="60" w:type="dxa"/>
            <w:vAlign w:val="bottom"/>
            <w:shd w:val="clear" w:color="auto" w:fill="CFF0FC"/>
          </w:tcPr>
          <w:p>
            <w:pPr>
              <w:spacing w:after="0"/>
              <w:rPr>
                <w:sz w:val="17"/>
                <w:szCs w:val="17"/>
                <w:color w:val="auto"/>
              </w:rPr>
            </w:pPr>
          </w:p>
        </w:tc>
      </w:tr>
      <w:tr>
        <w:trPr>
          <w:trHeight w:val="229"/>
        </w:trPr>
        <w:tc>
          <w:tcPr>
            <w:tcW w:w="9120" w:type="dxa"/>
            <w:vAlign w:val="bottom"/>
          </w:tcPr>
          <w:p>
            <w:pPr>
              <w:ind w:left="20"/>
              <w:spacing w:after="0"/>
              <w:rPr>
                <w:sz w:val="20"/>
                <w:szCs w:val="20"/>
                <w:color w:val="auto"/>
              </w:rPr>
            </w:pPr>
            <w:r>
              <w:rPr>
                <w:rFonts w:ascii="Arial" w:cs="Arial" w:eastAsia="Arial" w:hAnsi="Arial"/>
                <w:sz w:val="18"/>
                <w:szCs w:val="18"/>
                <w:color w:val="auto"/>
              </w:rPr>
              <w:t>Board of Directors Chair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65,000</w:t>
            </w:r>
          </w:p>
        </w:tc>
        <w:tc>
          <w:tcPr>
            <w:tcW w:w="60" w:type="dxa"/>
            <w:vAlign w:val="bottom"/>
          </w:tcPr>
          <w:p>
            <w:pPr>
              <w:spacing w:after="0"/>
              <w:rPr>
                <w:sz w:val="19"/>
                <w:szCs w:val="19"/>
                <w:color w:val="auto"/>
              </w:rPr>
            </w:pPr>
          </w:p>
        </w:tc>
      </w:tr>
      <w:tr>
        <w:trPr>
          <w:trHeight w:val="230"/>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Audit Committee Chair</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FF0FC"/>
          </w:tcPr>
          <w:p>
            <w:pPr>
              <w:spacing w:after="0"/>
              <w:rPr>
                <w:sz w:val="19"/>
                <w:szCs w:val="19"/>
                <w:color w:val="auto"/>
              </w:rPr>
            </w:pPr>
          </w:p>
        </w:tc>
      </w:tr>
      <w:tr>
        <w:trPr>
          <w:trHeight w:val="229"/>
        </w:trPr>
        <w:tc>
          <w:tcPr>
            <w:tcW w:w="9120" w:type="dxa"/>
            <w:vAlign w:val="bottom"/>
          </w:tcPr>
          <w:p>
            <w:pPr>
              <w:ind w:left="20"/>
              <w:spacing w:after="0"/>
              <w:rPr>
                <w:sz w:val="20"/>
                <w:szCs w:val="20"/>
                <w:color w:val="auto"/>
              </w:rPr>
            </w:pPr>
            <w:r>
              <w:rPr>
                <w:rFonts w:ascii="Arial" w:cs="Arial" w:eastAsia="Arial" w:hAnsi="Arial"/>
                <w:sz w:val="18"/>
                <w:szCs w:val="18"/>
                <w:color w:val="auto"/>
              </w:rPr>
              <w:t>Audit Committee Member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9"/>
                <w:szCs w:val="19"/>
                <w:color w:val="auto"/>
              </w:rPr>
            </w:pPr>
          </w:p>
        </w:tc>
      </w:tr>
      <w:tr>
        <w:trPr>
          <w:trHeight w:val="229"/>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Committee Chair</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FF0FC"/>
          </w:tcPr>
          <w:p>
            <w:pPr>
              <w:spacing w:after="0"/>
              <w:rPr>
                <w:sz w:val="19"/>
                <w:szCs w:val="19"/>
                <w:color w:val="auto"/>
              </w:rPr>
            </w:pPr>
          </w:p>
        </w:tc>
      </w:tr>
      <w:tr>
        <w:trPr>
          <w:trHeight w:val="230"/>
        </w:trPr>
        <w:tc>
          <w:tcPr>
            <w:tcW w:w="9120" w:type="dxa"/>
            <w:vAlign w:val="bottom"/>
          </w:tcPr>
          <w:p>
            <w:pPr>
              <w:ind w:left="20"/>
              <w:spacing w:after="0"/>
              <w:rPr>
                <w:sz w:val="20"/>
                <w:szCs w:val="20"/>
                <w:color w:val="auto"/>
              </w:rPr>
            </w:pPr>
            <w:r>
              <w:rPr>
                <w:rFonts w:ascii="Arial" w:cs="Arial" w:eastAsia="Arial" w:hAnsi="Arial"/>
                <w:sz w:val="18"/>
                <w:szCs w:val="18"/>
                <w:color w:val="auto"/>
              </w:rPr>
              <w:t>Compensation Committee Member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9"/>
                <w:szCs w:val="19"/>
                <w:color w:val="auto"/>
              </w:rPr>
            </w:pPr>
          </w:p>
        </w:tc>
      </w:tr>
      <w:tr>
        <w:trPr>
          <w:trHeight w:val="229"/>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Nominating and Corporate Governance Committee Chair</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60" w:type="dxa"/>
            <w:vAlign w:val="bottom"/>
            <w:shd w:val="clear" w:color="auto" w:fill="CFF0FC"/>
          </w:tcPr>
          <w:p>
            <w:pPr>
              <w:spacing w:after="0"/>
              <w:rPr>
                <w:sz w:val="19"/>
                <w:szCs w:val="19"/>
                <w:color w:val="auto"/>
              </w:rPr>
            </w:pP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Nominating and Corporate Governance Committee Member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21"/>
                <w:szCs w:val="2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each non-employee elected or appointed to the Board following the closing of the Business Combination is granted a stock option award to purchase a number of shares of Common Stock equal to 0.08% of the total shares outstanding on the date of such director’s election or appointment to the Board, which vests in equal monthly installments over three years, subject to continued service through such vesting dates. On the date of each annual meeting of stockholders of the Company, each non-employee director will be granted an annual stock option award to purchase a number of shares of Common Stock equal to 0.04% of the total shares outstanding, which vests in full of the earlier to occur of the first anniversary of the date of grant or the next annual meeting, subject to continued service as a director through such vesting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that although a portion of the compensation provided to our executive officers is performance-based, our executive compensation program does not encourage excessive or unnecessary risk taking. This is primarily because its compensation programs are designed to create a greater focus on long-term value creation while balancing the need to meet shorter-term goals. The framework and goals of our annual performance-based incentive plan are consistent for all employees. Further all compensation decisions for our officers are approved by the Compensation Committee, while the Executive Chair and Chief Executive Officer’s compensation requires further approval by the Board.</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the Compensation Committee is responsible for reviewing and approving the design, goals and payouts under our annual bonus plan and equity incentive program for our named executive officers. The Compensation Committee directly engages an independent compensation consultant who advises on market competitive and best practices, as well as any potential risks related to its compensation programs. This includes pay mix, compensation vehicles, pay for performance alignment, performance measures and goals, payout maximums, vesting periods and Compensation Committee oversight and independence. Based on all the factors mentioned, we believe our compensation policies, programs and practices do not create risks that are reasonably likely to have a material adverse effect on 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2021. All outstanding option awards relate to our Common Stock.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to be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1"/>
              </w:rPr>
              <w:t>Weighted-average Exercise</w:t>
            </w:r>
          </w:p>
        </w:tc>
        <w:tc>
          <w:tcPr>
            <w:tcW w:w="22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Available for Future Issuance Under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40" w:type="dxa"/>
            <w:vAlign w:val="bottom"/>
          </w:tcPr>
          <w:p>
            <w:pPr>
              <w:spacing w:after="0"/>
              <w:rPr>
                <w:sz w:val="12"/>
                <w:szCs w:val="12"/>
                <w:color w:val="auto"/>
              </w:rPr>
            </w:pP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Price of Outstanding Options,</w:t>
            </w:r>
          </w:p>
        </w:tc>
        <w:tc>
          <w:tcPr>
            <w:tcW w:w="22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 Compensation Plans (excluding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Warrants and Rights</w:t>
            </w:r>
          </w:p>
        </w:tc>
        <w:tc>
          <w:tcPr>
            <w:tcW w:w="22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reflected in column (a))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7"/>
              </w:rPr>
              <w:t>(b)(3)</w:t>
            </w:r>
          </w:p>
        </w:tc>
        <w:tc>
          <w:tcPr>
            <w:tcW w:w="220" w:type="dxa"/>
            <w:vAlign w:val="bottom"/>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w w:val="92"/>
              </w:rPr>
              <w:t>Equity compensation plans approved by security holders:</w:t>
            </w: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Pr>
          <w:p>
            <w:pPr>
              <w:ind w:left="200"/>
              <w:spacing w:after="0" w:line="202" w:lineRule="exact"/>
              <w:rPr>
                <w:sz w:val="20"/>
                <w:szCs w:val="20"/>
                <w:color w:val="auto"/>
              </w:rPr>
            </w:pPr>
            <w:r>
              <w:rPr>
                <w:rFonts w:ascii="Arial" w:cs="Arial" w:eastAsia="Arial" w:hAnsi="Arial"/>
                <w:sz w:val="18"/>
                <w:szCs w:val="18"/>
                <w:color w:val="auto"/>
                <w:w w:val="94"/>
              </w:rPr>
              <w:t>2021</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Stock Option and Incentive Plan(1)</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4,034,537</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2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229,804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4"/>
              </w:rPr>
              <w:t>2021</w:t>
            </w:r>
          </w:p>
        </w:tc>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 Stock Purchase Plan(2)</w:t>
            </w: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430,551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Pr>
          <w:p>
            <w:pPr>
              <w:ind w:left="200"/>
              <w:spacing w:after="0" w:line="202" w:lineRule="exact"/>
              <w:rPr>
                <w:sz w:val="20"/>
                <w:szCs w:val="20"/>
                <w:color w:val="auto"/>
              </w:rPr>
            </w:pPr>
            <w:r>
              <w:rPr>
                <w:rFonts w:ascii="Arial" w:cs="Arial" w:eastAsia="Arial" w:hAnsi="Arial"/>
                <w:sz w:val="18"/>
                <w:szCs w:val="18"/>
                <w:color w:val="auto"/>
                <w:w w:val="94"/>
              </w:rPr>
              <w:t>2017</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Stock Option and Grant Plan</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849,946</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10.32</w:t>
            </w:r>
          </w:p>
        </w:tc>
        <w:tc>
          <w:tcPr>
            <w:tcW w:w="220" w:type="dxa"/>
            <w:vAlign w:val="bottom"/>
          </w:tcPr>
          <w:p>
            <w:pPr>
              <w:spacing w:after="0"/>
              <w:rPr>
                <w:sz w:val="17"/>
                <w:szCs w:val="17"/>
                <w:color w:val="auto"/>
              </w:rPr>
            </w:pP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4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rPr>
              <w:t>Equity compensation plans not approved by security</w:t>
            </w:r>
          </w:p>
        </w:tc>
        <w:tc>
          <w:tcPr>
            <w:tcW w:w="16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7"/>
              </w:rPr>
              <w:t>holders:</w:t>
            </w: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 w:type="dxa"/>
            <w:vAlign w:val="bottom"/>
          </w:tcPr>
          <w:p>
            <w:pPr>
              <w:ind w:left="200"/>
              <w:spacing w:after="0" w:line="202" w:lineRule="exact"/>
              <w:rPr>
                <w:sz w:val="20"/>
                <w:szCs w:val="20"/>
                <w:color w:val="auto"/>
              </w:rPr>
            </w:pPr>
            <w:r>
              <w:rPr>
                <w:rFonts w:ascii="Arial" w:cs="Arial" w:eastAsia="Arial" w:hAnsi="Arial"/>
                <w:sz w:val="18"/>
                <w:szCs w:val="18"/>
                <w:color w:val="auto"/>
                <w:w w:val="94"/>
              </w:rPr>
              <w:t>2021</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Inducement Plan</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1,432,758</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c>
          <w:tcPr>
            <w:tcW w:w="2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766,949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36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6,317,241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1,427,304</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6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gridSpan w:val="2"/>
          </w:tcPr>
          <w:p>
            <w:pPr>
              <w:jc w:val="right"/>
              <w:ind w:right="383"/>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0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-505460</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-488315</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-505460</wp:posOffset>
            </wp:positionV>
            <wp:extent cx="431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-488315</wp:posOffset>
            </wp:positionV>
            <wp:extent cx="431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jc w:val="both"/>
        <w:ind w:left="460" w:right="20" w:hanging="439"/>
        <w:spacing w:after="0" w:line="21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shares of common stock reserved for issuance under the 2021 Stock Option and Incentive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Board. Subject to this provision, we added 1,728,326 shares to the 2021 Stock Option and Incentive Plan effective January 1, 2022.</w:t>
      </w:r>
    </w:p>
    <w:p>
      <w:pPr>
        <w:spacing w:after="0" w:line="1" w:lineRule="exact"/>
        <w:rPr>
          <w:rFonts w:ascii="Arial" w:cs="Arial" w:eastAsia="Arial" w:hAnsi="Arial"/>
          <w:sz w:val="18"/>
          <w:szCs w:val="18"/>
          <w:color w:val="auto"/>
        </w:rPr>
      </w:pPr>
    </w:p>
    <w:p>
      <w:pPr>
        <w:jc w:val="both"/>
        <w:ind w:left="460" w:right="20" w:hanging="439"/>
        <w:spacing w:after="0" w:line="207"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shares of common stock reserved for issuance under the 2021 Employee Stock Purchase Plan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430,551 shares of common stock, or (c) such number of shares determined by the Board.</w:t>
      </w:r>
    </w:p>
    <w:p>
      <w:pPr>
        <w:spacing w:after="0" w:line="1" w:lineRule="exact"/>
        <w:rPr>
          <w:rFonts w:ascii="Arial" w:cs="Arial" w:eastAsia="Arial" w:hAnsi="Arial"/>
          <w:sz w:val="18"/>
          <w:szCs w:val="18"/>
          <w:color w:val="auto"/>
        </w:rPr>
      </w:pPr>
    </w:p>
    <w:p>
      <w:pPr>
        <w:ind w:left="460" w:right="20" w:hanging="439"/>
        <w:spacing w:after="0" w:line="22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weighted-average exercise price is calculated based solely on outstanding stock options and does not include outstanding restricted stock units, which do not have an exercise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the Common Stock as of February 28, 2022:</w:t>
      </w:r>
    </w:p>
    <w:p>
      <w:pPr>
        <w:spacing w:after="0" w:line="104" w:lineRule="exact"/>
        <w:rPr>
          <w:sz w:val="20"/>
          <w:szCs w:val="20"/>
          <w:color w:val="auto"/>
        </w:rPr>
      </w:pPr>
    </w:p>
    <w:p>
      <w:pPr>
        <w:ind w:left="1020" w:hanging="503"/>
        <w:spacing w:after="0"/>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greater than 5% of our outstanding Common Stock;</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(as applicable) that are currently exercisable or exercisable within 60 days of February 28, 2022 are considered outstanding and beneficially owned by the person holding the options for the purpose of calculating the percentage ownership of that person but not for the purpose of calculating the percentage ownership of any other person or entity. Unless otherwise indicated, we believe that all persons named in the table have sole voting and investment power with respect to all Common Stock beneficially owned by them. Unless otherwise noted, the business address of each of the executive officers and directors of Gemini is 297 Boston Post Road #248, Wayland, MA 01778. The percentage of shares beneficially owned is based on 43,208,159 shares of Common Stock outstanding as of February 28,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Address of Beneficial Owner</w:t>
            </w: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Number of Shares</w:t>
            </w:r>
          </w:p>
        </w:tc>
        <w:tc>
          <w:tcPr>
            <w:tcW w:w="18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196"/>
        </w:trPr>
        <w:tc>
          <w:tcPr>
            <w:tcW w:w="5160" w:type="dxa"/>
            <w:vAlign w:val="bottom"/>
            <w:tcBorders>
              <w:top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i w:val="1"/>
                <w:iCs w:val="1"/>
                <w:color w:val="auto"/>
              </w:rPr>
              <w:t>Directors and Officers:</w:t>
            </w:r>
          </w:p>
        </w:tc>
        <w:tc>
          <w:tcPr>
            <w:tcW w:w="23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Georges Gemayel(2)</w:t>
            </w:r>
          </w:p>
        </w:tc>
        <w:tc>
          <w:tcPr>
            <w:tcW w:w="4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11,367</w:t>
            </w: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Brian Piekos(1)</w:t>
            </w:r>
          </w:p>
        </w:tc>
        <w:tc>
          <w:tcPr>
            <w:tcW w:w="4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138,407</w:t>
            </w:r>
          </w:p>
        </w:tc>
        <w:tc>
          <w:tcPr>
            <w:tcW w:w="1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Samuel Barone(2)</w:t>
            </w:r>
          </w:p>
        </w:tc>
        <w:tc>
          <w:tcPr>
            <w:tcW w:w="4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63,803</w:t>
            </w: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Carl Gordon</w:t>
            </w:r>
          </w:p>
        </w:tc>
        <w:tc>
          <w:tcPr>
            <w:tcW w:w="2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David Lubner(2)</w:t>
            </w:r>
          </w:p>
        </w:tc>
        <w:tc>
          <w:tcPr>
            <w:tcW w:w="4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52,676</w:t>
            </w: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Tuyen Ong(2)</w:t>
            </w:r>
          </w:p>
        </w:tc>
        <w:tc>
          <w:tcPr>
            <w:tcW w:w="4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45,981</w:t>
            </w:r>
          </w:p>
        </w:tc>
        <w:tc>
          <w:tcPr>
            <w:tcW w:w="1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Jason Rhodes</w:t>
            </w: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Jim Tananbaum(3)</w:t>
            </w:r>
          </w:p>
        </w:tc>
        <w:tc>
          <w:tcPr>
            <w:tcW w:w="4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4,870,250</w:t>
            </w:r>
          </w:p>
        </w:tc>
        <w:tc>
          <w:tcPr>
            <w:tcW w:w="1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11.3</w:t>
            </w:r>
          </w:p>
        </w:tc>
        <w:tc>
          <w:tcPr>
            <w:tcW w:w="60" w:type="dxa"/>
            <w:vAlign w:val="bottom"/>
            <w:shd w:val="clear" w:color="auto" w:fill="CFF0FC"/>
          </w:tcPr>
          <w:p>
            <w:pPr>
              <w:spacing w:after="0"/>
              <w:rPr>
                <w:sz w:val="17"/>
                <w:szCs w:val="17"/>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w w:val="96"/>
              </w:rPr>
              <w:t>All Directors and Executive Officers as a group (8 individuals)</w:t>
            </w:r>
          </w:p>
        </w:tc>
        <w:tc>
          <w:tcPr>
            <w:tcW w:w="416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5,182,484</w:t>
            </w: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12.0</w:t>
            </w:r>
          </w:p>
        </w:tc>
        <w:tc>
          <w:tcPr>
            <w:tcW w:w="60" w:type="dxa"/>
            <w:vAlign w:val="bottom"/>
          </w:tcPr>
          <w:p>
            <w:pPr>
              <w:spacing w:after="0"/>
              <w:rPr>
                <w:sz w:val="17"/>
                <w:szCs w:val="17"/>
                <w:color w:val="auto"/>
              </w:rPr>
            </w:pPr>
          </w:p>
        </w:tc>
      </w:tr>
      <w:tr>
        <w:trPr>
          <w:trHeight w:val="203"/>
        </w:trPr>
        <w:tc>
          <w:tcPr>
            <w:tcW w:w="5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i w:val="1"/>
                <w:iCs w:val="1"/>
                <w:color w:val="auto"/>
              </w:rPr>
              <w:t>Five Percent Holders:</w:t>
            </w:r>
          </w:p>
        </w:tc>
        <w:tc>
          <w:tcPr>
            <w:tcW w:w="2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FS Development Holdings, LLC(3)</w:t>
            </w:r>
          </w:p>
        </w:tc>
        <w:tc>
          <w:tcPr>
            <w:tcW w:w="4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4,870,250</w:t>
            </w: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11.3</w:t>
            </w:r>
          </w:p>
        </w:tc>
        <w:tc>
          <w:tcPr>
            <w:tcW w:w="60" w:type="dxa"/>
            <w:vAlign w:val="bottom"/>
          </w:tcPr>
          <w:p>
            <w:pPr>
              <w:spacing w:after="0"/>
              <w:rPr>
                <w:sz w:val="17"/>
                <w:szCs w:val="17"/>
                <w:color w:val="auto"/>
              </w:rPr>
            </w:pPr>
          </w:p>
        </w:tc>
      </w:tr>
      <w:tr>
        <w:trPr>
          <w:trHeight w:val="203"/>
        </w:trPr>
        <w:tc>
          <w:tcPr>
            <w:tcW w:w="5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Orbimed Private Investments VI, LP(4)</w:t>
            </w:r>
          </w:p>
        </w:tc>
        <w:tc>
          <w:tcPr>
            <w:tcW w:w="4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5,826,224</w:t>
            </w:r>
          </w:p>
        </w:tc>
        <w:tc>
          <w:tcPr>
            <w:tcW w:w="1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13.5</w:t>
            </w:r>
          </w:p>
        </w:tc>
        <w:tc>
          <w:tcPr>
            <w:tcW w:w="60" w:type="dxa"/>
            <w:vAlign w:val="bottom"/>
            <w:shd w:val="clear" w:color="auto" w:fill="CFF0FC"/>
          </w:tcPr>
          <w:p>
            <w:pPr>
              <w:spacing w:after="0"/>
              <w:rPr>
                <w:sz w:val="17"/>
                <w:szCs w:val="17"/>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Entities affiliated with Atlas Ventures(5)</w:t>
            </w:r>
          </w:p>
        </w:tc>
        <w:tc>
          <w:tcPr>
            <w:tcW w:w="4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5,254,365</w:t>
            </w: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12.2</w:t>
            </w:r>
          </w:p>
        </w:tc>
        <w:tc>
          <w:tcPr>
            <w:tcW w:w="60" w:type="dxa"/>
            <w:vAlign w:val="bottom"/>
          </w:tcPr>
          <w:p>
            <w:pPr>
              <w:spacing w:after="0"/>
              <w:rPr>
                <w:sz w:val="17"/>
                <w:szCs w:val="17"/>
                <w:color w:val="auto"/>
              </w:rPr>
            </w:pPr>
          </w:p>
        </w:tc>
      </w:tr>
      <w:tr>
        <w:trPr>
          <w:trHeight w:val="203"/>
        </w:trPr>
        <w:tc>
          <w:tcPr>
            <w:tcW w:w="5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Entities affiliated with Lightstone Ventures(6)</w:t>
            </w:r>
          </w:p>
        </w:tc>
        <w:tc>
          <w:tcPr>
            <w:tcW w:w="4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4,836,106</w:t>
            </w:r>
          </w:p>
        </w:tc>
        <w:tc>
          <w:tcPr>
            <w:tcW w:w="1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11.2</w:t>
            </w:r>
          </w:p>
        </w:tc>
        <w:tc>
          <w:tcPr>
            <w:tcW w:w="60" w:type="dxa"/>
            <w:vAlign w:val="bottom"/>
            <w:shd w:val="clear" w:color="auto" w:fill="CFF0FC"/>
          </w:tcPr>
          <w:p>
            <w:pPr>
              <w:spacing w:after="0"/>
              <w:rPr>
                <w:sz w:val="17"/>
                <w:szCs w:val="17"/>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Entities affiliated with Fidelity(7)</w:t>
            </w:r>
          </w:p>
        </w:tc>
        <w:tc>
          <w:tcPr>
            <w:tcW w:w="4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2,789,500</w:t>
            </w: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w:t>
            </w:r>
          </w:p>
        </w:tc>
        <w:tc>
          <w:tcPr>
            <w:tcW w:w="60" w:type="dxa"/>
            <w:vAlign w:val="bottom"/>
          </w:tcPr>
          <w:p>
            <w:pPr>
              <w:spacing w:after="0"/>
              <w:rPr>
                <w:sz w:val="17"/>
                <w:szCs w:val="17"/>
                <w:color w:val="auto"/>
              </w:rPr>
            </w:pPr>
          </w:p>
        </w:tc>
      </w:tr>
      <w:tr>
        <w:trPr>
          <w:trHeight w:val="203"/>
        </w:trPr>
        <w:tc>
          <w:tcPr>
            <w:tcW w:w="51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Franklin Resources, Inc.(8)</w:t>
            </w:r>
          </w:p>
        </w:tc>
        <w:tc>
          <w:tcPr>
            <w:tcW w:w="4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2,512,773</w:t>
            </w:r>
          </w:p>
        </w:tc>
        <w:tc>
          <w:tcPr>
            <w:tcW w:w="1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5.8</w:t>
            </w:r>
          </w:p>
        </w:tc>
        <w:tc>
          <w:tcPr>
            <w:tcW w:w="60" w:type="dxa"/>
            <w:vAlign w:val="bottom"/>
            <w:shd w:val="clear" w:color="auto" w:fill="CFF0FC"/>
          </w:tcPr>
          <w:p>
            <w:pPr>
              <w:spacing w:after="0"/>
              <w:rPr>
                <w:sz w:val="17"/>
                <w:szCs w:val="17"/>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Suvretta Capital Management, LLC(9)</w:t>
            </w:r>
          </w:p>
        </w:tc>
        <w:tc>
          <w:tcPr>
            <w:tcW w:w="4160" w:type="dxa"/>
            <w:vAlign w:val="bottom"/>
            <w:gridSpan w:val="3"/>
          </w:tcPr>
          <w:p>
            <w:pPr>
              <w:jc w:val="right"/>
              <w:spacing w:after="0"/>
              <w:rPr>
                <w:sz w:val="20"/>
                <w:szCs w:val="20"/>
                <w:color w:val="auto"/>
              </w:rPr>
            </w:pPr>
            <w:r>
              <w:rPr>
                <w:rFonts w:ascii="Arial" w:cs="Arial" w:eastAsia="Arial" w:hAnsi="Arial"/>
                <w:sz w:val="18"/>
                <w:szCs w:val="18"/>
                <w:color w:val="auto"/>
              </w:rPr>
              <w:t>2,372,267</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0"/>
                <w:szCs w:val="20"/>
                <w:color w:val="auto"/>
              </w:rPr>
            </w:pPr>
          </w:p>
        </w:tc>
      </w:tr>
      <w:tr>
        <w:trPr>
          <w:trHeight w:val="377"/>
        </w:trPr>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900" w:type="dxa"/>
            <w:vAlign w:val="bottom"/>
          </w:tcPr>
          <w:p>
            <w:pPr>
              <w:ind w:left="140"/>
              <w:spacing w:after="0"/>
              <w:rPr>
                <w:sz w:val="20"/>
                <w:szCs w:val="20"/>
                <w:color w:val="auto"/>
              </w:rPr>
            </w:pPr>
            <w:r>
              <w:rPr>
                <w:rFonts w:ascii="Arial" w:cs="Arial" w:eastAsia="Arial" w:hAnsi="Arial"/>
                <w:sz w:val="18"/>
                <w:szCs w:val="18"/>
                <w:color w:val="auto"/>
              </w:rPr>
              <w:t>Less than one percent.</w:t>
            </w:r>
          </w:p>
        </w:tc>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21"/>
        </w:trPr>
        <w:tc>
          <w:tcPr>
            <w:tcW w:w="2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340" w:type="dxa"/>
            <w:vAlign w:val="bottom"/>
          </w:tcPr>
          <w:p>
            <w:pPr>
              <w:jc w:val="right"/>
              <w:ind w:right="169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260" w:type="dxa"/>
            <w:vAlign w:val="bottom"/>
            <w:tcBorders>
              <w:bottom w:val="single" w:sz="8" w:color="9A9A9A"/>
            </w:tcBorders>
          </w:tcPr>
          <w:p>
            <w:pPr>
              <w:spacing w:after="0"/>
              <w:rPr>
                <w:sz w:val="8"/>
                <w:szCs w:val="8"/>
                <w:color w:val="auto"/>
              </w:rPr>
            </w:pPr>
          </w:p>
        </w:tc>
        <w:tc>
          <w:tcPr>
            <w:tcW w:w="490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97" w:name="page98"/>
    <w:bookmarkEnd w:id="97"/>
    <w:p>
      <w:pPr>
        <w:ind w:left="380" w:hanging="379"/>
        <w:spacing w:after="0"/>
        <w:tabs>
          <w:tab w:leader="none" w:pos="3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shares currently held and shares of Common Stock that are currently exercisable or exercisable within 60 days of February 28, 2022.</w:t>
      </w:r>
    </w:p>
    <w:p>
      <w:pPr>
        <w:spacing w:after="0" w:line="21" w:lineRule="exact"/>
        <w:rPr>
          <w:rFonts w:ascii="Arial" w:cs="Arial" w:eastAsia="Arial" w:hAnsi="Arial"/>
          <w:sz w:val="16"/>
          <w:szCs w:val="16"/>
          <w:color w:val="auto"/>
        </w:rPr>
      </w:pPr>
    </w:p>
    <w:p>
      <w:pPr>
        <w:ind w:left="380" w:hanging="379"/>
        <w:spacing w:after="0" w:line="219"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shares of Common Stock that are currently exercisable or exercisable within 60 days of February 28, 2022.</w:t>
      </w:r>
    </w:p>
    <w:p>
      <w:pPr>
        <w:jc w:val="both"/>
        <w:ind w:left="380" w:hanging="379"/>
        <w:spacing w:after="0" w:line="217"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FS Development Holdings, LLC is the record holder of 4,870,250 shares reported herein. Foresite Capital Management V, LLC (“FCM V”), is the general partner of Foresite Capital Fund V LP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voting and investment discretion over these shares. Each of FCM V LP, FCOM LP, FCM V, FCOM V and Dr. Tananbaum disclaim beneficial ownership of these shares except to the extent of any pecuniary interest therein.</w:t>
      </w:r>
    </w:p>
    <w:p>
      <w:pPr>
        <w:spacing w:after="0" w:line="4" w:lineRule="exact"/>
        <w:rPr>
          <w:rFonts w:ascii="Arial" w:cs="Arial" w:eastAsia="Arial" w:hAnsi="Arial"/>
          <w:sz w:val="17"/>
          <w:szCs w:val="17"/>
          <w:color w:val="auto"/>
        </w:rPr>
      </w:pPr>
    </w:p>
    <w:p>
      <w:pPr>
        <w:jc w:val="both"/>
        <w:ind w:left="380" w:hanging="379"/>
        <w:spacing w:after="0" w:line="206"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5,189,187 shares held by OrbiMed Private Investments VI, LP. OrbiMed Capital GP VI LLC, or GP VI, is the general partner of OrbiMed Private Investments VI, LP, or OPI VI. OrbiMed Advisors LLC, or OrbiMed Advisors, is the managing member of GP VI. By virtue of such relationships, OrbiMed Advisors and GP VI may be deemed to have voting and investment power with respect to the shares held by OPI VI and as a result may be deemed to have beneficial ownership of these shares. OrbiMed Advisors exercises investment and voting power through a management committee comprised of Carl Gordon, Sven H. Borho, and Jonathan T. Silverstein, each of whom disclaims beneficial ownership of the shares held by OPI.</w:t>
      </w:r>
    </w:p>
    <w:p>
      <w:pPr>
        <w:jc w:val="both"/>
        <w:ind w:left="380" w:hanging="379"/>
        <w:spacing w:after="0" w:line="216"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3,533,927 shares held by Atlas Venture Fund X, L.P. (“Atlas Fund X”), 641,926 shares held by Atlas Venture Opportunity Fund I, L.P. (“Atlas Fund I”), and 510,000 shares held by Atlas Venture Fund XII, L.P. (“Atlas Fund XII”).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Atlas Venture Associates Opportunity I, L.P. is the general partner of Atlas Fund I, and Atlas Venture Associates Opportunity I, LLC, or AVAO, LLC, is the general partner of Atlas Venture Associates Opportunity I, L.P. Each of Atlas Fund I, Atlas Venture Associates Opportunity I, L.P. and AVAO, LLC may be deemed to beneficially own the shares held by Atlas Fund I. Each of Atlas Venture Associates Opportunity I, L.P. and AVAO LLC disclaim Section 16 beneficial ownership of the securities owned by Atlas Fund I, except to the extent of its pecuniary interest therein, if any. The general partner of Atlas Fund XII is Atlas Venture Associates XII, L.P. (“AVA XII LP”). Atlas Venture Associates XII, LLC (“AVA XII LLC”) is the general partner of AVA XII LP. Each of Atlas Fund XII, AVA XII LP, and AVA XII LLC may be deemed to beneficially own the shares held by Atlas Fund XII. Each of AVA XII LP and AVA XII LLC disclaim Section 16 beneficial ownership of the securities owned by Atlas Fund XII, except to the extent of its pecuniary interest therein, if any.</w:t>
      </w:r>
    </w:p>
    <w:p>
      <w:pPr>
        <w:spacing w:after="0" w:line="7" w:lineRule="exact"/>
        <w:rPr>
          <w:rFonts w:ascii="Arial" w:cs="Arial" w:eastAsia="Arial" w:hAnsi="Arial"/>
          <w:sz w:val="17"/>
          <w:szCs w:val="17"/>
          <w:color w:val="auto"/>
        </w:rPr>
      </w:pPr>
    </w:p>
    <w:p>
      <w:pPr>
        <w:jc w:val="both"/>
        <w:ind w:left="380" w:hanging="379"/>
        <w:spacing w:after="0" w:line="219"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shares are owned as follows: (i) 2,422,995 by Lightstone Ventures, L.P. (“LV LP”), (ii) 336,099 by Lightstone Ventures (A), L.P. (“LV(A) LP”), and (iii) 1,501,438 by Lighstone Singapore, L.P. (“LV Singapore”). LSV Associates, LLC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w:t>
      </w:r>
    </w:p>
    <w:p>
      <w:pPr>
        <w:spacing w:after="0" w:line="2" w:lineRule="exact"/>
        <w:rPr>
          <w:rFonts w:ascii="Arial" w:cs="Arial" w:eastAsia="Arial" w:hAnsi="Arial"/>
          <w:sz w:val="17"/>
          <w:szCs w:val="17"/>
          <w:color w:val="auto"/>
        </w:rPr>
      </w:pPr>
    </w:p>
    <w:p>
      <w:pPr>
        <w:jc w:val="both"/>
        <w:ind w:left="380" w:hanging="379"/>
        <w:spacing w:after="0" w:line="230" w:lineRule="auto"/>
        <w:tabs>
          <w:tab w:leader="none" w:pos="3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pacing w:after="0" w:line="3" w:lineRule="exact"/>
        <w:rPr>
          <w:rFonts w:ascii="Arial" w:cs="Arial" w:eastAsia="Arial" w:hAnsi="Arial"/>
          <w:sz w:val="16"/>
          <w:szCs w:val="16"/>
          <w:color w:val="auto"/>
        </w:rPr>
      </w:pPr>
    </w:p>
    <w:p>
      <w:pPr>
        <w:jc w:val="both"/>
        <w:ind w:left="380" w:hanging="379"/>
        <w:spacing w:after="0" w:line="218"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the information included in the Schedule 13G filed by Franklin Resources, Inc (“Franklin”) on December 31, 2021, Charles B. Johnson (“Mr. Johnson”), Rupert H. Johnson, Jr. (“Mr. Johnson Jr.”), and Franklin Advisors, Inc. (“Franklin Advisors”). The address of Franklin, Mr. Johnson, Mr. Johnson Jr., and Franklin Advisors is One Franklin Parkway, San Mateo, California 94403.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14" w:right="359" w:bottom="1440" w:gutter="0" w:footer="0" w:header="0"/>
        </w:sectPr>
      </w:pPr>
    </w:p>
    <w:bookmarkStart w:id="98" w:name="page99"/>
    <w:bookmarkEnd w:id="98"/>
    <w:p>
      <w:pPr>
        <w:jc w:val="both"/>
        <w:ind w:left="400" w:right="20" w:hanging="379"/>
        <w:spacing w:after="0" w:line="219" w:lineRule="auto"/>
        <w:tabs>
          <w:tab w:leader="none" w:pos="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the information included in the Schedule 13G filed by Suvretta Capital Management, LLC (“Suvretta”) on December 31, 2021, Averill Master Fund, Ltd. (“Averill”) and Aaron Cowen. The address of the principal business office of Suvretta and Mr. Cowen is c/o Suvretta Capital Management, LLC, 540 Madison Avenue, 7th Floor, New York, New York 10022. The address of the principal business office of Averill is c/o Maples Corporate Services Limited, P.O. Box 309, Ugland House, Grand Cayman KY1-1104, Cayman Islands.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Transactions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a written related person transaction policy that sets forth the following policies and procedures for the review and approval or ratification of related person transactions. Our policy requires us to avoid, wherever possible, all Related Person Transactions (as defined below) that could result in actual or potential conflicts of interests, except under guidelines approved by the Board (or the Audit Committee).</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“Related Person Transaction” is a transaction, arrangement or relationship in which we or any of its subsidiaries was, is or will be a participant, the amount of which involved exceeds $120,000, and in which any related person had, has or will have a direct or indirect material interest. A “Related Person” means:</w:t>
      </w:r>
    </w:p>
    <w:p>
      <w:pPr>
        <w:spacing w:after="0" w:line="155" w:lineRule="exact"/>
        <w:rPr>
          <w:sz w:val="20"/>
          <w:szCs w:val="20"/>
          <w:color w:val="auto"/>
        </w:rPr>
      </w:pPr>
    </w:p>
    <w:p>
      <w:pPr>
        <w:ind w:left="1040" w:hanging="452"/>
        <w:spacing w:after="0"/>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our officers or directors;</w:t>
      </w:r>
    </w:p>
    <w:p>
      <w:pPr>
        <w:spacing w:after="0" w:line="184" w:lineRule="exact"/>
        <w:rPr>
          <w:rFonts w:ascii="Arial" w:cs="Arial" w:eastAsia="Arial" w:hAnsi="Arial"/>
          <w:sz w:val="18"/>
          <w:szCs w:val="18"/>
          <w:color w:val="auto"/>
        </w:rPr>
      </w:pPr>
    </w:p>
    <w:p>
      <w:pPr>
        <w:ind w:left="1040" w:hanging="465"/>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person who is known by us to be the beneficial owner of more than five percent (5%) of its voting stock;</w:t>
      </w:r>
    </w:p>
    <w:p>
      <w:pPr>
        <w:spacing w:after="0" w:line="184" w:lineRule="exact"/>
        <w:rPr>
          <w:rFonts w:ascii="Arial" w:cs="Arial" w:eastAsia="Arial" w:hAnsi="Arial"/>
          <w:sz w:val="18"/>
          <w:szCs w:val="18"/>
          <w:color w:val="auto"/>
        </w:rPr>
      </w:pPr>
    </w:p>
    <w:p>
      <w:pPr>
        <w:jc w:val="both"/>
        <w:ind w:left="1040" w:right="20" w:hanging="452"/>
        <w:spacing w:after="0" w:line="219"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62" w:lineRule="exact"/>
        <w:rPr>
          <w:rFonts w:ascii="Arial" w:cs="Arial" w:eastAsia="Arial" w:hAnsi="Arial"/>
          <w:sz w:val="18"/>
          <w:szCs w:val="18"/>
          <w:color w:val="auto"/>
        </w:rPr>
      </w:pPr>
    </w:p>
    <w:p>
      <w:pPr>
        <w:ind w:left="1040" w:right="20" w:hanging="452"/>
        <w:spacing w:after="0" w:line="235"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Audit Committee of the Board has the responsibility for reviewing and approving any related person transactions. In reviewing any related person transaction, the Audit Committee will take into account, among other factors that it deems appropriate, whether the related person transaction is on terms no less favorable to us than terms generally available in a transaction with an unaffiliated third-party under the same or similar circumstances and the extent of the Related Person’s interest in the related person transaction. We will not enter into any such transaction unless the Audit Committee and a majority of our disinterested “ independent” directors determine that the terms of such transaction are no less favorable to us than those that would be available to us with respect to such a transaction from unaffiliated third parties. Additionally, we require each of our directors and officers to complete a directors’ and officers’ questionnaire that elicits information about related transactions.</w:t>
      </w:r>
    </w:p>
    <w:p>
      <w:pPr>
        <w:spacing w:after="0" w:line="1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These procedures are intended to determine whether any such related transaction impairs the independence of a director or presents a conflict of interest on the part of a director, employee or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Transactions</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Below are our related transactions since January 1, 2019, to which we have been a party, other than compensation, termination, change in control and other arrangements, which are described in the sections titled “Executive Officer and 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a party to a Registration Rights Agreement pursuant to which, among other things, certain holders of our capital stock, including certain investors of FSDC (the “FSDC Investors”), certain entities affiliated with Atlas Ventures, entities affiliated with Lightstone Ventures, OrbiMed Private Investments VI, LP, and Wu Capital Investment LLC (collectively, the “Major Gemini Investors” and together with the FSDC Investors, the “Investors”) are granted certain registration rights with respect to Registrable Securities (as defined in the Registration Rights Agreement) held by them, subject to certain conditions and limitations.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In particular, the Registration Rights Agreement provides for the following registration rights:</w:t>
      </w:r>
    </w:p>
    <w:p>
      <w:pPr>
        <w:spacing w:after="0" w:line="185" w:lineRule="exact"/>
        <w:rPr>
          <w:sz w:val="20"/>
          <w:szCs w:val="20"/>
          <w:color w:val="auto"/>
        </w:rPr>
      </w:pPr>
    </w:p>
    <w:p>
      <w:pPr>
        <w:jc w:val="both"/>
        <w:ind w:left="1040" w:right="20" w:hanging="452"/>
        <w:spacing w:after="0" w:line="226" w:lineRule="auto"/>
        <w:tabs>
          <w:tab w:leader="none" w:pos="104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Demand registration rights</w:t>
      </w:r>
      <w:r>
        <w:rPr>
          <w:rFonts w:ascii="Arial" w:cs="Arial" w:eastAsia="Arial" w:hAnsi="Arial"/>
          <w:sz w:val="17"/>
          <w:szCs w:val="17"/>
          <w:color w:val="auto"/>
        </w:rPr>
        <w:t>. At any time after February 5, 2021, and following the expiration of any lock- up to which an Investor may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subject, we are required, upon the written request of either (i) FSDC Investors holding a majority of the Registrable Securities held by all FSDC Investors or (ii) Major Gemini Investors holding a majority of the Registrable Securities held by all Major Gemini Investors, to file a registration statement under the Securities Act of 1933, as amended (the “Securities Act”) on Form S- 1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164" w:lineRule="exact"/>
        <w:rPr>
          <w:rFonts w:ascii="Arial" w:cs="Arial" w:eastAsia="Arial" w:hAnsi="Arial"/>
          <w:sz w:val="17"/>
          <w:szCs w:val="17"/>
          <w:color w:val="auto"/>
        </w:rPr>
      </w:pPr>
    </w:p>
    <w:p>
      <w:pPr>
        <w:jc w:val="both"/>
        <w:ind w:left="1040" w:right="20" w:hanging="452"/>
        <w:spacing w:after="0" w:line="249" w:lineRule="auto"/>
        <w:tabs>
          <w:tab w:leader="none" w:pos="104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Shelf registration rights</w:t>
      </w:r>
      <w:r>
        <w:rPr>
          <w:rFonts w:ascii="Arial" w:cs="Arial" w:eastAsia="Arial" w:hAnsi="Arial"/>
          <w:sz w:val="16"/>
          <w:szCs w:val="16"/>
          <w:color w:val="auto"/>
        </w:rPr>
        <w:t>. We were required to file a shelf registration statement pursuant to Rule 415 of Securities Act, which was filed on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17, 2021 and became effective on April 28, 2021. At any time we have an effective shelf registration statement, if we shall receive a request from Investors holding registrable securities with an estimated market value of at least $5,000,000, to effect an underwritten shelf takedown, we shall use our reasonable best efforts to as expeditiously as possible to effect the underwritten shelf takedown.</w:t>
      </w:r>
    </w:p>
    <w:p>
      <w:pPr>
        <w:spacing w:after="0" w:line="154" w:lineRule="exact"/>
        <w:rPr>
          <w:rFonts w:ascii="Arial" w:cs="Arial" w:eastAsia="Arial" w:hAnsi="Arial"/>
          <w:sz w:val="16"/>
          <w:szCs w:val="16"/>
          <w:color w:val="auto"/>
        </w:rPr>
      </w:pPr>
    </w:p>
    <w:p>
      <w:pPr>
        <w:jc w:val="both"/>
        <w:ind w:left="1040" w:right="20" w:hanging="452"/>
        <w:spacing w:after="0" w:line="214"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Limits on demand registration rights and shelf registration rights. </w:t>
      </w:r>
      <w:r>
        <w:rPr>
          <w:rFonts w:ascii="Arial" w:cs="Arial" w:eastAsia="Arial" w:hAnsi="Arial"/>
          <w:sz w:val="18"/>
          <w:szCs w:val="18"/>
          <w:color w:val="auto"/>
        </w:rPr>
        <w:t>We shall not be obligated to effect: (a) more than one (1) demand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Gemini Investors, including those made under a shelf registration statement.</w:t>
      </w:r>
    </w:p>
    <w:p>
      <w:pPr>
        <w:spacing w:after="0" w:line="161" w:lineRule="exact"/>
        <w:rPr>
          <w:rFonts w:ascii="Arial" w:cs="Arial" w:eastAsia="Arial" w:hAnsi="Arial"/>
          <w:sz w:val="18"/>
          <w:szCs w:val="18"/>
          <w:color w:val="auto"/>
        </w:rPr>
      </w:pPr>
    </w:p>
    <w:p>
      <w:pPr>
        <w:jc w:val="both"/>
        <w:ind w:left="1040" w:right="20" w:hanging="452"/>
        <w:spacing w:after="0" w:line="219"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At any time after the first anniversary of the Closing Date, if Gemini proposes to file a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to register any of its equity securities under the Securities Act or to conduct a public offering, either for its own account or for the account of any other person, subject to certain exceptions, the Investors are entitled to include their registrable securities in such registration statement, subject to customary cut-back rights.</w:t>
      </w:r>
    </w:p>
    <w:p>
      <w:pPr>
        <w:spacing w:after="0" w:line="162" w:lineRule="exact"/>
        <w:rPr>
          <w:rFonts w:ascii="Arial" w:cs="Arial" w:eastAsia="Arial" w:hAnsi="Arial"/>
          <w:sz w:val="18"/>
          <w:szCs w:val="18"/>
          <w:color w:val="auto"/>
        </w:rPr>
      </w:pPr>
    </w:p>
    <w:p>
      <w:pPr>
        <w:jc w:val="both"/>
        <w:ind w:left="1040" w:right="20" w:hanging="452"/>
        <w:spacing w:after="0" w:line="216"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All fees, costs and expenses of underwritten registrations will be borne by us and underwriting discounts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commissions will be borne by the holders of the shares being registered. The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62" w:lineRule="exact"/>
        <w:rPr>
          <w:rFonts w:ascii="Arial" w:cs="Arial" w:eastAsia="Arial" w:hAnsi="Arial"/>
          <w:sz w:val="18"/>
          <w:szCs w:val="18"/>
          <w:color w:val="auto"/>
        </w:rPr>
      </w:pPr>
    </w:p>
    <w:p>
      <w:pPr>
        <w:jc w:val="both"/>
        <w:ind w:left="1040" w:right="20" w:hanging="452"/>
        <w:spacing w:after="0" w:line="237" w:lineRule="auto"/>
        <w:tabs>
          <w:tab w:leader="none" w:pos="104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Registrable securities</w:t>
      </w:r>
      <w:r>
        <w:rPr>
          <w:rFonts w:ascii="Arial" w:cs="Arial" w:eastAsia="Arial" w:hAnsi="Arial"/>
          <w:sz w:val="16"/>
          <w:szCs w:val="16"/>
          <w:color w:val="auto"/>
        </w:rPr>
        <w:t>. Securities of the Company shall cease to be registrable securities upon the earlier of (i) tenth anniversary of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5, 2021 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the Company or FSDC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w:t>
      </w:r>
    </w:p>
    <w:p>
      <w:pPr>
        <w:spacing w:after="0" w:line="166" w:lineRule="exact"/>
        <w:rPr>
          <w:rFonts w:ascii="Arial" w:cs="Arial" w:eastAsia="Arial" w:hAnsi="Arial"/>
          <w:sz w:val="16"/>
          <w:szCs w:val="16"/>
          <w:color w:val="auto"/>
        </w:rPr>
      </w:pPr>
    </w:p>
    <w:p>
      <w:pPr>
        <w:jc w:val="both"/>
        <w:ind w:left="1040" w:right="20" w:hanging="452"/>
        <w:spacing w:after="0" w:line="226" w:lineRule="auto"/>
        <w:tabs>
          <w:tab w:leader="none" w:pos="104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Lockup</w:t>
      </w:r>
      <w:r>
        <w:rPr>
          <w:rFonts w:ascii="Arial" w:cs="Arial" w:eastAsia="Arial" w:hAnsi="Arial"/>
          <w:sz w:val="17"/>
          <w:szCs w:val="17"/>
          <w:color w:val="auto"/>
        </w:rPr>
        <w:t>. Under the Registration Rights Agreement, each Investor was required to enter into a customary lockup agreement restricting such</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 from transferring any shares of Common Stock or any securities convertible into or exercisable or exchangeable (directly or indirectly) for Common Stock for one hundred eighty (180) days following February 5, 2021, which restriction expired August 4, 2021. The foregoing notwithstanding, each of our executive officers and directors was permitted to establish a plan to acquire and sell shares of Common Stock pursuant to Rule 10b5-1 under the Exchange Act; provided, however, no sale of shares under any such plan shall be made prior to the expiration of the one hundred eighty (180) day lock-up period on August 4,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are a party to the Voting Agreement, pursuant to which certain of our stockholders agree to vote all voting securities of the Company that it owns from time to time and that it may vote in accordance with the provisions of the Voting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0" w:name="page101"/>
    <w:bookmarkEnd w:id="100"/>
    <w:p>
      <w:pPr>
        <w:jc w:val="both"/>
        <w:spacing w:after="0"/>
        <w:rPr>
          <w:sz w:val="20"/>
          <w:szCs w:val="20"/>
          <w:color w:val="auto"/>
        </w:rPr>
      </w:pPr>
      <w:r>
        <w:rPr>
          <w:rFonts w:ascii="Arial" w:cs="Arial" w:eastAsia="Arial" w:hAnsi="Arial"/>
          <w:sz w:val="18"/>
          <w:szCs w:val="18"/>
          <w:color w:val="auto"/>
        </w:rPr>
        <w:t>whether at a regular or special meeting of stockholders. Pursuant to the Voting Agreement, until the earlier of (i) the fifth (5th) anniversary of February 5, 2021 or (ii) the date on which FS owns less than 1,217,563 shares of Common Stock, at each of our annual or special meetings of stockholders, FS shall have the right to designate for election as a member of the Board, and the Board (including any committee thereof) shall nominate (and recommend for election and include such recommendation in a timely manner in any proxy statement or other applicable announcement to its stockholders), one individual to serve as a Class III Director. If FS ceases to be entitled to nominate any directors, then such directors shall be nominated by the Board and approved by the holders of the outstanding shares of Common Stock.</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All directors elected pursuant to the terms of the Voting Agreement shall be removed from the Board only upon the vote or written consent of the voting party that is entitled to nominate, appoint or elect such director. Upon any decrease in the rights of any such voting party to nominate, appoint or elect any director, the applicable voting party shall promptly cause the removal or resignation of an applicable directors if requested by the Board. Upon any individual elected to serve as a director pursuant to the Voting Agreement ceasing to be a member of the Board, whether by death, resignation or removal or otherwise, only the voting party that was entitled to nominate, appoint or elect such individual shall have the right to fill any resulting vacancy in the Board; provided that such voting party still has the right to nominate, appoint or elect the applicable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 Financing</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September 26, 2019, Merger Sub held the initial closing of its Series B Preferred Stock financing, pursuant to its Series B Preferred Stock Purchase Agreement (the “Series B Purchase Agreement”), at which time Merger Sub issued 9,916,375 shares of its Series B Preferred Stock for a per share price of $1.3513, for aggregate gross proceeds in the amount of $13.4 million. On January 21, 2020, Merger Sub held the second closing of its Series B Preferred Stock financing, pursuant to the Series B Purchase Agreement, at which time we issued 14,874,563 shares of its Series B Preferred Stock for a per share price of $1.3513, for aggregate gross proceeds in the amount of $20.1 million. The following holders of more than 5% of Merger Sub’s capital stock participated in the initial closing and second closing of the Series B Preferred Stock financing. At the closing, the ancillary documents to the Series B Financing were terminated.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3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Series B</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Series B</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8"/>
              </w:rPr>
              <w:t>Purchase</w:t>
            </w:r>
          </w:p>
        </w:tc>
        <w:tc>
          <w:tcPr>
            <w:tcW w:w="3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Purchase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5% Gemini Stockholder</w:t>
            </w:r>
          </w:p>
        </w:tc>
        <w:tc>
          <w:tcPr>
            <w:tcW w:w="2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Price –</w:t>
            </w:r>
          </w:p>
        </w:tc>
        <w:tc>
          <w:tcPr>
            <w:tcW w:w="3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Price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Initial Closing</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5"/>
              </w:rPr>
              <w:t>Initial Closing</w:t>
            </w:r>
          </w:p>
        </w:tc>
        <w:tc>
          <w:tcPr>
            <w:tcW w:w="3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Second Closing</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8"/>
              </w:rPr>
              <w:t>Second Closing</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Entities affiliated with Lightstone Ventures(1)</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1,924,073</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2,600,000.00</w:t>
            </w: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2,886,109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3,899,999.09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OrbiMed Private Investments VI, LP</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2,960,112</w:t>
            </w:r>
          </w:p>
        </w:tc>
        <w:tc>
          <w:tcPr>
            <w:tcW w:w="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3,999,999.35</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4,440,168</w:t>
            </w:r>
          </w:p>
        </w:tc>
        <w:tc>
          <w:tcPr>
            <w:tcW w:w="5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5,999,999.02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Atlas Venture Fund X, L.P.</w:t>
            </w:r>
          </w:p>
        </w:tc>
        <w:tc>
          <w:tcPr>
            <w:tcW w:w="1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2,072,078</w:t>
            </w:r>
          </w:p>
        </w:tc>
        <w:tc>
          <w:tcPr>
            <w:tcW w:w="5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2,799,999.00</w:t>
            </w:r>
          </w:p>
        </w:tc>
        <w:tc>
          <w:tcPr>
            <w:tcW w:w="1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3,108,118</w:t>
            </w:r>
          </w:p>
        </w:tc>
        <w:tc>
          <w:tcPr>
            <w:tcW w:w="5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4,199,999.85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Wu Capital Investment LLC(2)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2,960,112</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3,999,999.35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4,440,168</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5,999,999.02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460" w:right="600" w:hanging="412"/>
        <w:spacing w:after="0" w:line="22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Lightstone Ventures, L.P., which purchased 976,931 shares at the initial closing, Lightstone Ventures (A), L.P., which purchased 133,112 shares at the initial closing and Lightstone Singapore L.P., which purchased 814,030 shares at the initial closing and all of the shares at the second closing.</w:t>
      </w:r>
    </w:p>
    <w:p>
      <w:pPr>
        <w:ind w:left="460" w:hanging="41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Shares initially purchased by Wu Capital LLC and subsequently transferred to Wu Capital Investment LLC.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Relationships and Related Transactions – FS Development Corp.</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June 30, 2020, FS purchased an aggregate of 2,875,000 shares (the “Founder Shares”) of FSDC’s Class B Common Stock, par value $0.0001 per share (the “Class B Shares”) for a total purchase price of $25,000, or approximately $0.009 per share. In July 2020, FS transferred 30,000 Class B Shares to each of Robert Carey, Dan Dubin and Deepa Pakianathan. On August 11, 2020, FSDC effected a 1:1.05 stock split of FSDC Class B Common Stock, resulting in FS holding 2,928,750 Class B Shares and there being an aggregate of 3,018,750 Class B Shares outstanding. The number of Class B Shares outstanding was determined based on the expectation that the total size of the initial public offering of FSDC would be a maximum of 12,075,000 shares of FSDC’s Class A Common Stock, par value $0.000 per share (the “Class A Shares”), if the underwriters’ over-allotment option would be exercised in full, and therefore that such Class B Shares would represent 20% of the issued and outstanding shares of common stock (excluding the Private Placement Shares (as defined below)) after such offering.</w:t>
      </w:r>
    </w:p>
    <w:p>
      <w:pPr>
        <w:spacing w:after="0" w:line="18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FS purchased 441,500 Class A Shares (collectively, the “Private Placement Shares”) at a price of $10.00 per share, or $4,415,000 in the aggregate, in a private placement that closed simultaneously with FSDC’s initial public offering (the “FSDC IPO”).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1" w:name="page102"/>
    <w:bookmarkEnd w:id="101"/>
    <w:p>
      <w:pPr>
        <w:jc w:val="both"/>
        <w:spacing w:after="0" w:line="248" w:lineRule="auto"/>
        <w:rPr>
          <w:sz w:val="20"/>
          <w:szCs w:val="20"/>
          <w:color w:val="auto"/>
        </w:rPr>
      </w:pPr>
      <w:r>
        <w:rPr>
          <w:rFonts w:ascii="Arial" w:cs="Arial" w:eastAsia="Arial" w:hAnsi="Arial"/>
          <w:sz w:val="18"/>
          <w:szCs w:val="18"/>
          <w:color w:val="auto"/>
        </w:rPr>
        <w:t>Until the Closing, FSDC utilized office space at 600 Montgomery Street, Suite 4500, San Francisco, California 94111 from FS. Following the closing of the FSDC IPO, FSDC paid FS $10,000 per month for office space, secretarial and administrative services provided to members of its management team pursuant to the terms of an administrative services agreement between FSDC and FS.</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FS and FSDC’s executive officers and directors were reimbursed for any out-of-pocket expenses incurred in connection with activities on FSDC’s behalf, in connection with the completion of an initial business combination, such as identifying potential target businesses and performing due diligence on suitable business combinations. FSDC’s audit committee reviewed on a quarterly basis all payments that were made to FS, officers, directors or its or their affiliates.</w:t>
      </w:r>
    </w:p>
    <w:p>
      <w:pPr>
        <w:spacing w:after="0" w:line="188"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FS loaned FSDC $200,000 to be used for a portion of the expenses of the FSDC IPO. These loans were non-interest bearing, unsecured and were due at the earlier of December 31, 2020 or the closing of the FSDC IPO. These loans were fully repaid by FSDC on August 14, 2020.</w:t>
      </w:r>
    </w:p>
    <w:p>
      <w:pPr>
        <w:spacing w:after="0" w:line="1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connection with the Business Combination, as part of the sale of 9,506,000 newly issued shares of Common Stock, an affiliate of FS had entered into a subscription agreement to purchase 1,500,000 shares of Common Stock at a purchase price of $10 per share in a private placement concurrent with the Business Combination. In connection with the closing of the Business Combination, the affiliate of FS assigned to FS its obligation to purchase its shares under the subscription agreement so that FS purchased such shares.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August 11, 2020, FSDC entered into a registration rights agreement (the “prior registration rights agreement”) with respect to the Founders Shares and Private Placement Shares. The holders of these securities were entitled to make up to three demands, excluding short form demands, that FSDC register such securities. In addition, the holders had certain “piggy-back” registration rights with respect to registration statements filed subsequent to the completion of FSDC’s initial business combination. FSDC bears the expenses incurred in connection with the filing of any such registration statements. As part of the prior registration rights agreement, certain holders of registrable securities agreed to a lock-up period of one year from the closing of the Business Combination.</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the closing of the Business Combination, the FSDC Investors and certain other stockholders entered into the Registration Rights Agreement with us that replaced the prior registration rights agreement.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connection with the Merger Agreement related to the Business Combination, the FSDC Investors entered into support agreements with FSDC, Merger Sub and FS. Under such support agreements, each such stockholder agreed to vote, at any meeting of the stockholders of FSDC, and in any action by written consent of the stockholders of FSDC, all of such stockholder’s Class B Common Stock of FSDC (i) in favor of (A) the Merger Agreement, (B) certain proposals requiring approval by our stockholders in connection with Business Combination, and (C) the transactions contemplated by the Merger Agreement and such support agreements,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FSDC held by such stockholder or taking any action that would prevent or disable such stockholder from performing its obligations under the support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Financing</w:t>
      </w:r>
    </w:p>
    <w:p>
      <w:pPr>
        <w:spacing w:after="0" w:line="1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August 21, 2020, Merger Sub issued convertible promissory notes for aggregate gross proceeds of $14,000,000 (the “Notes”), at a closing held pursuant to a convertible note purchase agreement among Merger Sub and certain investors. The following holders of more than 5% of Merger Sub’s capital stock participated in the note financing. The Notes accrue simple interest at 8% per annum and matured on February 21, 2021. Prior to the closing of the Business Combination with FSDC, all principal and accrued interest under the Notes converted into shares of Merger Sub’s Series B Preferred Stock.</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5% Gemini Stockholder</w:t>
            </w:r>
          </w:p>
        </w:tc>
        <w:tc>
          <w:tcPr>
            <w:tcW w:w="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9"/>
              </w:rPr>
              <w:t>Principal Amount of Note Purchased</w:t>
            </w:r>
          </w:p>
        </w:tc>
        <w:tc>
          <w:tcPr>
            <w:tcW w:w="60" w:type="dxa"/>
            <w:vAlign w:val="bottom"/>
          </w:tcPr>
          <w:p>
            <w:pPr>
              <w:spacing w:after="0"/>
              <w:rPr>
                <w:sz w:val="16"/>
                <w:szCs w:val="16"/>
                <w:color w:val="auto"/>
              </w:rPr>
            </w:pP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Lightstone Singapore L.P.</w:t>
            </w: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2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3,000,000</w:t>
            </w:r>
          </w:p>
        </w:tc>
        <w:tc>
          <w:tcPr>
            <w:tcW w:w="6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OrbiMed Private Investments VI, LP</w:t>
            </w:r>
          </w:p>
        </w:tc>
        <w:tc>
          <w:tcPr>
            <w:tcW w:w="7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900" w:type="dxa"/>
            <w:vAlign w:val="bottom"/>
          </w:tcPr>
          <w:p>
            <w:pPr>
              <w:jc w:val="right"/>
              <w:spacing w:after="0" w:line="202" w:lineRule="exact"/>
              <w:rPr>
                <w:sz w:val="20"/>
                <w:szCs w:val="20"/>
                <w:color w:val="auto"/>
              </w:rPr>
            </w:pPr>
            <w:r>
              <w:rPr>
                <w:rFonts w:ascii="Arial" w:cs="Arial" w:eastAsia="Arial" w:hAnsi="Arial"/>
                <w:sz w:val="18"/>
                <w:szCs w:val="18"/>
                <w:color w:val="auto"/>
              </w:rPr>
              <w:t>4,887,000</w:t>
            </w:r>
          </w:p>
        </w:tc>
        <w:tc>
          <w:tcPr>
            <w:tcW w:w="60" w:type="dxa"/>
            <w:vAlign w:val="bottom"/>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Atlas Venture Opportunity Fund I, L.P.</w:t>
            </w:r>
          </w:p>
        </w:tc>
        <w:tc>
          <w:tcPr>
            <w:tcW w:w="7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4,361,000</w:t>
            </w:r>
          </w:p>
        </w:tc>
        <w:tc>
          <w:tcPr>
            <w:tcW w:w="60" w:type="dxa"/>
            <w:vAlign w:val="bottom"/>
            <w:shd w:val="clear" w:color="auto" w:fill="CFF0FC"/>
          </w:tcPr>
          <w:p>
            <w:pPr>
              <w:spacing w:after="0"/>
              <w:rPr>
                <w:sz w:val="17"/>
                <w:szCs w:val="17"/>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Wu Capital Investment LLC</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900" w:type="dxa"/>
            <w:vAlign w:val="bottom"/>
          </w:tcPr>
          <w:p>
            <w:pPr>
              <w:jc w:val="right"/>
              <w:spacing w:after="0"/>
              <w:rPr>
                <w:sz w:val="20"/>
                <w:szCs w:val="20"/>
                <w:color w:val="auto"/>
              </w:rPr>
            </w:pPr>
            <w:r>
              <w:rPr>
                <w:rFonts w:ascii="Arial" w:cs="Arial" w:eastAsia="Arial" w:hAnsi="Arial"/>
                <w:sz w:val="18"/>
                <w:szCs w:val="18"/>
                <w:color w:val="auto"/>
              </w:rPr>
              <w:t>1,752,000</w:t>
            </w:r>
          </w:p>
        </w:tc>
        <w:tc>
          <w:tcPr>
            <w:tcW w:w="60" w:type="dxa"/>
            <w:vAlign w:val="bottom"/>
          </w:tcPr>
          <w:p>
            <w:pPr>
              <w:spacing w:after="0"/>
              <w:rPr>
                <w:sz w:val="20"/>
                <w:szCs w:val="20"/>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Accounting Services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2" w:name="page103"/>
    <w:bookmarkEnd w:id="102"/>
    <w:p>
      <w:pPr>
        <w:jc w:val="both"/>
        <w:ind w:right="20"/>
        <w:spacing w:after="0" w:line="291" w:lineRule="auto"/>
        <w:rPr>
          <w:sz w:val="20"/>
          <w:szCs w:val="20"/>
          <w:color w:val="auto"/>
        </w:rPr>
      </w:pPr>
      <w:r>
        <w:rPr>
          <w:rFonts w:ascii="Arial" w:cs="Arial" w:eastAsia="Arial" w:hAnsi="Arial"/>
          <w:sz w:val="17"/>
          <w:szCs w:val="17"/>
          <w:color w:val="auto"/>
        </w:rPr>
        <w:t>On April 17, 2020, Merger Sub engaged Danforth Advisors, an accounting and finance advisory company managed by Gregg Beloff, our former Interim Chief Financial Officer. For the year ended December 31, 2021, the costs incurred under this arrangement totaled $0.6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Current Nasdaq listing guidelines require that a majority of our Board be independent. An “independent director” is defined generally as a person other than an executive officer or employee of the Company or any other individual having a relationship which, in the opinion of our Board, would interfere with the exercise of independent judgement in carrying out the responsibilities of a director. The Board has determined that each individual who serves on the Board, other than Dr. Gemayel and Dr. Tananbaum, qualifies as an independent director under the Listing Standards. In making such independence determination, our Board considered the relationships that each non-employee director has with us and all other facts and circumstances that our Board deemed relevant in determining their independence.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public accounting firm is Ernst &amp; Young LLP, Boston, Massachusetts (PCAOB Auditor ID: 42).</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Withum Smith+Brown, P.C. (“Withum”) served as the independent registered public accounting firm for FSDC with respect to the audit of the 2020 Financial Statements. Withum was informed that it would be replaced by Ernst &amp; Young as the Company’s independent registered public accounting firm following completion of its audit of the Company’s financial statements for the fiscal year ended December 31, 2020 and the consummation of the business combination between Merger Sub and FSDC on February 5, 2021 (the “Business Combination”).</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summary and description of fees paid by us to Ernst &amp; Young for the fiscal year ended December 31, 2021 and to Withum for the period from June 25, 2020 (inception) through December 31,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Borders>
              <w:bottom w:val="single" w:sz="8" w:color="auto"/>
            </w:tcBorders>
          </w:tcPr>
          <w:p>
            <w:pPr>
              <w:ind w:left="3300"/>
              <w:spacing w:after="0"/>
              <w:rPr>
                <w:sz w:val="20"/>
                <w:szCs w:val="20"/>
                <w:color w:val="auto"/>
              </w:rPr>
            </w:pPr>
            <w:r>
              <w:rPr>
                <w:rFonts w:ascii="Arial" w:cs="Arial" w:eastAsia="Arial" w:hAnsi="Arial"/>
                <w:sz w:val="14"/>
                <w:szCs w:val="14"/>
                <w:b w:val="1"/>
                <w:bCs w:val="1"/>
                <w:color w:val="auto"/>
              </w:rPr>
              <w:t>Fee Category</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7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Audit Fees(1)</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557,425</w:t>
            </w:r>
          </w:p>
        </w:tc>
        <w:tc>
          <w:tcPr>
            <w:tcW w:w="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122,365</w:t>
            </w:r>
          </w:p>
        </w:tc>
        <w:tc>
          <w:tcPr>
            <w:tcW w:w="60" w:type="dxa"/>
            <w:vAlign w:val="bottom"/>
            <w:shd w:val="clear" w:color="auto" w:fill="CFF0FC"/>
          </w:tcPr>
          <w:p>
            <w:pPr>
              <w:spacing w:after="0"/>
              <w:rPr>
                <w:sz w:val="17"/>
                <w:szCs w:val="17"/>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Fees(3)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16,480</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All Other Fees(4)</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6"/>
        </w:trPr>
        <w:tc>
          <w:tcPr>
            <w:tcW w:w="7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Fees</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577,295</w:t>
            </w:r>
          </w:p>
        </w:tc>
        <w:tc>
          <w:tcPr>
            <w:tcW w:w="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122,365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5" w:lineRule="exact"/>
        <w:rPr>
          <w:sz w:val="20"/>
          <w:szCs w:val="20"/>
          <w:color w:val="auto"/>
        </w:rPr>
      </w:pPr>
    </w:p>
    <w:p>
      <w:pPr>
        <w:ind w:left="480" w:right="20" w:hanging="459"/>
        <w:spacing w:after="0" w:line="248" w:lineRule="auto"/>
        <w:tabs>
          <w:tab w:leader="none" w:pos="4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Audit Fees include fees for professional services rendered for the audit of year-end financial statements, reviews of quarterly financial statements and services that are normally provided by our independent registered public accounting firm in connection with statutory and regulatory filings.</w:t>
      </w:r>
    </w:p>
    <w:p>
      <w:pPr>
        <w:jc w:val="both"/>
        <w:ind w:left="480" w:right="20" w:hanging="459"/>
        <w:spacing w:after="0" w:line="218" w:lineRule="auto"/>
        <w:tabs>
          <w:tab w:leader="none" w:pos="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Audit-Related Fees include fees billed for assurance and related services that are reasonably related to performance of the audit or review of our year-end financial statements and are not reported under “Audit Fees.” These services include attest services that are not required by statute or regulation and consultation concerning financial accounting and reporting standards.</w:t>
      </w:r>
    </w:p>
    <w:p>
      <w:pPr>
        <w:spacing w:after="0" w:line="160" w:lineRule="exact"/>
        <w:rPr>
          <w:rFonts w:ascii="Arial" w:cs="Arial" w:eastAsia="Arial" w:hAnsi="Arial"/>
          <w:sz w:val="18"/>
          <w:szCs w:val="18"/>
          <w:color w:val="auto"/>
        </w:rPr>
      </w:pPr>
    </w:p>
    <w:p>
      <w:pPr>
        <w:ind w:left="460" w:hanging="439"/>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 Fees include fees consist of fees billed for professional services relating to tax compliance, tax planning and tax advice.</w:t>
      </w:r>
    </w:p>
    <w:p>
      <w:pPr>
        <w:ind w:left="460" w:hanging="439"/>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Other Fees consist of fees billed for all other services, including annual licensing fees for accounting database subscriptions.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212"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21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following Report and Consolidated Financial Statements of the Company are included in this Annual Report on Form 10-K:</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(PCAOB Auditor ID: 42)</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Consolidated Statements of Operations and Comprehensive Loss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Consolidated Statements of Stockholders’ Equity (Deficit)</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1" w:lineRule="exact"/>
        <w:rPr>
          <w:rFonts w:ascii="Arial" w:cs="Arial" w:eastAsia="Arial" w:hAnsi="Arial"/>
          <w:sz w:val="18"/>
          <w:szCs w:val="18"/>
          <w:color w:val="auto"/>
        </w:rPr>
      </w:pPr>
    </w:p>
    <w:p>
      <w:pPr>
        <w:ind w:left="520" w:hanging="512"/>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w:t>
      </w:r>
    </w:p>
    <w:p>
      <w:pPr>
        <w:spacing w:after="0" w:line="211" w:lineRule="exact"/>
        <w:rPr>
          <w:rFonts w:ascii="Arial" w:cs="Arial" w:eastAsia="Arial" w:hAnsi="Arial"/>
          <w:sz w:val="18"/>
          <w:szCs w:val="18"/>
          <w:color w:val="auto"/>
        </w:rPr>
      </w:pPr>
    </w:p>
    <w:p>
      <w:pPr>
        <w:ind w:left="520"/>
        <w:spacing w:after="0" w:line="261" w:lineRule="auto"/>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not required, or the required information is shown in the financial statements or the notes thereto.</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1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We hereby file as part of this report the exhibits listed in the attached Exhibit Index.</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20" w:type="dxa"/>
            <w:vAlign w:val="bottom"/>
            <w:gridSpan w:val="27"/>
          </w:tcPr>
          <w:p>
            <w:pPr>
              <w:jc w:val="center"/>
              <w:ind w:right="370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980" w:type="dxa"/>
            <w:vAlign w:val="bottom"/>
          </w:tcPr>
          <w:p>
            <w:pPr>
              <w:jc w:val="center"/>
              <w:ind w:right="168"/>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20" w:type="dxa"/>
            <w:vAlign w:val="bottom"/>
            <w:gridSpan w:val="27"/>
            <w:vMerge w:val="restart"/>
          </w:tcPr>
          <w:p>
            <w:pPr>
              <w:ind w:left="2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highlight w:val="white"/>
                <w:w w:val="87"/>
              </w:rPr>
              <w:t>3.1</w:t>
            </w:r>
          </w:p>
        </w:tc>
        <w:tc>
          <w:tcPr>
            <w:tcW w:w="9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520" w:type="dxa"/>
            <w:vAlign w:val="bottom"/>
            <w:tcBorders>
              <w:bottom w:val="single" w:sz="8" w:color="auto"/>
            </w:tcBorders>
            <w:gridSpan w:val="2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29"/>
          </w:tcPr>
          <w:p>
            <w:pPr>
              <w:spacing w:after="0" w:line="156" w:lineRule="exact"/>
              <w:rPr>
                <w:rFonts w:ascii="Arial" w:cs="Arial" w:eastAsia="Arial" w:hAnsi="Arial"/>
                <w:sz w:val="18"/>
                <w:szCs w:val="18"/>
                <w:color w:val="0000FF"/>
                <w:w w:val="99"/>
              </w:rPr>
            </w:pPr>
            <w:hyperlink r:id="rId143">
              <w:r>
                <w:rPr>
                  <w:rFonts w:ascii="Arial" w:cs="Arial" w:eastAsia="Arial" w:hAnsi="Arial"/>
                  <w:sz w:val="18"/>
                  <w:szCs w:val="18"/>
                  <w:color w:val="0000FF"/>
                  <w:w w:val="99"/>
                </w:rPr>
                <w:t>Amended and Restated Articles of Incorporation of Gemini Therapeutics, Inc. (incorporated by reference to Annex B to the</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Registrant’s Proxy Statement/Prospectus on Form S-4/A (Registration No. 333-249785))</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60" w:type="dxa"/>
            <w:vAlign w:val="bottom"/>
          </w:tcPr>
          <w:p>
            <w:pPr>
              <w:ind w:left="20"/>
              <w:spacing w:after="0"/>
              <w:rPr>
                <w:sz w:val="20"/>
                <w:szCs w:val="20"/>
                <w:color w:val="auto"/>
              </w:rPr>
            </w:pPr>
            <w:r>
              <w:rPr>
                <w:rFonts w:ascii="Arial" w:cs="Arial" w:eastAsia="Arial" w:hAnsi="Arial"/>
                <w:sz w:val="18"/>
                <w:szCs w:val="18"/>
                <w:color w:val="auto"/>
                <w:w w:val="87"/>
              </w:rPr>
              <w:t>3.2</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w w:val="97"/>
              </w:rPr>
            </w:pPr>
            <w:hyperlink r:id="rId144">
              <w:r>
                <w:rPr>
                  <w:rFonts w:ascii="Arial" w:cs="Arial" w:eastAsia="Arial" w:hAnsi="Arial"/>
                  <w:sz w:val="18"/>
                  <w:szCs w:val="18"/>
                  <w:color w:val="0000FF"/>
                  <w:w w:val="97"/>
                </w:rPr>
                <w:t>Amended and Restated By-laws of Gemini Therapeutics, Inc. (incorporated by reference to Annex C to the Registrant’s Proxy</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Statement/Prospectus on Form S-4/A (Registration No. 333-249785))</w:t>
              </w:r>
            </w:hyperlink>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60" w:type="dxa"/>
            <w:vAlign w:val="bottom"/>
          </w:tcPr>
          <w:p>
            <w:pPr>
              <w:ind w:left="20"/>
              <w:spacing w:after="0"/>
              <w:rPr>
                <w:sz w:val="20"/>
                <w:szCs w:val="20"/>
                <w:color w:val="auto"/>
              </w:rPr>
            </w:pPr>
            <w:r>
              <w:rPr>
                <w:rFonts w:ascii="Arial" w:cs="Arial" w:eastAsia="Arial" w:hAnsi="Arial"/>
                <w:sz w:val="18"/>
                <w:szCs w:val="18"/>
                <w:color w:val="auto"/>
                <w:w w:val="87"/>
              </w:rPr>
              <w:t>4.1</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8"/>
          </w:tcPr>
          <w:p>
            <w:pPr>
              <w:spacing w:after="0"/>
              <w:rPr>
                <w:rFonts w:ascii="Arial" w:cs="Arial" w:eastAsia="Arial" w:hAnsi="Arial"/>
                <w:sz w:val="18"/>
                <w:szCs w:val="18"/>
                <w:color w:val="0000FF"/>
                <w:w w:val="91"/>
              </w:rPr>
            </w:pPr>
            <w:hyperlink r:id="rId145">
              <w:r>
                <w:rPr>
                  <w:rFonts w:ascii="Arial" w:cs="Arial" w:eastAsia="Arial" w:hAnsi="Arial"/>
                  <w:sz w:val="18"/>
                  <w:szCs w:val="18"/>
                  <w:color w:val="0000FF"/>
                  <w:w w:val="91"/>
                </w:rPr>
                <w:t>Form of Specimen Common Stock Certificate (incorporated by reference to Exhibit 4.1 to Form S-4/A (Registration No. 333-249785))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60" w:type="dxa"/>
            <w:vAlign w:val="bottom"/>
          </w:tcPr>
          <w:p>
            <w:pPr>
              <w:ind w:left="20"/>
              <w:spacing w:after="0"/>
              <w:rPr>
                <w:sz w:val="20"/>
                <w:szCs w:val="20"/>
                <w:color w:val="auto"/>
              </w:rPr>
            </w:pPr>
            <w:r>
              <w:rPr>
                <w:rFonts w:ascii="Arial" w:cs="Arial" w:eastAsia="Arial" w:hAnsi="Arial"/>
                <w:sz w:val="18"/>
                <w:szCs w:val="18"/>
                <w:color w:val="auto"/>
                <w:w w:val="87"/>
              </w:rPr>
              <w:t>4.2</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Registration Rights Agreement, dated February 5, 2021, by and among Gemini Therapeutics, Inc. and the stockholder parties thereto</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(incorporated by reference to Exhibit 10.1 on Form 8-A12B/A filed on February 5, 2021)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60" w:type="dxa"/>
            <w:vAlign w:val="bottom"/>
          </w:tcPr>
          <w:p>
            <w:pPr>
              <w:ind w:left="20"/>
              <w:spacing w:after="0"/>
              <w:rPr>
                <w:sz w:val="20"/>
                <w:szCs w:val="20"/>
                <w:color w:val="auto"/>
              </w:rPr>
            </w:pPr>
            <w:r>
              <w:rPr>
                <w:rFonts w:ascii="Arial" w:cs="Arial" w:eastAsia="Arial" w:hAnsi="Arial"/>
                <w:sz w:val="18"/>
                <w:szCs w:val="18"/>
                <w:color w:val="auto"/>
                <w:w w:val="87"/>
              </w:rPr>
              <w:t>4.3</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w w:val="93"/>
              </w:rPr>
            </w:pPr>
            <w:hyperlink r:id="rId147">
              <w:r>
                <w:rPr>
                  <w:rFonts w:ascii="Arial" w:cs="Arial" w:eastAsia="Arial" w:hAnsi="Arial"/>
                  <w:sz w:val="18"/>
                  <w:szCs w:val="18"/>
                  <w:color w:val="0000FF"/>
                  <w:w w:val="93"/>
                </w:rPr>
                <w:t>Voting Agreement, dated February 5, 2021, by and among Gemini Therapeutics, Inc. and the other parties thereto (incorporated by</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reference to Exhibit 10.2 to the Registrant’s Current Report on Form 8-K filed on February 11, 2021)</w:t>
              </w:r>
            </w:hyperlink>
          </w:p>
        </w:tc>
        <w:tc>
          <w:tcPr>
            <w:tcW w:w="2160" w:type="dxa"/>
            <w:vAlign w:val="bottom"/>
            <w:tcBorders>
              <w:top w:val="single" w:sz="8" w:color="0000FF"/>
            </w:tcBorders>
            <w:gridSpan w:val="1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Description of Securities.</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w w:val="95"/>
              </w:rPr>
            </w:pPr>
            <w:hyperlink r:id="rId148">
              <w:r>
                <w:rPr>
                  <w:rFonts w:ascii="Arial" w:cs="Arial" w:eastAsia="Arial" w:hAnsi="Arial"/>
                  <w:sz w:val="18"/>
                  <w:szCs w:val="18"/>
                  <w:color w:val="0000FF"/>
                  <w:w w:val="95"/>
                </w:rPr>
                <w:t>Gemini Therapeutics, Inc. 2021 Stock Option and Incentive Plan (incorporated by reference to Annex D to the Registrant’s Proxy</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Statement/Prospectus on Form S-4/A (Registration No. 333-249785))</w:t>
              </w:r>
            </w:hyperlink>
          </w:p>
        </w:tc>
        <w:tc>
          <w:tcPr>
            <w:tcW w:w="1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w w:val="91"/>
              </w:rPr>
            </w:pPr>
            <w:hyperlink r:id="rId149">
              <w:r>
                <w:rPr>
                  <w:rFonts w:ascii="Arial" w:cs="Arial" w:eastAsia="Arial" w:hAnsi="Arial"/>
                  <w:sz w:val="18"/>
                  <w:szCs w:val="18"/>
                  <w:color w:val="0000FF"/>
                  <w:w w:val="91"/>
                </w:rPr>
                <w:t>Forms of Award Agreements under the Gemini Therapeutics, Inc. 2021 Stock Option and Incentive Plan (incorporated by reference to</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Exhibit 10.5 of Registrant’s Current Report on Form 8-K filed on February 11,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5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w w:val="90"/>
              </w:rPr>
            </w:pPr>
            <w:hyperlink r:id="rId150">
              <w:r>
                <w:rPr>
                  <w:rFonts w:ascii="Arial" w:cs="Arial" w:eastAsia="Arial" w:hAnsi="Arial"/>
                  <w:sz w:val="18"/>
                  <w:szCs w:val="18"/>
                  <w:color w:val="0000FF"/>
                  <w:w w:val="90"/>
                </w:rPr>
                <w:t>Gemini Therapeutics, Inc. 2021 Employee Stock Purchase Plan (incorporated by reference to Annex 1 to Proxy Statement on Schedule</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14A filed on August 17,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Borders>
              <w:right w:val="single" w:sz="8" w:color="0000EE"/>
            </w:tcBorders>
            <w:gridSpan w:val="2"/>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rPr>
            </w:pPr>
            <w:hyperlink r:id="rId151">
              <w:r>
                <w:rPr>
                  <w:rFonts w:ascii="Arial" w:cs="Arial" w:eastAsia="Arial" w:hAnsi="Arial"/>
                  <w:sz w:val="18"/>
                  <w:szCs w:val="18"/>
                  <w:color w:val="0000FF"/>
                </w:rPr>
                <w:t>Form of Indemnification Agreement for Directors of Gemini Therapeutics, Inc. (incorporated by reference to Exhibit 10.6 of</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Registrant’s Current Report on Form 8-K filed on February 11, 2021)</w:t>
              </w:r>
            </w:hyperlink>
          </w:p>
        </w:tc>
        <w:tc>
          <w:tcPr>
            <w:tcW w:w="200" w:type="dxa"/>
            <w:vAlign w:val="bottom"/>
            <w:gridSpan w:val="2"/>
          </w:tcPr>
          <w:p>
            <w:pPr>
              <w:spacing w:after="0"/>
              <w:rPr>
                <w:sz w:val="13"/>
                <w:szCs w:val="13"/>
                <w:color w:val="auto"/>
              </w:rPr>
            </w:pPr>
          </w:p>
        </w:tc>
        <w:tc>
          <w:tcPr>
            <w:tcW w:w="3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tcBorders>
              <w:right w:val="single" w:sz="8" w:color="0000EE"/>
            </w:tcBorders>
            <w:gridSpan w:val="3"/>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rPr>
            </w:pPr>
            <w:hyperlink r:id="rId152">
              <w:r>
                <w:rPr>
                  <w:rFonts w:ascii="Arial" w:cs="Arial" w:eastAsia="Arial" w:hAnsi="Arial"/>
                  <w:sz w:val="18"/>
                  <w:szCs w:val="18"/>
                  <w:color w:val="0000FF"/>
                </w:rPr>
                <w:t>Form of Indemnification Agreement for Officers of Gemini Therapeutics, Inc. (incorporated by reference to Exhibit 10.7 of</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Registrant’s Current Report on Form 8-K filed on February 11, 2021)</w:t>
              </w:r>
            </w:hyperlink>
          </w:p>
        </w:tc>
        <w:tc>
          <w:tcPr>
            <w:tcW w:w="280" w:type="dxa"/>
            <w:vAlign w:val="bottom"/>
            <w:gridSpan w:val="4"/>
          </w:tcPr>
          <w:p>
            <w:pPr>
              <w:spacing w:after="0"/>
              <w:rPr>
                <w:sz w:val="13"/>
                <w:szCs w:val="13"/>
                <w:color w:val="auto"/>
              </w:rPr>
            </w:pPr>
          </w:p>
        </w:tc>
        <w:tc>
          <w:tcPr>
            <w:tcW w:w="3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tcBorders>
              <w:right w:val="single" w:sz="8" w:color="0000EE"/>
            </w:tcBorders>
            <w:gridSpan w:val="3"/>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w w:val="95"/>
              </w:rPr>
            </w:pPr>
            <w:hyperlink r:id="rId153">
              <w:r>
                <w:rPr>
                  <w:rFonts w:ascii="Arial" w:cs="Arial" w:eastAsia="Arial" w:hAnsi="Arial"/>
                  <w:sz w:val="18"/>
                  <w:szCs w:val="18"/>
                  <w:color w:val="0000FF"/>
                  <w:w w:val="95"/>
                </w:rPr>
                <w:t>Employment Agreement, dated as of November 15, 2021, by and between Gemini Therapeutics, Inc. and Dr. Georges Gemayel</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0"/>
          </w:tcPr>
          <w:p>
            <w:pPr>
              <w:spacing w:after="0" w:line="156" w:lineRule="exact"/>
              <w:rPr>
                <w:rFonts w:ascii="Arial" w:cs="Arial" w:eastAsia="Arial" w:hAnsi="Arial"/>
                <w:sz w:val="18"/>
                <w:szCs w:val="18"/>
                <w:color w:val="0000FF"/>
                <w:w w:val="98"/>
              </w:rPr>
            </w:pPr>
            <w:hyperlink r:id="rId153">
              <w:r>
                <w:rPr>
                  <w:rFonts w:ascii="Arial" w:cs="Arial" w:eastAsia="Arial" w:hAnsi="Arial"/>
                  <w:sz w:val="18"/>
                  <w:szCs w:val="18"/>
                  <w:color w:val="0000FF"/>
                  <w:w w:val="98"/>
                </w:rPr>
                <w:t>(incorporated by reference to Exhibit 10.2 of Registrant’s Quarterly Report on Form 10-Q filed on November 15, 2021)</w:t>
              </w:r>
            </w:hyperlink>
          </w:p>
        </w:tc>
        <w:tc>
          <w:tcPr>
            <w:tcW w:w="3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w w:val="90"/>
              </w:rPr>
            </w:pPr>
            <w:hyperlink r:id="rId154">
              <w:r>
                <w:rPr>
                  <w:rFonts w:ascii="Arial" w:cs="Arial" w:eastAsia="Arial" w:hAnsi="Arial"/>
                  <w:sz w:val="18"/>
                  <w:szCs w:val="18"/>
                  <w:color w:val="0000FF"/>
                  <w:w w:val="90"/>
                </w:rPr>
                <w:t>Retention Agreement, dated as of October 4, 2021, by and between Gemini Therapeutics, Inc. and Dr. Samuel Barone (incorporated by</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reference to Exhibit 10.1 of Registrant’s Quarterly Report on Form 10-Q filed on November 15,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Employment Agreement, dated as of February 4, 2021, by and between Gemini Therapeutics, Inc. and Brian Piekos (incorporated by</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reference to Exhibit 10.2 of Registrant’s Quarterly Report on Form 10-Q filed on May 13,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66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w w:val="91"/>
              </w:rPr>
            </w:pPr>
            <w:hyperlink r:id="rId156">
              <w:r>
                <w:rPr>
                  <w:rFonts w:ascii="Arial" w:cs="Arial" w:eastAsia="Arial" w:hAnsi="Arial"/>
                  <w:sz w:val="18"/>
                  <w:szCs w:val="18"/>
                  <w:color w:val="0000FF"/>
                  <w:w w:val="91"/>
                </w:rPr>
                <w:t>Employment Agreement, dated as of April 12, 2021, by and between Gemini Therapeutics, Inc. and Dr. Samuel Barone (incorporated</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by reference to Exhibit 10.1 of Registrant’s Quarterly Report on Form 10-Q filed on August 12, 2021)</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40" w:type="dxa"/>
            <w:vAlign w:val="bottom"/>
            <w:gridSpan w:val="11"/>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w w:val="90"/>
              </w:rPr>
            </w:pPr>
            <w:hyperlink r:id="rId157">
              <w:r>
                <w:rPr>
                  <w:rFonts w:ascii="Arial" w:cs="Arial" w:eastAsia="Arial" w:hAnsi="Arial"/>
                  <w:sz w:val="18"/>
                  <w:szCs w:val="18"/>
                  <w:color w:val="0000FF"/>
                  <w:w w:val="90"/>
                </w:rPr>
                <w:t>Employment Agreement, dated as of February 5, 2021, by and between Gemini Therapeutics, Inc. and Jason Meyenburg (incorporated</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by reference to Exhibit 10.9 to the Registrant’s Current Report on Form 8-K filed on February 11,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2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9"/>
          </w:tcPr>
          <w:p>
            <w:pPr>
              <w:spacing w:after="0"/>
              <w:rPr>
                <w:rFonts w:ascii="Arial" w:cs="Arial" w:eastAsia="Arial" w:hAnsi="Arial"/>
                <w:sz w:val="18"/>
                <w:szCs w:val="18"/>
                <w:color w:val="0000FF"/>
                <w:w w:val="91"/>
              </w:rPr>
            </w:pPr>
            <w:hyperlink r:id="rId158">
              <w:r>
                <w:rPr>
                  <w:rFonts w:ascii="Arial" w:cs="Arial" w:eastAsia="Arial" w:hAnsi="Arial"/>
                  <w:sz w:val="18"/>
                  <w:szCs w:val="18"/>
                  <w:color w:val="0000FF"/>
                  <w:w w:val="91"/>
                </w:rPr>
                <w:t>Separation Agreement and Release, dated as of February 28, 2022, by and between Gemini Therapeutics, Inc. and Jason Meyenburg</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(incorporated by reference to Exhibit 10.1 to the Registrant’s Current Report on Form 8-K filed on February 28, 2022)</w:t>
              </w:r>
            </w:hyperlink>
          </w:p>
        </w:tc>
        <w:tc>
          <w:tcPr>
            <w:tcW w:w="1040" w:type="dxa"/>
            <w:vAlign w:val="bottom"/>
            <w:tcBorders>
              <w:top w:val="single" w:sz="8" w:color="0000FF"/>
            </w:tcBorders>
            <w:gridSpan w:val="9"/>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763"/>
        </w:trPr>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60" w:type="dxa"/>
            <w:vAlign w:val="bottom"/>
            <w:gridSpan w:val="5"/>
          </w:tcPr>
          <w:p>
            <w:pPr>
              <w:jc w:val="right"/>
              <w:ind w:right="659"/>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-5511165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5" w:name="page106"/>
    <w:bookmarkEnd w:id="105"/>
    <w:tbl>
      <w:tblPr>
        <w:tblLayout w:type="fixed"/>
        <w:tblInd w:w="12"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10.12#</w:t>
            </w:r>
          </w:p>
        </w:tc>
        <w:tc>
          <w:tcPr>
            <w:tcW w:w="9800" w:type="dxa"/>
            <w:vAlign w:val="bottom"/>
            <w:gridSpan w:val="18"/>
          </w:tcPr>
          <w:p>
            <w:pPr>
              <w:spacing w:after="0"/>
              <w:rPr>
                <w:rFonts w:ascii="Arial" w:cs="Arial" w:eastAsia="Arial" w:hAnsi="Arial"/>
                <w:sz w:val="18"/>
                <w:szCs w:val="18"/>
                <w:color w:val="0000FF"/>
                <w:w w:val="94"/>
              </w:rPr>
            </w:pPr>
            <w:hyperlink r:id="rId162">
              <w:r>
                <w:rPr>
                  <w:rFonts w:ascii="Arial" w:cs="Arial" w:eastAsia="Arial" w:hAnsi="Arial"/>
                  <w:sz w:val="18"/>
                  <w:szCs w:val="18"/>
                  <w:color w:val="0000FF"/>
                  <w:w w:val="94"/>
                </w:rPr>
                <w:t>Gemini Therapeutics, Inc. 2021 Inducement Plan (incorporated by reference to Exhibit 99.3 of Registrant’s Form S-8 filed on April</w:t>
              </w:r>
            </w:hyperlink>
          </w:p>
        </w:tc>
      </w:tr>
      <w:tr>
        <w:trPr>
          <w:trHeight w:val="155"/>
        </w:trPr>
        <w:tc>
          <w:tcPr>
            <w:tcW w:w="148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13, 2021 (Registration No. 333-255194))</w:t>
              </w:r>
            </w:hyperlink>
          </w:p>
        </w:tc>
        <w:tc>
          <w:tcPr>
            <w:tcW w:w="20" w:type="dxa"/>
            <w:vAlign w:val="bottom"/>
            <w:tcBorders>
              <w:top w:val="single" w:sz="8" w:color="0000FF"/>
              <w:bottom w:val="single" w:sz="8" w:color="0000EE"/>
            </w:tcBorders>
          </w:tcPr>
          <w:p>
            <w:pPr>
              <w:spacing w:after="0"/>
              <w:rPr>
                <w:sz w:val="13"/>
                <w:szCs w:val="13"/>
                <w:color w:val="auto"/>
              </w:rPr>
            </w:pPr>
          </w:p>
        </w:tc>
        <w:tc>
          <w:tcPr>
            <w:tcW w:w="652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10.13*</w:t>
            </w:r>
          </w:p>
        </w:tc>
        <w:tc>
          <w:tcPr>
            <w:tcW w:w="9800" w:type="dxa"/>
            <w:vAlign w:val="bottom"/>
            <w:gridSpan w:val="18"/>
          </w:tcPr>
          <w:p>
            <w:pPr>
              <w:spacing w:after="0"/>
              <w:rPr>
                <w:rFonts w:ascii="Arial" w:cs="Arial" w:eastAsia="Arial" w:hAnsi="Arial"/>
                <w:sz w:val="18"/>
                <w:szCs w:val="18"/>
                <w:color w:val="0000FF"/>
                <w:w w:val="93"/>
              </w:rPr>
            </w:pPr>
            <w:hyperlink w:anchor="page142">
              <w:r>
                <w:rPr>
                  <w:rFonts w:ascii="Arial" w:cs="Arial" w:eastAsia="Arial" w:hAnsi="Arial"/>
                  <w:sz w:val="18"/>
                  <w:szCs w:val="18"/>
                  <w:color w:val="0000FF"/>
                  <w:w w:val="93"/>
                </w:rPr>
                <w:t>Second Amendment Agreement, dated March 7, 2022, by and between Sanquin Blood Supply Foundation and Gemini Therapeutics</w:t>
              </w:r>
            </w:hyperlink>
          </w:p>
        </w:tc>
      </w:tr>
      <w:tr>
        <w:trPr>
          <w:trHeight w:val="155"/>
        </w:trPr>
        <w:tc>
          <w:tcPr>
            <w:tcW w:w="1480" w:type="dxa"/>
            <w:vAlign w:val="bottom"/>
          </w:tcPr>
          <w:p>
            <w:pPr>
              <w:spacing w:after="0"/>
              <w:rPr>
                <w:sz w:val="13"/>
                <w:szCs w:val="13"/>
                <w:color w:val="auto"/>
              </w:rPr>
            </w:pPr>
          </w:p>
        </w:tc>
        <w:tc>
          <w:tcPr>
            <w:tcW w:w="6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w:anchor="page142">
              <w:r>
                <w:rPr>
                  <w:rFonts w:ascii="Arial" w:cs="Arial" w:eastAsia="Arial" w:hAnsi="Arial"/>
                  <w:sz w:val="18"/>
                  <w:szCs w:val="18"/>
                  <w:color w:val="0000FF"/>
                  <w:w w:val="87"/>
                </w:rPr>
                <w:t>Sub, Inc.</w:t>
              </w:r>
            </w:hyperlink>
          </w:p>
        </w:tc>
        <w:tc>
          <w:tcPr>
            <w:tcW w:w="8900" w:type="dxa"/>
            <w:vAlign w:val="bottom"/>
            <w:tcBorders>
              <w:top w:val="single" w:sz="8" w:color="0000FF"/>
            </w:tcBorders>
            <w:gridSpan w:val="10"/>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21.1</w:t>
            </w:r>
          </w:p>
        </w:tc>
        <w:tc>
          <w:tcPr>
            <w:tcW w:w="9800" w:type="dxa"/>
            <w:vAlign w:val="bottom"/>
            <w:gridSpan w:val="18"/>
          </w:tcPr>
          <w:p>
            <w:pPr>
              <w:spacing w:after="0"/>
              <w:rPr>
                <w:rFonts w:ascii="Arial" w:cs="Arial" w:eastAsia="Arial" w:hAnsi="Arial"/>
                <w:sz w:val="18"/>
                <w:szCs w:val="18"/>
                <w:color w:val="0000FF"/>
                <w:w w:val="94"/>
              </w:rPr>
            </w:pPr>
            <w:hyperlink r:id="rId163">
              <w:r>
                <w:rPr>
                  <w:rFonts w:ascii="Arial" w:cs="Arial" w:eastAsia="Arial" w:hAnsi="Arial"/>
                  <w:sz w:val="18"/>
                  <w:szCs w:val="18"/>
                  <w:color w:val="0000FF"/>
                  <w:w w:val="94"/>
                </w:rPr>
                <w:t>List of Subsidiaries (incorporated by reference to Exhibit 21.1 to the Registrant’s Current Report on Form 8-K filed on February 11,</w:t>
              </w:r>
            </w:hyperlink>
          </w:p>
        </w:tc>
      </w:tr>
      <w:tr>
        <w:trPr>
          <w:trHeight w:val="156"/>
        </w:trPr>
        <w:tc>
          <w:tcPr>
            <w:tcW w:w="148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63">
              <w:r>
                <w:rPr>
                  <w:rFonts w:ascii="Arial" w:cs="Arial" w:eastAsia="Arial" w:hAnsi="Arial"/>
                  <w:sz w:val="18"/>
                  <w:szCs w:val="18"/>
                  <w:color w:val="0000FF"/>
                  <w:w w:val="86"/>
                </w:rPr>
                <w:t>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8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0"/>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566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146">
              <w:r>
                <w:rPr>
                  <w:rFonts w:ascii="Arial" w:cs="Arial" w:eastAsia="Arial" w:hAnsi="Arial"/>
                  <w:sz w:val="18"/>
                  <w:szCs w:val="18"/>
                  <w:color w:val="0000FF"/>
                  <w:w w:val="91"/>
                </w:rPr>
                <w:t>Consent of Ernst &amp; Young LLP, independent registered public accounting firm</w:t>
              </w:r>
            </w:hyperlink>
          </w:p>
        </w:tc>
        <w:tc>
          <w:tcPr>
            <w:tcW w:w="4140" w:type="dxa"/>
            <w:vAlign w:val="bottom"/>
            <w:gridSpan w:val="7"/>
          </w:tcPr>
          <w:p>
            <w:pPr>
              <w:spacing w:after="0"/>
              <w:rPr>
                <w:sz w:val="24"/>
                <w:szCs w:val="24"/>
                <w:color w:val="auto"/>
              </w:rPr>
            </w:pPr>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24.1*</w:t>
            </w:r>
          </w:p>
        </w:tc>
        <w:tc>
          <w:tcPr>
            <w:tcW w:w="504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Power of Attorney (included on signature page of this Annual Report)</w:t>
              </w:r>
            </w:hyperlink>
          </w:p>
        </w:tc>
        <w:tc>
          <w:tcPr>
            <w:tcW w:w="20" w:type="dxa"/>
            <w:vAlign w:val="bottom"/>
            <w:tcBorders>
              <w:bottom w:val="single" w:sz="8" w:color="0000EE"/>
            </w:tcBorders>
          </w:tcPr>
          <w:p>
            <w:pPr>
              <w:spacing w:after="0"/>
              <w:rPr>
                <w:sz w:val="24"/>
                <w:szCs w:val="24"/>
                <w:color w:val="auto"/>
              </w:rPr>
            </w:pPr>
          </w:p>
        </w:tc>
        <w:tc>
          <w:tcPr>
            <w:tcW w:w="4740" w:type="dxa"/>
            <w:vAlign w:val="bottom"/>
            <w:gridSpan w:val="8"/>
          </w:tcPr>
          <w:p>
            <w:pPr>
              <w:spacing w:after="0"/>
              <w:rPr>
                <w:sz w:val="24"/>
                <w:szCs w:val="24"/>
                <w:color w:val="auto"/>
              </w:rPr>
            </w:pPr>
          </w:p>
        </w:tc>
      </w:tr>
      <w:tr>
        <w:trPr>
          <w:trHeight w:val="290"/>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gridSpan w:val="18"/>
          </w:tcPr>
          <w:p>
            <w:pPr>
              <w:spacing w:after="0"/>
              <w:rPr>
                <w:rFonts w:ascii="Arial" w:cs="Arial" w:eastAsia="Arial" w:hAnsi="Arial"/>
                <w:sz w:val="18"/>
                <w:szCs w:val="18"/>
                <w:color w:val="0000FF"/>
                <w:w w:val="92"/>
              </w:rPr>
            </w:pPr>
            <w:hyperlink w:anchor="page147">
              <w:r>
                <w:rPr>
                  <w:rFonts w:ascii="Arial" w:cs="Arial" w:eastAsia="Arial" w:hAnsi="Arial"/>
                  <w:sz w:val="18"/>
                  <w:szCs w:val="18"/>
                  <w:color w:val="0000FF"/>
                  <w:w w:val="92"/>
                </w:rPr>
                <w:t>Certification of Principal Executive Officer Pursuant to Rules 13a-14(a) and 15d-14(a) under the Securities Exchange Act of 1934, as</w:t>
              </w:r>
            </w:hyperlink>
          </w:p>
        </w:tc>
      </w:tr>
      <w:tr>
        <w:trPr>
          <w:trHeight w:val="156"/>
        </w:trPr>
        <w:tc>
          <w:tcPr>
            <w:tcW w:w="148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w:anchor="page147">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7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9800" w:type="dxa"/>
            <w:vAlign w:val="bottom"/>
            <w:gridSpan w:val="18"/>
          </w:tcPr>
          <w:p>
            <w:pPr>
              <w:spacing w:after="0"/>
              <w:rPr>
                <w:rFonts w:ascii="Arial" w:cs="Arial" w:eastAsia="Arial" w:hAnsi="Arial"/>
                <w:sz w:val="18"/>
                <w:szCs w:val="18"/>
                <w:color w:val="0000FF"/>
                <w:w w:val="93"/>
              </w:rPr>
            </w:pPr>
            <w:hyperlink w:anchor="page148">
              <w:r>
                <w:rPr>
                  <w:rFonts w:ascii="Arial" w:cs="Arial" w:eastAsia="Arial" w:hAnsi="Arial"/>
                  <w:sz w:val="18"/>
                  <w:szCs w:val="18"/>
                  <w:color w:val="0000FF"/>
                  <w:w w:val="93"/>
                </w:rPr>
                <w:t>Certification of Principal Financial Officer Pursuant to Rules 13a-14(a) and 15d-14(a) under the Securities Exchange Act of 1934, as</w:t>
              </w:r>
            </w:hyperlink>
          </w:p>
        </w:tc>
      </w:tr>
      <w:tr>
        <w:trPr>
          <w:trHeight w:val="155"/>
        </w:trPr>
        <w:tc>
          <w:tcPr>
            <w:tcW w:w="148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w:anchor="page148">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7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9800" w:type="dxa"/>
            <w:vAlign w:val="bottom"/>
            <w:gridSpan w:val="18"/>
          </w:tcPr>
          <w:p>
            <w:pPr>
              <w:spacing w:after="0"/>
              <w:rPr>
                <w:rFonts w:ascii="Arial" w:cs="Arial" w:eastAsia="Arial" w:hAnsi="Arial"/>
                <w:sz w:val="18"/>
                <w:szCs w:val="18"/>
                <w:color w:val="0000FF"/>
                <w:w w:val="92"/>
              </w:rPr>
            </w:pPr>
            <w:hyperlink w:anchor="page149">
              <w:r>
                <w:rPr>
                  <w:rFonts w:ascii="Arial" w:cs="Arial" w:eastAsia="Arial" w:hAnsi="Arial"/>
                  <w:sz w:val="18"/>
                  <w:szCs w:val="18"/>
                  <w:color w:val="0000FF"/>
                  <w:w w:val="92"/>
                </w:rPr>
                <w:t>Certification of Principal Executive Officer Pursuant to 18 U.S.C. Section 1350, as Adopted Pursuant to Section 906 of the Sarbanes-</w:t>
              </w:r>
            </w:hyperlink>
          </w:p>
        </w:tc>
      </w:tr>
      <w:tr>
        <w:trPr>
          <w:trHeight w:val="155"/>
        </w:trPr>
        <w:tc>
          <w:tcPr>
            <w:tcW w:w="1480" w:type="dxa"/>
            <w:vAlign w:val="bottom"/>
          </w:tcPr>
          <w:p>
            <w:pPr>
              <w:spacing w:after="0"/>
              <w:rPr>
                <w:sz w:val="13"/>
                <w:szCs w:val="13"/>
                <w:color w:val="auto"/>
              </w:rPr>
            </w:pPr>
          </w:p>
        </w:tc>
        <w:tc>
          <w:tcPr>
            <w:tcW w:w="97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49">
              <w:r>
                <w:rPr>
                  <w:rFonts w:ascii="Arial" w:cs="Arial" w:eastAsia="Arial" w:hAnsi="Arial"/>
                  <w:sz w:val="18"/>
                  <w:szCs w:val="18"/>
                  <w:color w:val="0000FF"/>
                </w:rPr>
                <w:t>Oxley Act of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80" w:type="dxa"/>
            <w:vAlign w:val="bottom"/>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83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32.2*</w:t>
            </w:r>
          </w:p>
        </w:tc>
        <w:tc>
          <w:tcPr>
            <w:tcW w:w="9800" w:type="dxa"/>
            <w:vAlign w:val="bottom"/>
            <w:gridSpan w:val="18"/>
          </w:tcPr>
          <w:p>
            <w:pPr>
              <w:spacing w:after="0"/>
              <w:rPr>
                <w:rFonts w:ascii="Arial" w:cs="Arial" w:eastAsia="Arial" w:hAnsi="Arial"/>
                <w:sz w:val="18"/>
                <w:szCs w:val="18"/>
                <w:color w:val="0000FF"/>
                <w:w w:val="93"/>
              </w:rPr>
            </w:pPr>
            <w:hyperlink w:anchor="page150">
              <w:r>
                <w:rPr>
                  <w:rFonts w:ascii="Arial" w:cs="Arial" w:eastAsia="Arial" w:hAnsi="Arial"/>
                  <w:sz w:val="18"/>
                  <w:szCs w:val="18"/>
                  <w:color w:val="0000FF"/>
                  <w:w w:val="93"/>
                </w:rPr>
                <w:t>Certification of Principal Financial Officer Pursuant to 18 U.S.C. Section 1350, as Adopted Pursuant to Section 906 of the Sarbanes-</w:t>
              </w:r>
            </w:hyperlink>
          </w:p>
        </w:tc>
      </w:tr>
      <w:tr>
        <w:trPr>
          <w:trHeight w:val="155"/>
        </w:trPr>
        <w:tc>
          <w:tcPr>
            <w:tcW w:w="1480" w:type="dxa"/>
            <w:vAlign w:val="bottom"/>
          </w:tcPr>
          <w:p>
            <w:pPr>
              <w:spacing w:after="0"/>
              <w:rPr>
                <w:sz w:val="13"/>
                <w:szCs w:val="13"/>
                <w:color w:val="auto"/>
              </w:rPr>
            </w:pPr>
          </w:p>
        </w:tc>
        <w:tc>
          <w:tcPr>
            <w:tcW w:w="97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150">
              <w:r>
                <w:rPr>
                  <w:rFonts w:ascii="Arial" w:cs="Arial" w:eastAsia="Arial" w:hAnsi="Arial"/>
                  <w:sz w:val="18"/>
                  <w:szCs w:val="18"/>
                  <w:color w:val="0000FF"/>
                </w:rPr>
                <w:t>Oxley Act of 2002.</w:t>
              </w:r>
            </w:hyperlink>
          </w:p>
        </w:tc>
        <w:tc>
          <w:tcPr>
            <w:tcW w:w="20" w:type="dxa"/>
            <w:vAlign w:val="bottom"/>
          </w:tcPr>
          <w:p>
            <w:pPr>
              <w:spacing w:after="0"/>
              <w:rPr>
                <w:sz w:val="13"/>
                <w:szCs w:val="13"/>
                <w:color w:val="auto"/>
              </w:rPr>
            </w:pPr>
          </w:p>
        </w:tc>
      </w:tr>
      <w:tr>
        <w:trPr>
          <w:trHeight w:val="20"/>
        </w:trPr>
        <w:tc>
          <w:tcPr>
            <w:tcW w:w="1480" w:type="dxa"/>
            <w:vAlign w:val="bottom"/>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8400" w:type="dxa"/>
            <w:vAlign w:val="bottom"/>
            <w:gridSpan w:val="14"/>
          </w:tcPr>
          <w:p>
            <w:pPr>
              <w:spacing w:after="0" w:line="20" w:lineRule="exact"/>
              <w:rPr>
                <w:sz w:val="1"/>
                <w:szCs w:val="1"/>
                <w:color w:val="auto"/>
              </w:rPr>
            </w:pPr>
          </w:p>
        </w:tc>
      </w:tr>
      <w:tr>
        <w:trPr>
          <w:trHeight w:val="277"/>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9800" w:type="dxa"/>
            <w:vAlign w:val="bottom"/>
            <w:gridSpan w:val="18"/>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r>
      <w:tr>
        <w:trPr>
          <w:trHeight w:val="230"/>
        </w:trPr>
        <w:tc>
          <w:tcPr>
            <w:tcW w:w="1480" w:type="dxa"/>
            <w:vAlign w:val="bottom"/>
          </w:tcPr>
          <w:p>
            <w:pPr>
              <w:spacing w:after="0"/>
              <w:rPr>
                <w:sz w:val="20"/>
                <w:szCs w:val="20"/>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980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1"/>
        </w:trPr>
        <w:tc>
          <w:tcPr>
            <w:tcW w:w="1480" w:type="dxa"/>
            <w:vAlign w:val="bottom"/>
          </w:tcPr>
          <w:p>
            <w:pPr>
              <w:spacing w:after="0"/>
              <w:rPr>
                <w:sz w:val="20"/>
                <w:szCs w:val="20"/>
                <w:color w:val="auto"/>
              </w:rPr>
            </w:pPr>
            <w:r>
              <w:rPr>
                <w:rFonts w:ascii="Arial" w:cs="Arial" w:eastAsia="Arial" w:hAnsi="Arial"/>
                <w:sz w:val="18"/>
                <w:szCs w:val="18"/>
                <w:color w:val="auto"/>
              </w:rPr>
              <w:t>101.CAL*</w:t>
            </w:r>
          </w:p>
        </w:tc>
        <w:tc>
          <w:tcPr>
            <w:tcW w:w="980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980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1"/>
        </w:trPr>
        <w:tc>
          <w:tcPr>
            <w:tcW w:w="1480" w:type="dxa"/>
            <w:vAlign w:val="bottom"/>
          </w:tcPr>
          <w:p>
            <w:pPr>
              <w:spacing w:after="0"/>
              <w:rPr>
                <w:sz w:val="20"/>
                <w:szCs w:val="20"/>
                <w:color w:val="auto"/>
              </w:rPr>
            </w:pPr>
            <w:r>
              <w:rPr>
                <w:rFonts w:ascii="Arial" w:cs="Arial" w:eastAsia="Arial" w:hAnsi="Arial"/>
                <w:sz w:val="18"/>
                <w:szCs w:val="18"/>
                <w:color w:val="auto"/>
              </w:rPr>
              <w:t>101.LAB*</w:t>
            </w:r>
          </w:p>
        </w:tc>
        <w:tc>
          <w:tcPr>
            <w:tcW w:w="980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980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80" w:lineRule="exact"/>
        <w:rPr>
          <w:sz w:val="20"/>
          <w:szCs w:val="20"/>
          <w:color w:val="auto"/>
        </w:rPr>
      </w:pPr>
    </w:p>
    <w:p>
      <w:pPr>
        <w:ind w:left="-8" w:right="3960" w:firstLine="21"/>
        <w:spacing w:after="0" w:line="446" w:lineRule="auto"/>
        <w:tabs>
          <w:tab w:leader="none" w:pos="1477" w:val="left"/>
        </w:tabs>
        <w:numPr>
          <w:ilvl w:val="1"/>
          <w:numId w:val="7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or 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14230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52" w:hanging="352"/>
        <w:spacing w:after="0"/>
        <w:tabs>
          <w:tab w:leader="none" w:pos="3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297" w:right="3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3720" w:type="dxa"/>
            <w:vAlign w:val="bottom"/>
            <w:gridSpan w:val="2"/>
          </w:tcPr>
          <w:p>
            <w:pPr>
              <w:ind w:left="2340"/>
              <w:spacing w:after="0"/>
              <w:rPr>
                <w:sz w:val="20"/>
                <w:szCs w:val="20"/>
                <w:color w:val="auto"/>
              </w:rPr>
            </w:pPr>
            <w:r>
              <w:rPr>
                <w:rFonts w:ascii="Arial" w:cs="Arial" w:eastAsia="Arial" w:hAnsi="Arial"/>
                <w:sz w:val="18"/>
                <w:szCs w:val="18"/>
                <w:color w:val="auto"/>
              </w:rPr>
              <w:t>Company Name</w:t>
            </w:r>
          </w:p>
        </w:tc>
        <w:tc>
          <w:tcPr>
            <w:tcW w:w="4420" w:type="dxa"/>
            <w:vAlign w:val="bottom"/>
          </w:tcPr>
          <w:p>
            <w:pPr>
              <w:spacing w:after="0"/>
              <w:rPr>
                <w:sz w:val="20"/>
                <w:szCs w:val="20"/>
                <w:color w:val="auto"/>
              </w:rPr>
            </w:pPr>
          </w:p>
        </w:tc>
      </w:tr>
      <w:tr>
        <w:trPr>
          <w:trHeight w:val="351"/>
        </w:trPr>
        <w:tc>
          <w:tcPr>
            <w:tcW w:w="3080" w:type="dxa"/>
            <w:vAlign w:val="bottom"/>
          </w:tcPr>
          <w:p>
            <w:pPr>
              <w:spacing w:after="0"/>
              <w:rPr>
                <w:sz w:val="20"/>
                <w:szCs w:val="20"/>
                <w:color w:val="auto"/>
              </w:rPr>
            </w:pPr>
            <w:r>
              <w:rPr>
                <w:rFonts w:ascii="Arial" w:cs="Arial" w:eastAsia="Arial" w:hAnsi="Arial"/>
                <w:sz w:val="18"/>
                <w:szCs w:val="18"/>
                <w:color w:val="auto"/>
              </w:rPr>
              <w:t>Date: March 10, 2022</w:t>
            </w:r>
          </w:p>
        </w:tc>
        <w:tc>
          <w:tcPr>
            <w:tcW w:w="3720" w:type="dxa"/>
            <w:vAlign w:val="bottom"/>
            <w:gridSpan w:val="2"/>
          </w:tcPr>
          <w:p>
            <w:pPr>
              <w:ind w:left="2340"/>
              <w:spacing w:after="0"/>
              <w:rPr>
                <w:sz w:val="20"/>
                <w:szCs w:val="20"/>
                <w:color w:val="auto"/>
              </w:rPr>
            </w:pPr>
            <w:r>
              <w:rPr>
                <w:rFonts w:ascii="Arial" w:cs="Arial" w:eastAsia="Arial" w:hAnsi="Arial"/>
                <w:sz w:val="18"/>
                <w:szCs w:val="18"/>
                <w:color w:val="auto"/>
              </w:rPr>
              <w:t>By:</w:t>
            </w:r>
          </w:p>
        </w:tc>
        <w:tc>
          <w:tcPr>
            <w:tcW w:w="4420" w:type="dxa"/>
            <w:vAlign w:val="bottom"/>
          </w:tcPr>
          <w:p>
            <w:pPr>
              <w:jc w:val="center"/>
              <w:ind w:right="671"/>
              <w:spacing w:after="0"/>
              <w:rPr>
                <w:sz w:val="20"/>
                <w:szCs w:val="20"/>
                <w:color w:val="auto"/>
              </w:rPr>
            </w:pPr>
            <w:r>
              <w:rPr>
                <w:rFonts w:ascii="Arial" w:cs="Arial" w:eastAsia="Arial" w:hAnsi="Arial"/>
                <w:sz w:val="18"/>
                <w:szCs w:val="18"/>
                <w:color w:val="auto"/>
                <w:w w:val="88"/>
              </w:rPr>
              <w:t>/s/ Georges Gemayel</w:t>
            </w:r>
          </w:p>
        </w:tc>
      </w:tr>
      <w:tr>
        <w:trPr>
          <w:trHeight w:val="155"/>
        </w:trPr>
        <w:tc>
          <w:tcPr>
            <w:tcW w:w="30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420" w:type="dxa"/>
            <w:vAlign w:val="bottom"/>
            <w:tcBorders>
              <w:top w:val="single" w:sz="8" w:color="auto"/>
            </w:tcBorders>
          </w:tcPr>
          <w:p>
            <w:pPr>
              <w:jc w:val="center"/>
              <w:ind w:right="691"/>
              <w:spacing w:after="0" w:line="154" w:lineRule="exact"/>
              <w:rPr>
                <w:sz w:val="20"/>
                <w:szCs w:val="20"/>
                <w:color w:val="auto"/>
              </w:rPr>
            </w:pPr>
            <w:r>
              <w:rPr>
                <w:rFonts w:ascii="Arial" w:cs="Arial" w:eastAsia="Arial" w:hAnsi="Arial"/>
                <w:sz w:val="17"/>
                <w:szCs w:val="17"/>
                <w:color w:val="auto"/>
                <w:w w:val="94"/>
              </w:rPr>
              <w:t>Dr. Georges Gemayel</w:t>
            </w:r>
          </w:p>
        </w:tc>
      </w:tr>
      <w:tr>
        <w:trPr>
          <w:trHeight w:val="189"/>
        </w:trPr>
        <w:tc>
          <w:tcPr>
            <w:tcW w:w="30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20" w:type="dxa"/>
            <w:vAlign w:val="bottom"/>
          </w:tcPr>
          <w:p>
            <w:pPr>
              <w:jc w:val="center"/>
              <w:ind w:right="691"/>
              <w:spacing w:after="0" w:line="189" w:lineRule="exact"/>
              <w:rPr>
                <w:sz w:val="20"/>
                <w:szCs w:val="20"/>
                <w:color w:val="auto"/>
              </w:rPr>
            </w:pPr>
            <w:r>
              <w:rPr>
                <w:rFonts w:ascii="Arial" w:cs="Arial" w:eastAsia="Arial" w:hAnsi="Arial"/>
                <w:sz w:val="18"/>
                <w:szCs w:val="18"/>
                <w:color w:val="auto"/>
                <w:w w:val="92"/>
              </w:rPr>
              <w:t>Interim President and Chief Executive Officer</w:t>
            </w:r>
          </w:p>
        </w:tc>
      </w:tr>
      <w:tr>
        <w:trPr>
          <w:trHeight w:val="230"/>
        </w:trPr>
        <w:tc>
          <w:tcPr>
            <w:tcW w:w="3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20" w:type="dxa"/>
            <w:vAlign w:val="bottom"/>
          </w:tcPr>
          <w:p>
            <w:pPr>
              <w:jc w:val="center"/>
              <w:ind w:right="671"/>
              <w:spacing w:after="0"/>
              <w:rPr>
                <w:sz w:val="20"/>
                <w:szCs w:val="20"/>
                <w:color w:val="auto"/>
              </w:rPr>
            </w:pPr>
            <w:r>
              <w:rPr>
                <w:rFonts w:ascii="Arial" w:cs="Arial" w:eastAsia="Arial" w:hAnsi="Arial"/>
                <w:sz w:val="18"/>
                <w:szCs w:val="18"/>
                <w:color w:val="auto"/>
                <w:w w:val="94"/>
              </w:rPr>
              <w:t>(Principal Executive Officer)</w:t>
            </w:r>
          </w:p>
        </w:tc>
      </w:tr>
      <w:tr>
        <w:trPr>
          <w:trHeight w:val="405"/>
        </w:trPr>
        <w:tc>
          <w:tcPr>
            <w:tcW w:w="3080" w:type="dxa"/>
            <w:vAlign w:val="bottom"/>
          </w:tcPr>
          <w:p>
            <w:pPr>
              <w:spacing w:after="0"/>
              <w:rPr>
                <w:sz w:val="24"/>
                <w:szCs w:val="24"/>
                <w:color w:val="auto"/>
              </w:rPr>
            </w:pPr>
          </w:p>
        </w:tc>
        <w:tc>
          <w:tcPr>
            <w:tcW w:w="3720" w:type="dxa"/>
            <w:vAlign w:val="bottom"/>
            <w:gridSpan w:val="2"/>
          </w:tcPr>
          <w:p>
            <w:pPr>
              <w:ind w:left="1520"/>
              <w:spacing w:after="0"/>
              <w:rPr>
                <w:sz w:val="20"/>
                <w:szCs w:val="20"/>
                <w:color w:val="auto"/>
              </w:rPr>
            </w:pPr>
            <w:r>
              <w:rPr>
                <w:rFonts w:ascii="Arial" w:cs="Arial" w:eastAsia="Arial" w:hAnsi="Arial"/>
                <w:sz w:val="18"/>
                <w:szCs w:val="18"/>
                <w:b w:val="1"/>
                <w:bCs w:val="1"/>
                <w:color w:val="auto"/>
              </w:rPr>
              <w:t>POWER OF ATTORNEY</w:t>
            </w:r>
          </w:p>
        </w:tc>
        <w:tc>
          <w:tcPr>
            <w:tcW w:w="4420" w:type="dxa"/>
            <w:vAlign w:val="bottom"/>
          </w:tcPr>
          <w:p>
            <w:pPr>
              <w:spacing w:after="0"/>
              <w:rPr>
                <w:sz w:val="24"/>
                <w:szCs w:val="24"/>
                <w:color w:val="auto"/>
              </w:rPr>
            </w:pP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Georges Gemayel,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or substitute, may lawfully do or cause to be done by virtue hereof.</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23"/>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88"/>
              </w:rPr>
              <w:t>/s/ Georges Gemayel</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Interim President and Chief Executive Officer and Executive Chair</w:t>
            </w:r>
          </w:p>
        </w:tc>
        <w:tc>
          <w:tcPr>
            <w:tcW w:w="100" w:type="dxa"/>
            <w:vAlign w:val="bottom"/>
          </w:tcPr>
          <w:p>
            <w:pPr>
              <w:spacing w:after="0"/>
              <w:rPr>
                <w:sz w:val="19"/>
                <w:szCs w:val="19"/>
                <w:color w:val="auto"/>
              </w:rPr>
            </w:pP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91"/>
              </w:rPr>
              <w:t>March 10, 2022</w:t>
            </w:r>
          </w:p>
        </w:tc>
        <w:tc>
          <w:tcPr>
            <w:tcW w:w="0" w:type="dxa"/>
            <w:vAlign w:val="bottom"/>
          </w:tcPr>
          <w:p>
            <w:pPr>
              <w:spacing w:after="0"/>
              <w:rPr>
                <w:sz w:val="1"/>
                <w:szCs w:val="1"/>
                <w:color w:val="auto"/>
              </w:rPr>
            </w:pPr>
          </w:p>
        </w:tc>
      </w:tr>
      <w:tr>
        <w:trPr>
          <w:trHeight w:val="208"/>
        </w:trPr>
        <w:tc>
          <w:tcPr>
            <w:tcW w:w="3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Pr>
          <w:p>
            <w:pPr>
              <w:jc w:val="center"/>
              <w:spacing w:after="0" w:line="202" w:lineRule="exact"/>
              <w:rPr>
                <w:sz w:val="20"/>
                <w:szCs w:val="20"/>
                <w:color w:val="auto"/>
              </w:rPr>
            </w:pPr>
            <w:r>
              <w:rPr>
                <w:rFonts w:ascii="Arial" w:cs="Arial" w:eastAsia="Arial" w:hAnsi="Arial"/>
                <w:sz w:val="18"/>
                <w:szCs w:val="18"/>
                <w:color w:val="auto"/>
                <w:w w:val="94"/>
              </w:rPr>
              <w:t>(Principal Executive Officer)</w:t>
            </w:r>
          </w:p>
        </w:tc>
        <w:tc>
          <w:tcPr>
            <w:tcW w:w="10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9"/>
              </w:rPr>
              <w:t>Dr. Georges Gemayel</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1"/>
              </w:rPr>
              <w:t>/s/ Brian Piekos</w:t>
            </w:r>
          </w:p>
        </w:tc>
        <w:tc>
          <w:tcPr>
            <w:tcW w:w="120" w:type="dxa"/>
            <w:vAlign w:val="bottom"/>
          </w:tcPr>
          <w:p>
            <w:pPr>
              <w:spacing w:after="0"/>
              <w:rPr>
                <w:sz w:val="16"/>
                <w:szCs w:val="16"/>
                <w:color w:val="auto"/>
              </w:rPr>
            </w:pPr>
          </w:p>
        </w:tc>
        <w:tc>
          <w:tcPr>
            <w:tcW w:w="4860" w:type="dxa"/>
            <w:vAlign w:val="bottom"/>
          </w:tcPr>
          <w:p>
            <w:pPr>
              <w:jc w:val="center"/>
              <w:spacing w:after="0" w:line="189" w:lineRule="exact"/>
              <w:rPr>
                <w:sz w:val="20"/>
                <w:szCs w:val="20"/>
                <w:color w:val="auto"/>
              </w:rPr>
            </w:pPr>
            <w:r>
              <w:rPr>
                <w:rFonts w:ascii="Arial" w:cs="Arial" w:eastAsia="Arial" w:hAnsi="Arial"/>
                <w:sz w:val="18"/>
                <w:szCs w:val="18"/>
                <w:color w:val="auto"/>
                <w:w w:val="93"/>
              </w:rPr>
              <w:t>Chief Financial Officer and Chief Business Officer (Principal</w:t>
            </w:r>
          </w:p>
        </w:tc>
        <w:tc>
          <w:tcPr>
            <w:tcW w:w="100" w:type="dxa"/>
            <w:vAlign w:val="bottom"/>
          </w:tcPr>
          <w:p>
            <w:pPr>
              <w:spacing w:after="0"/>
              <w:rPr>
                <w:sz w:val="16"/>
                <w:szCs w:val="16"/>
                <w:color w:val="auto"/>
              </w:rPr>
            </w:pP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91"/>
              </w:rPr>
              <w:t>March 10, 2022</w:t>
            </w:r>
          </w:p>
        </w:tc>
        <w:tc>
          <w:tcPr>
            <w:tcW w:w="0" w:type="dxa"/>
            <w:vAlign w:val="bottom"/>
          </w:tcPr>
          <w:p>
            <w:pPr>
              <w:spacing w:after="0"/>
              <w:rPr>
                <w:sz w:val="1"/>
                <w:szCs w:val="1"/>
                <w:color w:val="auto"/>
              </w:rPr>
            </w:pPr>
          </w:p>
        </w:tc>
      </w:tr>
      <w:tr>
        <w:trPr>
          <w:trHeight w:val="208"/>
        </w:trPr>
        <w:tc>
          <w:tcPr>
            <w:tcW w:w="3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Pr>
          <w:p>
            <w:pPr>
              <w:jc w:val="center"/>
              <w:spacing w:after="0" w:line="202" w:lineRule="exact"/>
              <w:rPr>
                <w:sz w:val="20"/>
                <w:szCs w:val="20"/>
                <w:color w:val="auto"/>
              </w:rPr>
            </w:pPr>
            <w:r>
              <w:rPr>
                <w:rFonts w:ascii="Arial" w:cs="Arial" w:eastAsia="Arial" w:hAnsi="Arial"/>
                <w:sz w:val="18"/>
                <w:szCs w:val="18"/>
                <w:color w:val="auto"/>
                <w:w w:val="94"/>
              </w:rPr>
              <w:t>Financial Officer and Principal Accounting Officer)</w:t>
            </w:r>
          </w:p>
        </w:tc>
        <w:tc>
          <w:tcPr>
            <w:tcW w:w="10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Brian Piekos</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Carl Gordon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2"/>
              </w:rPr>
              <w:t>Dr. Carl Gordon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Lubner</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3"/>
              </w:rPr>
              <w:t>David Lubner</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Tuyen Ong</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Dr. Tuyen Ong</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Jason Rhodes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5"/>
              </w:rPr>
              <w:t>Jason Rhodes</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Jim Tananbaum</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9"/>
              </w:rPr>
              <w:t>Dr. Jim Tananbaum</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500" w:type="dxa"/>
            <w:vAlign w:val="bottom"/>
            <w:gridSpan w:val="7"/>
          </w:tcPr>
          <w:p>
            <w:pPr>
              <w:jc w:val="center"/>
              <w:ind w:right="1580"/>
              <w:spacing w:after="0"/>
              <w:rPr>
                <w:sz w:val="20"/>
                <w:szCs w:val="20"/>
                <w:color w:val="auto"/>
              </w:rPr>
            </w:pPr>
            <w:r>
              <w:rPr>
                <w:rFonts w:ascii="Arial" w:cs="Arial" w:eastAsia="Arial" w:hAnsi="Arial"/>
                <w:sz w:val="18"/>
                <w:szCs w:val="18"/>
                <w:b w:val="1"/>
                <w:bCs w:val="1"/>
                <w:color w:val="auto"/>
              </w:rPr>
              <w:t>INDEX TO CONSOLIDATED FINANCIAL STATEMENTS</w:t>
            </w:r>
          </w:p>
        </w:tc>
        <w:tc>
          <w:tcPr>
            <w:tcW w:w="1580" w:type="dxa"/>
            <w:vAlign w:val="bottom"/>
          </w:tcPr>
          <w:p>
            <w:pPr>
              <w:spacing w:after="0"/>
              <w:rPr>
                <w:sz w:val="20"/>
                <w:szCs w:val="20"/>
                <w:color w:val="auto"/>
              </w:rPr>
            </w:pPr>
          </w:p>
        </w:tc>
      </w:tr>
      <w:tr>
        <w:trPr>
          <w:trHeight w:val="391"/>
        </w:trPr>
        <w:tc>
          <w:tcPr>
            <w:tcW w:w="20" w:type="dxa"/>
            <w:vAlign w:val="bottom"/>
            <w:tcBorders>
              <w:bottom w:val="single" w:sz="8" w:color="0000EE"/>
            </w:tcBorders>
          </w:tcPr>
          <w:p>
            <w:pPr>
              <w:spacing w:after="0"/>
              <w:rPr>
                <w:sz w:val="24"/>
                <w:szCs w:val="24"/>
                <w:color w:val="auto"/>
              </w:rPr>
            </w:pPr>
          </w:p>
        </w:tc>
        <w:tc>
          <w:tcPr>
            <w:tcW w:w="42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Report of Independent Registered Public Accounting Firm</w:t>
              </w:r>
            </w:hyperlink>
          </w:p>
        </w:tc>
        <w:tc>
          <w:tcPr>
            <w:tcW w:w="20" w:type="dxa"/>
            <w:vAlign w:val="bottom"/>
            <w:tcBorders>
              <w:bottom w:val="single" w:sz="8" w:color="0000EE"/>
            </w:tcBorders>
          </w:tcPr>
          <w:p>
            <w:pPr>
              <w:spacing w:after="0"/>
              <w:rPr>
                <w:sz w:val="24"/>
                <w:szCs w:val="24"/>
                <w:color w:val="auto"/>
              </w:rPr>
            </w:pPr>
          </w:p>
        </w:tc>
        <w:tc>
          <w:tcPr>
            <w:tcW w:w="5400" w:type="dxa"/>
            <w:vAlign w:val="bottom"/>
            <w:gridSpan w:val="5"/>
          </w:tcPr>
          <w:p>
            <w:pPr>
              <w:spacing w:after="0"/>
              <w:rPr>
                <w:sz w:val="24"/>
                <w:szCs w:val="24"/>
                <w:color w:val="auto"/>
              </w:rPr>
            </w:pPr>
          </w:p>
        </w:tc>
        <w:tc>
          <w:tcPr>
            <w:tcW w:w="1580" w:type="dxa"/>
            <w:vAlign w:val="bottom"/>
          </w:tcPr>
          <w:p>
            <w:pPr>
              <w:ind w:left="1320"/>
              <w:spacing w:after="0"/>
              <w:rPr>
                <w:sz w:val="20"/>
                <w:szCs w:val="20"/>
                <w:color w:val="auto"/>
              </w:rPr>
            </w:pPr>
            <w:r>
              <w:rPr>
                <w:rFonts w:ascii="Arial" w:cs="Arial" w:eastAsia="Arial" w:hAnsi="Arial"/>
                <w:sz w:val="18"/>
                <w:szCs w:val="18"/>
                <w:color w:val="auto"/>
                <w:w w:val="88"/>
              </w:rPr>
              <w:t>F-2</w:t>
            </w:r>
          </w:p>
        </w:tc>
      </w:tr>
      <w:tr>
        <w:trPr>
          <w:trHeight w:val="169"/>
        </w:trPr>
        <w:tc>
          <w:tcPr>
            <w:tcW w:w="20" w:type="dxa"/>
            <w:vAlign w:val="bottom"/>
            <w:tcBorders>
              <w:bottom w:val="single" w:sz="8" w:color="0000EE"/>
            </w:tcBorders>
          </w:tcPr>
          <w:p>
            <w:pPr>
              <w:spacing w:after="0"/>
              <w:rPr>
                <w:sz w:val="14"/>
                <w:szCs w:val="14"/>
                <w:color w:val="auto"/>
              </w:rPr>
            </w:pPr>
          </w:p>
        </w:tc>
        <w:tc>
          <w:tcPr>
            <w:tcW w:w="4240" w:type="dxa"/>
            <w:vAlign w:val="bottom"/>
            <w:tcBorders>
              <w:bottom w:val="single" w:sz="8" w:color="0000FF"/>
            </w:tcBorders>
            <w:gridSpan w:val="3"/>
          </w:tcPr>
          <w:p>
            <w:pPr>
              <w:spacing w:after="0" w:line="169" w:lineRule="exact"/>
              <w:rPr>
                <w:rFonts w:ascii="Arial" w:cs="Arial" w:eastAsia="Arial" w:hAnsi="Arial"/>
                <w:sz w:val="18"/>
                <w:szCs w:val="18"/>
                <w:color w:val="0000FF"/>
                <w:w w:val="88"/>
              </w:rPr>
            </w:pPr>
            <w:hyperlink w:anchor="page110">
              <w:r>
                <w:rPr>
                  <w:rFonts w:ascii="Arial" w:cs="Arial" w:eastAsia="Arial" w:hAnsi="Arial"/>
                  <w:sz w:val="18"/>
                  <w:szCs w:val="18"/>
                  <w:color w:val="0000FF"/>
                  <w:w w:val="88"/>
                </w:rPr>
                <w:t>Consolidated Balance Sheets as of December 31, 2021 and</w:t>
              </w:r>
            </w:hyperlink>
          </w:p>
        </w:tc>
        <w:tc>
          <w:tcPr>
            <w:tcW w:w="400" w:type="dxa"/>
            <w:vAlign w:val="bottom"/>
            <w:tcBorders>
              <w:bottom w:val="single" w:sz="8" w:color="0000FF"/>
            </w:tcBorders>
          </w:tcPr>
          <w:p>
            <w:pPr>
              <w:jc w:val="right"/>
              <w:spacing w:after="0" w:line="169" w:lineRule="exact"/>
              <w:rPr>
                <w:rFonts w:ascii="Arial" w:cs="Arial" w:eastAsia="Arial" w:hAnsi="Arial"/>
                <w:sz w:val="18"/>
                <w:szCs w:val="18"/>
                <w:color w:val="0000FF"/>
                <w:w w:val="94"/>
              </w:rPr>
            </w:pPr>
            <w:hyperlink w:anchor="page110">
              <w:r>
                <w:rPr>
                  <w:rFonts w:ascii="Arial" w:cs="Arial" w:eastAsia="Arial" w:hAnsi="Arial"/>
                  <w:sz w:val="18"/>
                  <w:szCs w:val="18"/>
                  <w:color w:val="0000FF"/>
                  <w:w w:val="94"/>
                </w:rPr>
                <w:t>2020</w:t>
              </w:r>
            </w:hyperlink>
          </w:p>
        </w:tc>
        <w:tc>
          <w:tcPr>
            <w:tcW w:w="1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1320"/>
              <w:spacing w:after="0" w:line="169" w:lineRule="exact"/>
              <w:rPr>
                <w:sz w:val="20"/>
                <w:szCs w:val="20"/>
                <w:color w:val="auto"/>
              </w:rPr>
            </w:pPr>
            <w:r>
              <w:rPr>
                <w:rFonts w:ascii="Arial" w:cs="Arial" w:eastAsia="Arial" w:hAnsi="Arial"/>
                <w:sz w:val="18"/>
                <w:szCs w:val="18"/>
                <w:color w:val="auto"/>
                <w:w w:val="88"/>
              </w:rPr>
              <w:t>F-3</w:t>
            </w:r>
          </w:p>
        </w:tc>
      </w:tr>
      <w:tr>
        <w:trPr>
          <w:trHeight w:val="169"/>
        </w:trPr>
        <w:tc>
          <w:tcPr>
            <w:tcW w:w="20" w:type="dxa"/>
            <w:vAlign w:val="bottom"/>
          </w:tcPr>
          <w:p>
            <w:pPr>
              <w:spacing w:after="0"/>
              <w:rPr>
                <w:sz w:val="14"/>
                <w:szCs w:val="14"/>
                <w:color w:val="auto"/>
              </w:rPr>
            </w:pPr>
          </w:p>
        </w:tc>
        <w:tc>
          <w:tcPr>
            <w:tcW w:w="4640" w:type="dxa"/>
            <w:vAlign w:val="bottom"/>
            <w:gridSpan w:val="4"/>
          </w:tcPr>
          <w:p>
            <w:pPr>
              <w:spacing w:after="0" w:line="169" w:lineRule="exact"/>
              <w:rPr>
                <w:rFonts w:ascii="Arial" w:cs="Arial" w:eastAsia="Arial" w:hAnsi="Arial"/>
                <w:sz w:val="18"/>
                <w:szCs w:val="18"/>
                <w:color w:val="0000FF"/>
                <w:w w:val="88"/>
              </w:rPr>
            </w:pPr>
            <w:hyperlink w:anchor="page111">
              <w:r>
                <w:rPr>
                  <w:rFonts w:ascii="Arial" w:cs="Arial" w:eastAsia="Arial" w:hAnsi="Arial"/>
                  <w:sz w:val="18"/>
                  <w:szCs w:val="18"/>
                  <w:color w:val="0000FF"/>
                  <w:w w:val="88"/>
                </w:rPr>
                <w:t>Consolidated Statements of Operations and Comprehensive Loss</w:t>
              </w:r>
            </w:hyperlink>
          </w:p>
        </w:tc>
        <w:tc>
          <w:tcPr>
            <w:tcW w:w="5000" w:type="dxa"/>
            <w:vAlign w:val="bottom"/>
            <w:gridSpan w:val="4"/>
          </w:tcPr>
          <w:p>
            <w:pPr>
              <w:ind w:left="80"/>
              <w:spacing w:after="0" w:line="169" w:lineRule="exact"/>
              <w:rPr>
                <w:rFonts w:ascii="Arial" w:cs="Arial" w:eastAsia="Arial" w:hAnsi="Arial"/>
                <w:sz w:val="18"/>
                <w:szCs w:val="18"/>
                <w:color w:val="0000FF"/>
              </w:rPr>
            </w:pPr>
            <w:hyperlink w:anchor="page111">
              <w:r>
                <w:rPr>
                  <w:rFonts w:ascii="Arial" w:cs="Arial" w:eastAsia="Arial" w:hAnsi="Arial"/>
                  <w:sz w:val="18"/>
                  <w:szCs w:val="18"/>
                  <w:color w:val="0000FF"/>
                </w:rPr>
                <w:t>for the Years Ended December 31, 2021 and 2020</w:t>
              </w:r>
            </w:hyperlink>
          </w:p>
        </w:tc>
        <w:tc>
          <w:tcPr>
            <w:tcW w:w="1580" w:type="dxa"/>
            <w:vAlign w:val="bottom"/>
          </w:tcPr>
          <w:p>
            <w:pPr>
              <w:ind w:left="1320"/>
              <w:spacing w:after="0" w:line="169" w:lineRule="exact"/>
              <w:rPr>
                <w:sz w:val="20"/>
                <w:szCs w:val="20"/>
                <w:color w:val="auto"/>
              </w:rPr>
            </w:pPr>
            <w:r>
              <w:rPr>
                <w:rFonts w:ascii="Arial" w:cs="Arial" w:eastAsia="Arial" w:hAnsi="Arial"/>
                <w:sz w:val="18"/>
                <w:szCs w:val="18"/>
                <w:color w:val="auto"/>
                <w:w w:val="88"/>
              </w:rPr>
              <w:t>F-4</w:t>
            </w:r>
          </w:p>
        </w:tc>
      </w:tr>
      <w:tr>
        <w:trPr>
          <w:trHeight w:val="169"/>
        </w:trPr>
        <w:tc>
          <w:tcPr>
            <w:tcW w:w="20" w:type="dxa"/>
            <w:vAlign w:val="bottom"/>
            <w:tcBorders>
              <w:top w:val="single" w:sz="8" w:color="0000EE"/>
            </w:tcBorders>
          </w:tcPr>
          <w:p>
            <w:pPr>
              <w:spacing w:after="0"/>
              <w:rPr>
                <w:sz w:val="14"/>
                <w:szCs w:val="14"/>
                <w:color w:val="auto"/>
              </w:rPr>
            </w:pPr>
          </w:p>
        </w:tc>
        <w:tc>
          <w:tcPr>
            <w:tcW w:w="8320" w:type="dxa"/>
            <w:vAlign w:val="bottom"/>
            <w:tcBorders>
              <w:top w:val="single" w:sz="8" w:color="0000FF"/>
            </w:tcBorders>
            <w:gridSpan w:val="7"/>
          </w:tcPr>
          <w:p>
            <w:pPr>
              <w:spacing w:after="0" w:line="169" w:lineRule="exact"/>
              <w:rPr>
                <w:rFonts w:ascii="Arial" w:cs="Arial" w:eastAsia="Arial" w:hAnsi="Arial"/>
                <w:sz w:val="18"/>
                <w:szCs w:val="18"/>
                <w:color w:val="0000FF"/>
                <w:w w:val="96"/>
              </w:rPr>
            </w:pPr>
            <w:hyperlink w:anchor="page112">
              <w:r>
                <w:rPr>
                  <w:rFonts w:ascii="Arial" w:cs="Arial" w:eastAsia="Arial" w:hAnsi="Arial"/>
                  <w:sz w:val="18"/>
                  <w:szCs w:val="18"/>
                  <w:color w:val="0000FF"/>
                  <w:w w:val="96"/>
                </w:rPr>
                <w:t>Consolidated Statements of Stockholders’ Equity (Deficit) for the Years Ended December 31, 2021 and 2020</w:t>
              </w:r>
            </w:hyperlink>
          </w:p>
        </w:tc>
        <w:tc>
          <w:tcPr>
            <w:tcW w:w="1320" w:type="dxa"/>
            <w:vAlign w:val="bottom"/>
          </w:tcPr>
          <w:p>
            <w:pPr>
              <w:spacing w:after="0"/>
              <w:rPr>
                <w:sz w:val="14"/>
                <w:szCs w:val="14"/>
                <w:color w:val="auto"/>
              </w:rPr>
            </w:pPr>
          </w:p>
        </w:tc>
        <w:tc>
          <w:tcPr>
            <w:tcW w:w="1580" w:type="dxa"/>
            <w:vAlign w:val="bottom"/>
          </w:tcPr>
          <w:p>
            <w:pPr>
              <w:ind w:left="1320"/>
              <w:spacing w:after="0" w:line="169" w:lineRule="exact"/>
              <w:rPr>
                <w:sz w:val="20"/>
                <w:szCs w:val="20"/>
                <w:color w:val="auto"/>
              </w:rPr>
            </w:pPr>
            <w:r>
              <w:rPr>
                <w:rFonts w:ascii="Arial" w:cs="Arial" w:eastAsia="Arial" w:hAnsi="Arial"/>
                <w:sz w:val="18"/>
                <w:szCs w:val="18"/>
                <w:color w:val="auto"/>
                <w:w w:val="88"/>
              </w:rPr>
              <w:t>F-5</w:t>
            </w:r>
          </w:p>
        </w:tc>
      </w:tr>
      <w:tr>
        <w:trPr>
          <w:trHeight w:val="169"/>
        </w:trPr>
        <w:tc>
          <w:tcPr>
            <w:tcW w:w="20" w:type="dxa"/>
            <w:vAlign w:val="bottom"/>
            <w:tcBorders>
              <w:top w:val="single" w:sz="8" w:color="0000EE"/>
            </w:tcBorders>
          </w:tcPr>
          <w:p>
            <w:pPr>
              <w:spacing w:after="0"/>
              <w:rPr>
                <w:sz w:val="14"/>
                <w:szCs w:val="14"/>
                <w:color w:val="auto"/>
              </w:rPr>
            </w:pPr>
          </w:p>
        </w:tc>
        <w:tc>
          <w:tcPr>
            <w:tcW w:w="786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w:anchor="page114">
              <w:r>
                <w:rPr>
                  <w:rFonts w:ascii="Arial" w:cs="Arial" w:eastAsia="Arial" w:hAnsi="Arial"/>
                  <w:sz w:val="18"/>
                  <w:szCs w:val="18"/>
                  <w:color w:val="0000FF"/>
                </w:rPr>
                <w:t>Consolidated Statements of Cash Flows for the Years Ended December 31, 2021 and 2020</w:t>
              </w:r>
            </w:hyperlink>
          </w:p>
        </w:tc>
        <w:tc>
          <w:tcPr>
            <w:tcW w:w="1780" w:type="dxa"/>
            <w:vAlign w:val="bottom"/>
            <w:gridSpan w:val="2"/>
          </w:tcPr>
          <w:p>
            <w:pPr>
              <w:spacing w:after="0"/>
              <w:rPr>
                <w:sz w:val="14"/>
                <w:szCs w:val="14"/>
                <w:color w:val="auto"/>
              </w:rPr>
            </w:pPr>
          </w:p>
        </w:tc>
        <w:tc>
          <w:tcPr>
            <w:tcW w:w="1580" w:type="dxa"/>
            <w:vAlign w:val="bottom"/>
          </w:tcPr>
          <w:p>
            <w:pPr>
              <w:ind w:left="1320"/>
              <w:spacing w:after="0" w:line="169" w:lineRule="exact"/>
              <w:rPr>
                <w:sz w:val="20"/>
                <w:szCs w:val="20"/>
                <w:color w:val="auto"/>
              </w:rPr>
            </w:pPr>
            <w:r>
              <w:rPr>
                <w:rFonts w:ascii="Arial" w:cs="Arial" w:eastAsia="Arial" w:hAnsi="Arial"/>
                <w:sz w:val="18"/>
                <w:szCs w:val="18"/>
                <w:color w:val="auto"/>
                <w:w w:val="88"/>
              </w:rPr>
              <w:t>F-7</w:t>
            </w:r>
          </w:p>
        </w:tc>
      </w:tr>
      <w:tr>
        <w:trPr>
          <w:trHeight w:val="169"/>
        </w:trPr>
        <w:tc>
          <w:tcPr>
            <w:tcW w:w="20" w:type="dxa"/>
            <w:vAlign w:val="bottom"/>
            <w:tcBorders>
              <w:top w:val="single" w:sz="8" w:color="0000EE"/>
            </w:tcBorders>
          </w:tcPr>
          <w:p>
            <w:pPr>
              <w:spacing w:after="0"/>
              <w:rPr>
                <w:sz w:val="14"/>
                <w:szCs w:val="14"/>
                <w:color w:val="auto"/>
              </w:rPr>
            </w:pPr>
          </w:p>
        </w:tc>
        <w:tc>
          <w:tcPr>
            <w:tcW w:w="650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w:anchor="page115">
              <w:r>
                <w:rPr>
                  <w:rFonts w:ascii="Arial" w:cs="Arial" w:eastAsia="Arial" w:hAnsi="Arial"/>
                  <w:sz w:val="18"/>
                  <w:szCs w:val="18"/>
                  <w:color w:val="0000FF"/>
                </w:rPr>
                <w:t>Notes to Consolidated Financial Statements</w:t>
              </w:r>
            </w:hyperlink>
          </w:p>
        </w:tc>
        <w:tc>
          <w:tcPr>
            <w:tcW w:w="3140" w:type="dxa"/>
            <w:vAlign w:val="bottom"/>
            <w:gridSpan w:val="3"/>
          </w:tcPr>
          <w:p>
            <w:pPr>
              <w:spacing w:after="0"/>
              <w:rPr>
                <w:sz w:val="14"/>
                <w:szCs w:val="14"/>
                <w:color w:val="auto"/>
              </w:rPr>
            </w:pPr>
          </w:p>
        </w:tc>
        <w:tc>
          <w:tcPr>
            <w:tcW w:w="1580" w:type="dxa"/>
            <w:vAlign w:val="bottom"/>
          </w:tcPr>
          <w:p>
            <w:pPr>
              <w:ind w:left="1320"/>
              <w:spacing w:after="0" w:line="169" w:lineRule="exact"/>
              <w:rPr>
                <w:sz w:val="20"/>
                <w:szCs w:val="20"/>
                <w:color w:val="auto"/>
              </w:rPr>
            </w:pPr>
            <w:r>
              <w:rPr>
                <w:rFonts w:ascii="Arial" w:cs="Arial" w:eastAsia="Arial" w:hAnsi="Arial"/>
                <w:sz w:val="18"/>
                <w:szCs w:val="18"/>
                <w:color w:val="auto"/>
                <w:w w:val="88"/>
              </w:rPr>
              <w:t>F-8</w:t>
            </w:r>
          </w:p>
        </w:tc>
      </w:tr>
      <w:tr>
        <w:trPr>
          <w:trHeight w:val="642"/>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0" w:type="dxa"/>
            <w:vAlign w:val="bottom"/>
            <w:gridSpan w:val="4"/>
          </w:tcPr>
          <w:p>
            <w:pPr>
              <w:jc w:val="center"/>
              <w:ind w:right="3080"/>
              <w:spacing w:after="0"/>
              <w:rPr>
                <w:sz w:val="20"/>
                <w:szCs w:val="20"/>
                <w:color w:val="auto"/>
              </w:rPr>
            </w:pPr>
            <w:r>
              <w:rPr>
                <w:rFonts w:ascii="Arial" w:cs="Arial" w:eastAsia="Arial" w:hAnsi="Arial"/>
                <w:sz w:val="18"/>
                <w:szCs w:val="18"/>
                <w:color w:val="auto"/>
                <w:w w:val="88"/>
              </w:rPr>
              <w:t>F-1</w:t>
            </w:r>
          </w:p>
        </w:tc>
        <w:tc>
          <w:tcPr>
            <w:tcW w:w="158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8" w:name="page109"/>
    <w:bookmarkEnd w:id="10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Gemini Therapeutics,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Gemini Therapeutics, Inc. (the Company) as of December 31, 2021 and 2020, the related consolidated statements of operations and comprehensive loss, stockholders’ equity (deficit)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two years in the period ended December 31, 2021,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136,627</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current</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3,250</w:t>
            </w: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140,100</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96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 non-current</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Deferred offering costs</w:t>
            </w:r>
          </w:p>
        </w:tc>
        <w:tc>
          <w:tcPr>
            <w:tcW w:w="96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2,637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 assets</w:t>
            </w:r>
          </w:p>
        </w:tc>
        <w:tc>
          <w:tcPr>
            <w:tcW w:w="960" w:type="dxa"/>
            <w:vAlign w:val="bottom"/>
            <w:tcBorders>
              <w:top w:val="single" w:sz="8" w:color="auto"/>
              <w:bottom w:val="single" w:sz="8" w:color="auto"/>
            </w:tcBorders>
          </w:tcPr>
          <w:p>
            <w:pPr>
              <w:jc w:val="right"/>
              <w:ind w:right="77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140,437</w:t>
            </w:r>
          </w:p>
        </w:tc>
        <w:tc>
          <w:tcPr>
            <w:tcW w:w="28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8,319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 (deficit)</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960" w:type="dxa"/>
            <w:vAlign w:val="bottom"/>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2,950</w:t>
            </w:r>
          </w:p>
        </w:tc>
        <w:tc>
          <w:tcPr>
            <w:tcW w:w="280" w:type="dxa"/>
            <w:vAlign w:val="bottom"/>
          </w:tcPr>
          <w:p>
            <w:pPr>
              <w:spacing w:after="0"/>
              <w:rPr>
                <w:sz w:val="17"/>
                <w:szCs w:val="17"/>
                <w:color w:val="auto"/>
              </w:rPr>
            </w:pP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6,884</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Term loan, current portion</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Convertible notes</w:t>
            </w:r>
          </w:p>
        </w:tc>
        <w:tc>
          <w:tcPr>
            <w:tcW w:w="9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9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14,834</w:t>
            </w:r>
          </w:p>
        </w:tc>
        <w:tc>
          <w:tcPr>
            <w:tcW w:w="28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24,876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Warrant liability</w:t>
            </w:r>
          </w:p>
        </w:tc>
        <w:tc>
          <w:tcPr>
            <w:tcW w:w="96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Term loan, net of current portion and discount</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404</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15,596</w:t>
            </w: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30,180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 (deficit):</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line="162" w:lineRule="exact"/>
              <w:rPr>
                <w:sz w:val="20"/>
                <w:szCs w:val="20"/>
                <w:color w:val="auto"/>
              </w:rPr>
            </w:pPr>
            <w:r>
              <w:rPr>
                <w:rFonts w:ascii="Arial" w:cs="Arial" w:eastAsia="Arial" w:hAnsi="Arial"/>
                <w:sz w:val="18"/>
                <w:szCs w:val="18"/>
                <w:color w:val="auto"/>
              </w:rPr>
              <w:t>Preferred stock, $0.0001 par value; 10,000,000 shares authorized; no shares</w:t>
            </w:r>
          </w:p>
        </w:tc>
        <w:tc>
          <w:tcPr>
            <w:tcW w:w="960" w:type="dxa"/>
            <w:vAlign w:val="bottom"/>
          </w:tcPr>
          <w:p>
            <w:pPr>
              <w:spacing w:after="0"/>
              <w:rPr>
                <w:sz w:val="14"/>
                <w:szCs w:val="14"/>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4"/>
                <w:szCs w:val="14"/>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340"/>
              <w:spacing w:after="0"/>
              <w:rPr>
                <w:sz w:val="20"/>
                <w:szCs w:val="20"/>
                <w:color w:val="auto"/>
              </w:rPr>
            </w:pPr>
            <w:r>
              <w:rPr>
                <w:rFonts w:ascii="Arial" w:cs="Arial" w:eastAsia="Arial" w:hAnsi="Arial"/>
                <w:sz w:val="18"/>
                <w:szCs w:val="18"/>
                <w:color w:val="auto"/>
              </w:rPr>
              <w:t>issued and outstanding as of December 31, 2021 and 2020</w:t>
            </w:r>
          </w:p>
        </w:tc>
        <w:tc>
          <w:tcPr>
            <w:tcW w:w="9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$0.0001 par value; 250,000,000 shares authorized; 43,208,159</w:t>
            </w:r>
          </w:p>
        </w:tc>
        <w:tc>
          <w:tcPr>
            <w:tcW w:w="9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and 15,565,380 shares issued and outstanding as of December 31, 2021 and</w:t>
            </w:r>
          </w:p>
        </w:tc>
        <w:tc>
          <w:tcPr>
            <w:tcW w:w="96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2020, respectively</w:t>
            </w:r>
          </w:p>
        </w:tc>
        <w:tc>
          <w:tcPr>
            <w:tcW w:w="96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309,527</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90,958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9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87"/>
              </w:rPr>
              <w:t>(184,690 )</w:t>
            </w:r>
          </w:p>
        </w:tc>
        <w:tc>
          <w:tcPr>
            <w:tcW w:w="4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(112,821 )</w:t>
            </w: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Pr>
          <w:p>
            <w:pPr>
              <w:ind w:left="200"/>
              <w:spacing w:after="0" w:line="196" w:lineRule="exact"/>
              <w:rPr>
                <w:sz w:val="20"/>
                <w:szCs w:val="20"/>
                <w:color w:val="auto"/>
              </w:rPr>
            </w:pPr>
            <w:r>
              <w:rPr>
                <w:rFonts w:ascii="Arial" w:cs="Arial" w:eastAsia="Arial" w:hAnsi="Arial"/>
                <w:sz w:val="18"/>
                <w:szCs w:val="18"/>
                <w:color w:val="auto"/>
              </w:rPr>
              <w:t>Total stockholders’ equity (deficit)</w:t>
            </w:r>
          </w:p>
        </w:tc>
        <w:tc>
          <w:tcPr>
            <w:tcW w:w="9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124,841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(21,861 )</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and stockholders’ equity (deficit)</w:t>
            </w:r>
          </w:p>
        </w:tc>
        <w:tc>
          <w:tcPr>
            <w:tcW w:w="960" w:type="dxa"/>
            <w:vAlign w:val="bottom"/>
            <w:tcBorders>
              <w:top w:val="single" w:sz="8" w:color="auto"/>
              <w:bottom w:val="single" w:sz="8" w:color="auto"/>
            </w:tcBorders>
            <w:shd w:val="clear" w:color="auto" w:fill="CFF0FC"/>
          </w:tcPr>
          <w:p>
            <w:pPr>
              <w:jc w:val="right"/>
              <w:ind w:right="77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140,437</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8,319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-4042410</wp:posOffset>
            </wp:positionV>
            <wp:extent cx="6032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-4042410</wp:posOffset>
            </wp:positionV>
            <wp:extent cx="5969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-3262630</wp:posOffset>
            </wp:positionV>
            <wp:extent cx="6032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-3262630</wp:posOffset>
            </wp:positionV>
            <wp:extent cx="5969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-2199640</wp:posOffset>
            </wp:positionV>
            <wp:extent cx="6032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-2199640</wp:posOffset>
            </wp:positionV>
            <wp:extent cx="596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-1410970</wp:posOffset>
            </wp:positionV>
            <wp:extent cx="6032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-1410970</wp:posOffset>
            </wp:positionV>
            <wp:extent cx="5969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-296545</wp:posOffset>
            </wp:positionV>
            <wp:extent cx="6032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1" w:lineRule="exact"/>
        <w:rPr>
          <w:sz w:val="20"/>
          <w:szCs w:val="20"/>
          <w:color w:val="auto"/>
        </w:rPr>
      </w:pPr>
    </w:p>
    <w:p>
      <w:pPr>
        <w:ind w:left="9040"/>
        <w:spacing w:after="0"/>
        <w:rPr>
          <w:sz w:val="20"/>
          <w:szCs w:val="20"/>
          <w:color w:val="auto"/>
        </w:rPr>
      </w:pPr>
      <w:r>
        <w:rPr>
          <w:rFonts w:ascii="Arial" w:cs="Arial" w:eastAsia="Arial" w:hAnsi="Arial"/>
          <w:sz w:val="14"/>
          <w:szCs w:val="14"/>
          <w:color w:val="auto"/>
        </w:rPr>
        <w:t>Years Ended</w:t>
      </w:r>
    </w:p>
    <w:p>
      <w:pPr>
        <w:ind w:left="9000"/>
        <w:spacing w:after="0"/>
        <w:rPr>
          <w:sz w:val="20"/>
          <w:szCs w:val="20"/>
          <w:color w:val="auto"/>
        </w:rPr>
      </w:pPr>
      <w:r>
        <w:rPr>
          <w:rFonts w:ascii="Arial" w:cs="Arial" w:eastAsia="Arial" w:hAnsi="Arial"/>
          <w:sz w:val="14"/>
          <w:szCs w:val="14"/>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color w:val="auto"/>
              </w:rPr>
              <w:t>2021</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48,717</w:t>
            </w:r>
          </w:p>
        </w:tc>
        <w:tc>
          <w:tcPr>
            <w:tcW w:w="28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28,170</w:t>
            </w:r>
          </w:p>
        </w:tc>
        <w:tc>
          <w:tcPr>
            <w:tcW w:w="100" w:type="dxa"/>
            <w:vAlign w:val="bottom"/>
          </w:tcPr>
          <w:p>
            <w:pPr>
              <w:spacing w:after="0"/>
              <w:rPr>
                <w:sz w:val="17"/>
                <w:szCs w:val="17"/>
                <w:color w:val="auto"/>
              </w:rPr>
            </w:pPr>
          </w:p>
        </w:tc>
      </w:tr>
      <w:tr>
        <w:trPr>
          <w:trHeight w:val="203"/>
        </w:trPr>
        <w:tc>
          <w:tcPr>
            <w:tcW w:w="76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20,285</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69,002</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34,040</w:t>
            </w:r>
          </w:p>
        </w:tc>
        <w:tc>
          <w:tcPr>
            <w:tcW w:w="100" w:type="dxa"/>
            <w:vAlign w:val="bottom"/>
          </w:tcPr>
          <w:p>
            <w:pPr>
              <w:spacing w:after="0"/>
              <w:rPr>
                <w:sz w:val="17"/>
                <w:szCs w:val="17"/>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(69,002</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(34,040</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(2,158 )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(6,826 )</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conversion of convertible notes</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(711 )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80" w:type="dxa"/>
            <w:vAlign w:val="bottom"/>
          </w:tcPr>
          <w:p>
            <w:pPr>
              <w:spacing w:after="0"/>
              <w:rPr>
                <w:sz w:val="17"/>
                <w:szCs w:val="17"/>
                <w:color w:val="auto"/>
              </w:rPr>
            </w:pPr>
          </w:p>
        </w:tc>
        <w:tc>
          <w:tcPr>
            <w:tcW w:w="15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(8 )</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(13 )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
        </w:trPr>
        <w:tc>
          <w:tcPr>
            <w:tcW w:w="76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(71,869 )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(40,837 )</w:t>
            </w: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80" w:type="dxa"/>
            <w:vAlign w:val="bottom"/>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(1.78</w:t>
            </w:r>
          </w:p>
        </w:tc>
        <w:tc>
          <w:tcPr>
            <w:tcW w:w="280" w:type="dxa"/>
            <w:vAlign w:val="bottom"/>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 and diluted</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40,362,303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15,115,129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-1480185</wp:posOffset>
            </wp:positionV>
            <wp:extent cx="6032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-1480185</wp:posOffset>
            </wp:positionV>
            <wp:extent cx="5969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-434340</wp:posOffset>
            </wp:positionV>
            <wp:extent cx="6032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-434340</wp:posOffset>
            </wp:positionV>
            <wp:extent cx="5969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80" w:type="dxa"/>
            <w:vAlign w:val="bottom"/>
            <w:gridSpan w:val="3"/>
          </w:tcPr>
          <w:p>
            <w:pPr>
              <w:jc w:val="center"/>
              <w:ind w:left="388"/>
              <w:spacing w:after="0"/>
              <w:rPr>
                <w:sz w:val="20"/>
                <w:szCs w:val="20"/>
                <w:color w:val="auto"/>
              </w:rPr>
            </w:pPr>
            <w:r>
              <w:rPr>
                <w:rFonts w:ascii="Arial" w:cs="Arial" w:eastAsia="Arial" w:hAnsi="Arial"/>
                <w:sz w:val="14"/>
                <w:szCs w:val="14"/>
                <w:color w:val="auto"/>
                <w:w w:val="94"/>
              </w:rPr>
              <w:t>Series A</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left="348"/>
              <w:spacing w:after="0"/>
              <w:rPr>
                <w:sz w:val="20"/>
                <w:szCs w:val="20"/>
                <w:color w:val="auto"/>
              </w:rPr>
            </w:pPr>
            <w:r>
              <w:rPr>
                <w:rFonts w:ascii="Arial" w:cs="Arial" w:eastAsia="Arial" w:hAnsi="Arial"/>
                <w:sz w:val="14"/>
                <w:szCs w:val="14"/>
                <w:color w:val="auto"/>
                <w:w w:val="90"/>
              </w:rPr>
              <w:t>Series B</w:t>
            </w:r>
          </w:p>
        </w:tc>
        <w:tc>
          <w:tcPr>
            <w:tcW w:w="4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720" w:type="dxa"/>
            <w:vAlign w:val="bottom"/>
            <w:gridSpan w:val="5"/>
          </w:tcPr>
          <w:p>
            <w:pPr>
              <w:jc w:val="center"/>
              <w:ind w:right="220"/>
              <w:spacing w:after="0" w:line="149" w:lineRule="exact"/>
              <w:rPr>
                <w:sz w:val="20"/>
                <w:szCs w:val="20"/>
                <w:color w:val="auto"/>
              </w:rPr>
            </w:pPr>
            <w:r>
              <w:rPr>
                <w:rFonts w:ascii="Arial" w:cs="Arial" w:eastAsia="Arial" w:hAnsi="Arial"/>
                <w:sz w:val="14"/>
                <w:szCs w:val="14"/>
                <w:color w:val="auto"/>
                <w:w w:val="94"/>
              </w:rPr>
              <w:t>Convertible Preferred</w:t>
            </w:r>
          </w:p>
        </w:tc>
        <w:tc>
          <w:tcPr>
            <w:tcW w:w="1480" w:type="dxa"/>
            <w:vAlign w:val="bottom"/>
            <w:tcBorders>
              <w:right w:val="single" w:sz="8" w:color="auto"/>
            </w:tcBorders>
            <w:gridSpan w:val="5"/>
          </w:tcPr>
          <w:p>
            <w:pPr>
              <w:jc w:val="center"/>
              <w:ind w:right="180"/>
              <w:spacing w:after="0" w:line="149" w:lineRule="exact"/>
              <w:rPr>
                <w:sz w:val="20"/>
                <w:szCs w:val="20"/>
                <w:color w:val="auto"/>
              </w:rPr>
            </w:pPr>
            <w:r>
              <w:rPr>
                <w:rFonts w:ascii="Arial" w:cs="Arial" w:eastAsia="Arial" w:hAnsi="Arial"/>
                <w:sz w:val="14"/>
                <w:szCs w:val="14"/>
                <w:color w:val="auto"/>
                <w:w w:val="94"/>
              </w:rPr>
              <w:t>Convertible Preferred</w:t>
            </w:r>
          </w:p>
        </w:tc>
        <w:tc>
          <w:tcPr>
            <w:tcW w:w="100" w:type="dxa"/>
            <w:vAlign w:val="bottom"/>
          </w:tcPr>
          <w:p>
            <w:pPr>
              <w:spacing w:after="0"/>
              <w:rPr>
                <w:sz w:val="12"/>
                <w:szCs w:val="12"/>
                <w:color w:val="auto"/>
              </w:rPr>
            </w:pPr>
          </w:p>
        </w:tc>
        <w:tc>
          <w:tcPr>
            <w:tcW w:w="106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Old Gemini</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4"/>
              </w:rPr>
              <w:t>Accumulat</w:t>
            </w: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5"/>
              </w:rPr>
              <w:t>Stockholde</w:t>
            </w: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98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color w:val="auto"/>
                <w:w w:val="96"/>
              </w:rPr>
              <w:t>Stock</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color w:val="auto"/>
                <w:w w:val="91"/>
              </w:rPr>
              <w:t>Stock</w:t>
            </w:r>
          </w:p>
        </w:tc>
        <w:tc>
          <w:tcPr>
            <w:tcW w:w="420" w:type="dxa"/>
            <w:vAlign w:val="bottom"/>
            <w:tcBorders>
              <w:bottom w:val="single" w:sz="8" w:color="auto"/>
            </w:tcBorders>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w w:val="91"/>
              </w:rPr>
              <w:t>Common Stock</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w w:val="96"/>
              </w:rPr>
              <w:t>Paid-in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ed</w:t>
            </w:r>
          </w:p>
        </w:tc>
        <w:tc>
          <w:tcPr>
            <w:tcW w:w="12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rs’</w:t>
            </w:r>
          </w:p>
        </w:tc>
        <w:tc>
          <w:tcPr>
            <w:tcW w:w="0" w:type="dxa"/>
            <w:vAlign w:val="bottom"/>
          </w:tcPr>
          <w:p>
            <w:pPr>
              <w:spacing w:after="0"/>
              <w:rPr>
                <w:sz w:val="1"/>
                <w:szCs w:val="1"/>
                <w:color w:val="auto"/>
              </w:rPr>
            </w:pPr>
          </w:p>
        </w:tc>
      </w:tr>
      <w:tr>
        <w:trPr>
          <w:trHeight w:val="137"/>
        </w:trPr>
        <w:tc>
          <w:tcPr>
            <w:tcW w:w="2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Amou</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20"/>
              <w:spacing w:after="0" w:line="137" w:lineRule="exact"/>
              <w:rPr>
                <w:sz w:val="20"/>
                <w:szCs w:val="20"/>
                <w:color w:val="auto"/>
              </w:rPr>
            </w:pPr>
            <w:r>
              <w:rPr>
                <w:rFonts w:ascii="Arial" w:cs="Arial" w:eastAsia="Arial" w:hAnsi="Arial"/>
                <w:sz w:val="14"/>
                <w:szCs w:val="14"/>
                <w:color w:val="auto"/>
                <w:w w:val="94"/>
              </w:rPr>
              <w:t>Amoun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4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Amount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Shares</w:t>
            </w:r>
          </w:p>
        </w:tc>
        <w:tc>
          <w:tcPr>
            <w:tcW w:w="70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Shares</w:t>
            </w:r>
          </w:p>
        </w:tc>
        <w:tc>
          <w:tcPr>
            <w:tcW w:w="280" w:type="dxa"/>
            <w:vAlign w:val="bottom"/>
          </w:tcPr>
          <w:p>
            <w:pPr>
              <w:jc w:val="right"/>
              <w:spacing w:after="0"/>
              <w:rPr>
                <w:sz w:val="20"/>
                <w:szCs w:val="20"/>
                <w:color w:val="auto"/>
              </w:rPr>
            </w:pPr>
            <w:r>
              <w:rPr>
                <w:rFonts w:ascii="Arial" w:cs="Arial" w:eastAsia="Arial" w:hAnsi="Arial"/>
                <w:sz w:val="14"/>
                <w:szCs w:val="14"/>
                <w:color w:val="auto"/>
              </w:rPr>
              <w:t>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300" w:type="dxa"/>
            <w:vAlign w:val="bottom"/>
          </w:tcPr>
          <w:p>
            <w:pPr>
              <w:ind w:left="220"/>
              <w:spacing w:after="0"/>
              <w:rPr>
                <w:sz w:val="20"/>
                <w:szCs w:val="20"/>
                <w:color w:val="auto"/>
              </w:rPr>
            </w:pPr>
            <w:r>
              <w:rPr>
                <w:rFonts w:ascii="Arial" w:cs="Arial" w:eastAsia="Arial" w:hAnsi="Arial"/>
                <w:sz w:val="14"/>
                <w:szCs w:val="14"/>
                <w:color w:val="auto"/>
              </w:rPr>
              <w:t>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rPr>
              <w:t>Deficit</w:t>
            </w:r>
          </w:p>
        </w:tc>
        <w:tc>
          <w:tcPr>
            <w:tcW w:w="0" w:type="dxa"/>
            <w:vAlign w:val="bottom"/>
          </w:tcPr>
          <w:p>
            <w:pPr>
              <w:spacing w:after="0"/>
              <w:rPr>
                <w:sz w:val="1"/>
                <w:szCs w:val="1"/>
                <w:color w:val="auto"/>
              </w:rPr>
            </w:pPr>
          </w:p>
        </w:tc>
      </w:tr>
      <w:tr>
        <w:trPr>
          <w:trHeight w:val="133"/>
        </w:trPr>
        <w:tc>
          <w:tcPr>
            <w:tcW w:w="264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December 31, 2019</w:t>
            </w:r>
          </w:p>
        </w:tc>
        <w:tc>
          <w:tcPr>
            <w:tcW w:w="78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39,722,08</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9,916,37</w:t>
            </w:r>
          </w:p>
        </w:tc>
        <w:tc>
          <w:tcPr>
            <w:tcW w:w="1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5,313,76</w:t>
            </w:r>
          </w:p>
        </w:tc>
        <w:tc>
          <w:tcPr>
            <w:tcW w:w="16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(as previously reported)</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47,113</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13,252</w:t>
            </w:r>
          </w:p>
        </w:tc>
        <w:tc>
          <w:tcPr>
            <w:tcW w:w="16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(71,984 )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(70,797 )</w:t>
            </w:r>
          </w:p>
        </w:tc>
        <w:tc>
          <w:tcPr>
            <w:tcW w:w="0" w:type="dxa"/>
            <w:vAlign w:val="bottom"/>
          </w:tcPr>
          <w:p>
            <w:pPr>
              <w:spacing w:after="0"/>
              <w:rPr>
                <w:sz w:val="1"/>
                <w:szCs w:val="1"/>
                <w:color w:val="auto"/>
              </w:rPr>
            </w:pPr>
          </w:p>
        </w:tc>
      </w:tr>
      <w:tr>
        <w:trPr>
          <w:trHeight w:val="143"/>
        </w:trPr>
        <w:tc>
          <w:tcPr>
            <w:tcW w:w="2640" w:type="dxa"/>
            <w:vAlign w:val="bottom"/>
          </w:tcPr>
          <w:p>
            <w:pPr>
              <w:ind w:left="20"/>
              <w:spacing w:after="0" w:line="143" w:lineRule="exact"/>
              <w:rPr>
                <w:sz w:val="20"/>
                <w:szCs w:val="20"/>
                <w:color w:val="auto"/>
              </w:rPr>
            </w:pPr>
            <w:r>
              <w:rPr>
                <w:rFonts w:ascii="Arial" w:cs="Arial" w:eastAsia="Arial" w:hAnsi="Arial"/>
                <w:sz w:val="14"/>
                <w:szCs w:val="14"/>
                <w:color w:val="auto"/>
              </w:rPr>
              <w:t>Retroactive application of the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recapitalization</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(39,722,0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(9,916,3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w w:val="95"/>
              </w:rPr>
              <w:t>(13,25</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(5,313,7</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11,979,5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120"/>
              <w:spacing w:after="0" w:line="141" w:lineRule="exact"/>
              <w:rPr>
                <w:sz w:val="20"/>
                <w:szCs w:val="20"/>
                <w:color w:val="auto"/>
              </w:rPr>
            </w:pPr>
            <w:r>
              <w:rPr>
                <w:rFonts w:ascii="Arial" w:cs="Arial" w:eastAsia="Arial" w:hAnsi="Arial"/>
                <w:sz w:val="14"/>
                <w:szCs w:val="14"/>
                <w:color w:val="auto"/>
              </w:rPr>
              <w:t>due to the Business Combination (Note</w:t>
            </w: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4"/>
                <w:szCs w:val="14"/>
                <w:color w:val="auto"/>
              </w:rPr>
              <w:t>2)</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88 )</w:t>
            </w:r>
          </w:p>
        </w:tc>
        <w:tc>
          <w:tcPr>
            <w:tcW w:w="10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(47,113 )</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75 )</w:t>
            </w:r>
          </w:p>
        </w:tc>
        <w:tc>
          <w:tcPr>
            <w:tcW w:w="120" w:type="dxa"/>
            <w:vAlign w:val="bottom"/>
          </w:tcPr>
          <w:p>
            <w:pPr>
              <w:spacing w:after="0"/>
              <w:rPr>
                <w:sz w:val="15"/>
                <w:szCs w:val="15"/>
                <w:color w:val="auto"/>
              </w:rPr>
            </w:pPr>
          </w:p>
        </w:tc>
        <w:tc>
          <w:tcPr>
            <w:tcW w:w="5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66 )</w:t>
            </w:r>
          </w:p>
        </w:tc>
        <w:tc>
          <w:tcPr>
            <w:tcW w:w="280" w:type="dxa"/>
            <w:vAlign w:val="bottom"/>
          </w:tcPr>
          <w:p>
            <w:pPr>
              <w:spacing w:after="0"/>
              <w:rPr>
                <w:sz w:val="15"/>
                <w:szCs w:val="15"/>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(5 )</w:t>
            </w:r>
          </w:p>
        </w:tc>
        <w:tc>
          <w:tcPr>
            <w:tcW w:w="620" w:type="dxa"/>
            <w:vAlign w:val="bottom"/>
          </w:tcPr>
          <w:p>
            <w:pPr>
              <w:jc w:val="right"/>
              <w:spacing w:after="0"/>
              <w:rPr>
                <w:sz w:val="20"/>
                <w:szCs w:val="20"/>
                <w:color w:val="auto"/>
              </w:rPr>
            </w:pPr>
            <w:r>
              <w:rPr>
                <w:rFonts w:ascii="Arial" w:cs="Arial" w:eastAsia="Arial" w:hAnsi="Arial"/>
                <w:sz w:val="14"/>
                <w:szCs w:val="14"/>
                <w:color w:val="auto"/>
              </w:rPr>
              <w:t>86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60,369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60,365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64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w w:val="99"/>
              </w:rPr>
              <w:t>Balance at December 31, 2019, effect of</w:t>
            </w:r>
          </w:p>
        </w:tc>
        <w:tc>
          <w:tcPr>
            <w:tcW w:w="7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11,979,5</w:t>
            </w:r>
          </w:p>
        </w:tc>
        <w:tc>
          <w:tcPr>
            <w:tcW w:w="16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Business Combination (Note 2)</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5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61,551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(71,984 )</w:t>
            </w:r>
          </w:p>
        </w:tc>
        <w:tc>
          <w:tcPr>
            <w:tcW w:w="1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(10,432 )</w:t>
            </w:r>
          </w:p>
        </w:tc>
        <w:tc>
          <w:tcPr>
            <w:tcW w:w="0" w:type="dxa"/>
            <w:vAlign w:val="bottom"/>
          </w:tcPr>
          <w:p>
            <w:pPr>
              <w:spacing w:after="0"/>
              <w:rPr>
                <w:sz w:val="1"/>
                <w:szCs w:val="1"/>
                <w:color w:val="auto"/>
              </w:rPr>
            </w:pPr>
          </w:p>
        </w:tc>
      </w:tr>
      <w:tr>
        <w:trPr>
          <w:trHeight w:val="143"/>
        </w:trPr>
        <w:tc>
          <w:tcPr>
            <w:tcW w:w="2640" w:type="dxa"/>
            <w:vAlign w:val="bottom"/>
          </w:tcPr>
          <w:p>
            <w:pPr>
              <w:ind w:left="20"/>
              <w:spacing w:after="0" w:line="143" w:lineRule="exact"/>
              <w:rPr>
                <w:sz w:val="20"/>
                <w:szCs w:val="20"/>
                <w:color w:val="auto"/>
              </w:rPr>
            </w:pPr>
            <w:r>
              <w:rPr>
                <w:rFonts w:ascii="Arial" w:cs="Arial" w:eastAsia="Arial" w:hAnsi="Arial"/>
                <w:sz w:val="14"/>
                <w:szCs w:val="14"/>
                <w:color w:val="auto"/>
                <w:w w:val="99"/>
              </w:rPr>
              <w:t>Issuance of Series B convertible preferred</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stock,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3,242,65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120"/>
              <w:spacing w:after="0"/>
              <w:rPr>
                <w:sz w:val="20"/>
                <w:szCs w:val="20"/>
                <w:color w:val="auto"/>
              </w:rPr>
            </w:pPr>
            <w:r>
              <w:rPr>
                <w:rFonts w:ascii="Arial" w:cs="Arial" w:eastAsia="Arial" w:hAnsi="Arial"/>
                <w:sz w:val="14"/>
                <w:szCs w:val="14"/>
                <w:color w:val="auto"/>
              </w:rPr>
              <w:t>net of issuance costs of $16</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20,083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Beneficial conversion feature relating to</w:t>
            </w: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8"/>
              </w:rPr>
              <w:t>discount on convertible promissory notes</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5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4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upon exercise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of</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285,260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common stock</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5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57,879</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5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(40,837 )</w:t>
            </w: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(40,837 )</w:t>
            </w:r>
          </w:p>
        </w:tc>
        <w:tc>
          <w:tcPr>
            <w:tcW w:w="0" w:type="dxa"/>
            <w:vAlign w:val="bottom"/>
          </w:tcPr>
          <w:p>
            <w:pPr>
              <w:spacing w:after="0"/>
              <w:rPr>
                <w:sz w:val="1"/>
                <w:szCs w:val="1"/>
                <w:color w:val="auto"/>
              </w:rPr>
            </w:pPr>
          </w:p>
        </w:tc>
      </w:tr>
      <w:tr>
        <w:trPr>
          <w:trHeight w:val="133"/>
        </w:trPr>
        <w:tc>
          <w:tcPr>
            <w:tcW w:w="2640" w:type="dxa"/>
            <w:vAlign w:val="bottom"/>
            <w:tcBorders>
              <w:top w:val="single" w:sz="8" w:color="CFF0FC"/>
            </w:tcBorders>
          </w:tcPr>
          <w:p>
            <w:pPr>
              <w:ind w:left="20"/>
              <w:spacing w:after="0" w:line="133" w:lineRule="exact"/>
              <w:rPr>
                <w:sz w:val="20"/>
                <w:szCs w:val="20"/>
                <w:color w:val="auto"/>
              </w:rPr>
            </w:pPr>
            <w:r>
              <w:rPr>
                <w:rFonts w:ascii="Arial" w:cs="Arial" w:eastAsia="Arial" w:hAnsi="Arial"/>
                <w:sz w:val="14"/>
                <w:szCs w:val="14"/>
                <w:b w:val="1"/>
                <w:bCs w:val="1"/>
                <w:color w:val="auto"/>
                <w:w w:val="99"/>
              </w:rPr>
              <w:t>Balance at December 31, 2020, effect of</w:t>
            </w: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15,565,3</w:t>
            </w:r>
          </w:p>
        </w:tc>
        <w:tc>
          <w:tcPr>
            <w:tcW w:w="16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640" w:type="dxa"/>
            <w:vAlign w:val="bottom"/>
          </w:tcPr>
          <w:p>
            <w:pPr>
              <w:ind w:left="120"/>
              <w:spacing w:after="0"/>
              <w:rPr>
                <w:sz w:val="20"/>
                <w:szCs w:val="20"/>
                <w:color w:val="auto"/>
              </w:rPr>
            </w:pPr>
            <w:r>
              <w:rPr>
                <w:rFonts w:ascii="Arial" w:cs="Arial" w:eastAsia="Arial" w:hAnsi="Arial"/>
                <w:sz w:val="14"/>
                <w:szCs w:val="14"/>
                <w:b w:val="1"/>
                <w:bCs w:val="1"/>
                <w:color w:val="auto"/>
              </w:rPr>
              <w:t>Business Combination (Note 2)</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80</w:t>
            </w: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90,958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(112,821 )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(21,861 )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-236220</wp:posOffset>
            </wp:positionV>
            <wp:extent cx="431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-236220</wp:posOffset>
            </wp:positionV>
            <wp:extent cx="431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-236220</wp:posOffset>
            </wp:positionV>
            <wp:extent cx="3429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-236220</wp:posOffset>
            </wp:positionV>
            <wp:extent cx="3429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-236220</wp:posOffset>
            </wp:positionV>
            <wp:extent cx="3429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-236220</wp:posOffset>
            </wp:positionV>
            <wp:extent cx="3429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-236220</wp:posOffset>
            </wp:positionV>
            <wp:extent cx="2540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-236220</wp:posOffset>
            </wp:positionV>
            <wp:extent cx="2540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-236220</wp:posOffset>
            </wp:positionV>
            <wp:extent cx="2540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-236220</wp:posOffset>
            </wp:positionV>
            <wp:extent cx="3429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-236220</wp:posOffset>
            </wp:positionV>
            <wp:extent cx="3429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Series A</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Series B</w:t>
            </w:r>
          </w:p>
        </w:tc>
        <w:tc>
          <w:tcPr>
            <w:tcW w:w="4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0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620" w:type="dxa"/>
            <w:vAlign w:val="bottom"/>
            <w:gridSpan w:val="5"/>
          </w:tcPr>
          <w:p>
            <w:pPr>
              <w:jc w:val="right"/>
              <w:ind w:right="300"/>
              <w:spacing w:after="0" w:line="149" w:lineRule="exact"/>
              <w:rPr>
                <w:sz w:val="20"/>
                <w:szCs w:val="20"/>
                <w:color w:val="auto"/>
              </w:rPr>
            </w:pPr>
            <w:r>
              <w:rPr>
                <w:rFonts w:ascii="Arial" w:cs="Arial" w:eastAsia="Arial" w:hAnsi="Arial"/>
                <w:sz w:val="14"/>
                <w:szCs w:val="14"/>
                <w:color w:val="auto"/>
                <w:w w:val="97"/>
              </w:rPr>
              <w:t>Convertible Preferred</w:t>
            </w:r>
          </w:p>
        </w:tc>
        <w:tc>
          <w:tcPr>
            <w:tcW w:w="1620" w:type="dxa"/>
            <w:vAlign w:val="bottom"/>
            <w:tcBorders>
              <w:right w:val="single" w:sz="8" w:color="auto"/>
            </w:tcBorders>
            <w:gridSpan w:val="5"/>
          </w:tcPr>
          <w:p>
            <w:pPr>
              <w:jc w:val="right"/>
              <w:ind w:right="300"/>
              <w:spacing w:after="0" w:line="149" w:lineRule="exact"/>
              <w:rPr>
                <w:sz w:val="20"/>
                <w:szCs w:val="20"/>
                <w:color w:val="auto"/>
              </w:rPr>
            </w:pPr>
            <w:r>
              <w:rPr>
                <w:rFonts w:ascii="Arial" w:cs="Arial" w:eastAsia="Arial" w:hAnsi="Arial"/>
                <w:sz w:val="14"/>
                <w:szCs w:val="14"/>
                <w:color w:val="auto"/>
                <w:w w:val="97"/>
              </w:rPr>
              <w:t>Convertible Preferred</w:t>
            </w:r>
          </w:p>
        </w:tc>
        <w:tc>
          <w:tcPr>
            <w:tcW w:w="100" w:type="dxa"/>
            <w:vAlign w:val="bottom"/>
          </w:tcPr>
          <w:p>
            <w:pPr>
              <w:spacing w:after="0"/>
              <w:rPr>
                <w:sz w:val="12"/>
                <w:szCs w:val="12"/>
                <w:color w:val="auto"/>
              </w:rPr>
            </w:pPr>
          </w:p>
        </w:tc>
        <w:tc>
          <w:tcPr>
            <w:tcW w:w="104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Old Gemini</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7"/>
              </w:rPr>
              <w:t>Accumulat</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Stockholde</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5"/>
          </w:tcPr>
          <w:p>
            <w:pPr>
              <w:jc w:val="right"/>
              <w:ind w:right="300"/>
              <w:spacing w:after="0"/>
              <w:rPr>
                <w:sz w:val="20"/>
                <w:szCs w:val="20"/>
                <w:color w:val="auto"/>
              </w:rPr>
            </w:pPr>
            <w:r>
              <w:rPr>
                <w:rFonts w:ascii="Arial" w:cs="Arial" w:eastAsia="Arial" w:hAnsi="Arial"/>
                <w:sz w:val="14"/>
                <w:szCs w:val="14"/>
                <w:color w:val="auto"/>
              </w:rPr>
              <w:t>Common Stock</w:t>
            </w:r>
          </w:p>
        </w:tc>
        <w:tc>
          <w:tcPr>
            <w:tcW w:w="1060" w:type="dxa"/>
            <w:vAlign w:val="bottom"/>
            <w:gridSpan w:val="3"/>
          </w:tcPr>
          <w:p>
            <w:pPr>
              <w:ind w:left="160"/>
              <w:spacing w:after="0"/>
              <w:rPr>
                <w:sz w:val="20"/>
                <w:szCs w:val="20"/>
                <w:color w:val="auto"/>
              </w:rPr>
            </w:pPr>
            <w:r>
              <w:rPr>
                <w:rFonts w:ascii="Arial" w:cs="Arial" w:eastAsia="Arial" w:hAnsi="Arial"/>
                <w:sz w:val="14"/>
                <w:szCs w:val="14"/>
                <w:color w:val="auto"/>
                <w:w w:val="91"/>
              </w:rPr>
              <w:t>Common Stock</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ed</w:t>
            </w:r>
          </w:p>
        </w:tc>
        <w:tc>
          <w:tcPr>
            <w:tcW w:w="80" w:type="dxa"/>
            <w:vAlign w:val="bottom"/>
          </w:tcPr>
          <w:p>
            <w:pPr>
              <w:spacing w:after="0"/>
              <w:rPr>
                <w:sz w:val="15"/>
                <w:szCs w:val="15"/>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w w:val="94"/>
              </w:rPr>
              <w:t>rs’</w:t>
            </w: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Amou</w:t>
            </w: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ind w:left="20"/>
              <w:spacing w:after="0" w:line="137" w:lineRule="exact"/>
              <w:rPr>
                <w:sz w:val="20"/>
                <w:szCs w:val="20"/>
                <w:color w:val="auto"/>
              </w:rPr>
            </w:pPr>
            <w:r>
              <w:rPr>
                <w:rFonts w:ascii="Arial" w:cs="Arial" w:eastAsia="Arial" w:hAnsi="Arial"/>
                <w:sz w:val="14"/>
                <w:szCs w:val="14"/>
                <w:color w:val="auto"/>
                <w:w w:val="94"/>
              </w:rPr>
              <w:t>Amoun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08"/>
              <w:spacing w:after="0" w:line="137"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81"/>
        </w:trPr>
        <w:tc>
          <w:tcPr>
            <w:tcW w:w="27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Amount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74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Shares</w:t>
            </w:r>
          </w:p>
        </w:tc>
        <w:tc>
          <w:tcPr>
            <w:tcW w:w="280" w:type="dxa"/>
            <w:vAlign w:val="bottom"/>
          </w:tcPr>
          <w:p>
            <w:pPr>
              <w:jc w:val="right"/>
              <w:spacing w:after="0"/>
              <w:rPr>
                <w:sz w:val="20"/>
                <w:szCs w:val="20"/>
                <w:color w:val="auto"/>
              </w:rPr>
            </w:pPr>
            <w:r>
              <w:rPr>
                <w:rFonts w:ascii="Arial" w:cs="Arial" w:eastAsia="Arial" w:hAnsi="Arial"/>
                <w:sz w:val="14"/>
                <w:szCs w:val="14"/>
                <w:color w:val="auto"/>
              </w:rPr>
              <w:t>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320" w:type="dxa"/>
            <w:vAlign w:val="bottom"/>
          </w:tcPr>
          <w:p>
            <w:pPr>
              <w:ind w:left="220"/>
              <w:spacing w:after="0"/>
              <w:rPr>
                <w:sz w:val="20"/>
                <w:szCs w:val="20"/>
                <w:color w:val="auto"/>
              </w:rPr>
            </w:pPr>
            <w:r>
              <w:rPr>
                <w:rFonts w:ascii="Arial" w:cs="Arial" w:eastAsia="Arial" w:hAnsi="Arial"/>
                <w:sz w:val="14"/>
                <w:szCs w:val="14"/>
                <w:color w:val="auto"/>
              </w:rPr>
              <w:t>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rPr>
              <w:t>(Deficit)</w:t>
            </w:r>
          </w:p>
        </w:tc>
        <w:tc>
          <w:tcPr>
            <w:tcW w:w="0" w:type="dxa"/>
            <w:vAlign w:val="bottom"/>
          </w:tcPr>
          <w:p>
            <w:pPr>
              <w:spacing w:after="0"/>
              <w:rPr>
                <w:sz w:val="1"/>
                <w:szCs w:val="1"/>
                <w:color w:val="auto"/>
              </w:rPr>
            </w:pPr>
          </w:p>
        </w:tc>
      </w:tr>
      <w:tr>
        <w:trPr>
          <w:trHeight w:val="133"/>
        </w:trPr>
        <w:tc>
          <w:tcPr>
            <w:tcW w:w="270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December 31, 2020</w:t>
            </w:r>
          </w:p>
        </w:tc>
        <w:tc>
          <w:tcPr>
            <w:tcW w:w="70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39,722,08</w:t>
            </w: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24,790,93</w:t>
            </w: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6,900,49</w:t>
            </w:r>
          </w:p>
        </w:tc>
        <w:tc>
          <w:tcPr>
            <w:tcW w:w="16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(as previously reported)</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47,113</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33,336</w:t>
            </w:r>
          </w:p>
        </w:tc>
        <w:tc>
          <w:tcPr>
            <w:tcW w:w="18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(112,821 )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(102,310 )</w:t>
            </w:r>
          </w:p>
        </w:tc>
        <w:tc>
          <w:tcPr>
            <w:tcW w:w="0" w:type="dxa"/>
            <w:vAlign w:val="bottom"/>
          </w:tcPr>
          <w:p>
            <w:pPr>
              <w:spacing w:after="0"/>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Arial" w:cs="Arial" w:eastAsia="Arial" w:hAnsi="Arial"/>
                <w:sz w:val="14"/>
                <w:szCs w:val="14"/>
                <w:color w:val="auto"/>
              </w:rPr>
              <w:t>Retroactive application of the</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(39,722,0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(24,790,9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(6,900,4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15,565,3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line="141" w:lineRule="exact"/>
              <w:rPr>
                <w:sz w:val="20"/>
                <w:szCs w:val="20"/>
                <w:color w:val="auto"/>
              </w:rPr>
            </w:pPr>
            <w:r>
              <w:rPr>
                <w:rFonts w:ascii="Arial" w:cs="Arial" w:eastAsia="Arial" w:hAnsi="Arial"/>
                <w:sz w:val="14"/>
                <w:szCs w:val="14"/>
                <w:color w:val="auto"/>
              </w:rPr>
              <w:t>recapitalization</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20"/>
              <w:spacing w:after="0"/>
              <w:rPr>
                <w:sz w:val="20"/>
                <w:szCs w:val="20"/>
                <w:color w:val="auto"/>
              </w:rPr>
            </w:pPr>
            <w:r>
              <w:rPr>
                <w:rFonts w:ascii="Arial" w:cs="Arial" w:eastAsia="Arial" w:hAnsi="Arial"/>
                <w:sz w:val="14"/>
                <w:szCs w:val="14"/>
                <w:color w:val="auto"/>
                <w:w w:val="98"/>
              </w:rPr>
              <w:t>due to the Business Combination (Note 2)</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88 )</w:t>
            </w:r>
          </w:p>
        </w:tc>
        <w:tc>
          <w:tcPr>
            <w:tcW w:w="10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(47,113 )</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89"/>
              </w:rPr>
              <w:t>(33,336 )</w:t>
            </w:r>
          </w:p>
        </w:tc>
        <w:tc>
          <w:tcPr>
            <w:tcW w:w="1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93 )</w:t>
            </w:r>
          </w:p>
        </w:tc>
        <w:tc>
          <w:tcPr>
            <w:tcW w:w="280" w:type="dxa"/>
            <w:vAlign w:val="bottom"/>
          </w:tcPr>
          <w:p>
            <w:pPr>
              <w:spacing w:after="0"/>
              <w:rPr>
                <w:sz w:val="15"/>
                <w:szCs w:val="15"/>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(7 )</w:t>
            </w:r>
          </w:p>
        </w:tc>
        <w:tc>
          <w:tcPr>
            <w:tcW w:w="62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80,454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80,449</w:t>
            </w:r>
          </w:p>
        </w:tc>
        <w:tc>
          <w:tcPr>
            <w:tcW w:w="0" w:type="dxa"/>
            <w:vAlign w:val="bottom"/>
          </w:tcPr>
          <w:p>
            <w:pPr>
              <w:spacing w:after="0"/>
              <w:rPr>
                <w:sz w:val="1"/>
                <w:szCs w:val="1"/>
                <w:color w:val="auto"/>
              </w:rPr>
            </w:pPr>
          </w:p>
        </w:tc>
      </w:tr>
      <w:tr>
        <w:trPr>
          <w:trHeight w:val="133"/>
        </w:trPr>
        <w:tc>
          <w:tcPr>
            <w:tcW w:w="270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December 31, 2020, effect of</w:t>
            </w:r>
          </w:p>
        </w:tc>
        <w:tc>
          <w:tcPr>
            <w:tcW w:w="70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15,565,3</w:t>
            </w:r>
          </w:p>
        </w:tc>
        <w:tc>
          <w:tcPr>
            <w:tcW w:w="120" w:type="dxa"/>
            <w:vAlign w:val="bottom"/>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Business Combination (Note 2)</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6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90,958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(112,821 )</w:t>
            </w:r>
          </w:p>
        </w:tc>
        <w:tc>
          <w:tcPr>
            <w:tcW w:w="80" w:type="dxa"/>
            <w:vAlign w:val="bottom"/>
            <w:shd w:val="clear" w:color="auto" w:fill="CFF0FC"/>
          </w:tcPr>
          <w:p>
            <w:pPr>
              <w:spacing w:after="0"/>
              <w:rPr>
                <w:sz w:val="16"/>
                <w:szCs w:val="16"/>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(21,861 )</w:t>
            </w:r>
          </w:p>
        </w:tc>
        <w:tc>
          <w:tcPr>
            <w:tcW w:w="0" w:type="dxa"/>
            <w:vAlign w:val="bottom"/>
          </w:tcPr>
          <w:p>
            <w:pPr>
              <w:spacing w:after="0"/>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upon Business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120"/>
              <w:spacing w:after="0" w:line="149" w:lineRule="exact"/>
              <w:rPr>
                <w:sz w:val="20"/>
                <w:szCs w:val="20"/>
                <w:color w:val="auto"/>
              </w:rPr>
            </w:pPr>
            <w:r>
              <w:rPr>
                <w:rFonts w:ascii="Arial" w:cs="Arial" w:eastAsia="Arial" w:hAnsi="Arial"/>
                <w:sz w:val="14"/>
                <w:szCs w:val="14"/>
                <w:color w:val="auto"/>
              </w:rPr>
              <w:t>Combination, net of issuance costs (Note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25,041,1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4"/>
                <w:szCs w:val="14"/>
                <w:color w:val="auto"/>
              </w:rPr>
              <w:t>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195,880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195,882</w:t>
            </w: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Conversion of promissory notes (Note 2)</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2,341,31</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14,515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14,515</w:t>
            </w:r>
          </w:p>
        </w:tc>
        <w:tc>
          <w:tcPr>
            <w:tcW w:w="0" w:type="dxa"/>
            <w:vAlign w:val="bottom"/>
          </w:tcPr>
          <w:p>
            <w:pPr>
              <w:spacing w:after="0"/>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Arial" w:cs="Arial" w:eastAsia="Arial" w:hAnsi="Arial"/>
                <w:sz w:val="14"/>
                <w:szCs w:val="14"/>
                <w:color w:val="auto"/>
                <w:w w:val="97"/>
              </w:rPr>
              <w:t>Issuance of common stock upon exercise of</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120"/>
              <w:spacing w:after="0"/>
              <w:rPr>
                <w:sz w:val="20"/>
                <w:szCs w:val="20"/>
                <w:color w:val="auto"/>
              </w:rPr>
            </w:pPr>
            <w:r>
              <w:rPr>
                <w:rFonts w:ascii="Arial" w:cs="Arial" w:eastAsia="Arial" w:hAnsi="Arial"/>
                <w:sz w:val="14"/>
                <w:szCs w:val="14"/>
                <w:color w:val="auto"/>
              </w:rPr>
              <w:t>warrants (Note 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15,257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common stock</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35,561</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Arial" w:cs="Arial" w:eastAsia="Arial" w:hAnsi="Arial"/>
                <w:sz w:val="14"/>
                <w:szCs w:val="14"/>
                <w:color w:val="auto"/>
                <w:w w:val="97"/>
              </w:rPr>
              <w:t>Issuance of common stock upon exercise of</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20"/>
              <w:spacing w:after="0" w:line="149" w:lineRule="exact"/>
              <w:rPr>
                <w:sz w:val="20"/>
                <w:szCs w:val="20"/>
                <w:color w:val="auto"/>
              </w:rPr>
            </w:pPr>
            <w:r>
              <w:rPr>
                <w:rFonts w:ascii="Arial" w:cs="Arial" w:eastAsia="Arial" w:hAnsi="Arial"/>
                <w:sz w:val="14"/>
                <w:szCs w:val="14"/>
                <w:color w:val="auto"/>
              </w:rPr>
              <w:t>stock</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12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209,495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76"/>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7,787</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(71,869 )</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(71,869 )</w:t>
            </w:r>
          </w:p>
        </w:tc>
        <w:tc>
          <w:tcPr>
            <w:tcW w:w="0" w:type="dxa"/>
            <w:vAlign w:val="bottom"/>
          </w:tcPr>
          <w:p>
            <w:pPr>
              <w:spacing w:after="0"/>
              <w:rPr>
                <w:sz w:val="1"/>
                <w:szCs w:val="1"/>
                <w:color w:val="auto"/>
              </w:rPr>
            </w:pPr>
          </w:p>
        </w:tc>
      </w:tr>
      <w:tr>
        <w:trPr>
          <w:trHeight w:val="133"/>
        </w:trPr>
        <w:tc>
          <w:tcPr>
            <w:tcW w:w="270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December 31, 2021, effect of</w:t>
            </w:r>
          </w:p>
        </w:tc>
        <w:tc>
          <w:tcPr>
            <w:tcW w:w="70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43,208,1</w:t>
            </w:r>
          </w:p>
        </w:tc>
        <w:tc>
          <w:tcPr>
            <w:tcW w:w="120" w:type="dxa"/>
            <w:vAlign w:val="bottom"/>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70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Business Combination (Note 2)</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309,527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(184,690 )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124,841</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-25400</wp:posOffset>
            </wp:positionV>
            <wp:extent cx="431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-7620</wp:posOffset>
            </wp:positionV>
            <wp:extent cx="43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-25400</wp:posOffset>
            </wp:positionV>
            <wp:extent cx="431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-25400</wp:posOffset>
            </wp:positionV>
            <wp:extent cx="431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-25400</wp:posOffset>
            </wp:positionV>
            <wp:extent cx="43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-7620</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342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342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342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342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254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254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260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260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254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254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-25400</wp:posOffset>
            </wp:positionV>
            <wp:extent cx="342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-7620</wp:posOffset>
            </wp:positionV>
            <wp:extent cx="342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1" w:lineRule="exact"/>
        <w:rPr>
          <w:sz w:val="20"/>
          <w:szCs w:val="20"/>
          <w:color w:val="auto"/>
        </w:rPr>
      </w:pPr>
    </w:p>
    <w:p>
      <w:pPr>
        <w:jc w:val="center"/>
        <w:ind w:left="7540"/>
        <w:spacing w:after="0"/>
        <w:rPr>
          <w:sz w:val="20"/>
          <w:szCs w:val="20"/>
          <w:color w:val="auto"/>
        </w:rPr>
      </w:pPr>
      <w:r>
        <w:rPr>
          <w:rFonts w:ascii="Arial" w:cs="Arial" w:eastAsia="Arial" w:hAnsi="Arial"/>
          <w:sz w:val="14"/>
          <w:szCs w:val="14"/>
          <w:color w:val="auto"/>
        </w:rPr>
        <w:t>Year Ended</w:t>
      </w:r>
    </w:p>
    <w:p>
      <w:pPr>
        <w:jc w:val="center"/>
        <w:ind w:left="7540"/>
        <w:spacing w:after="0"/>
        <w:rPr>
          <w:sz w:val="20"/>
          <w:szCs w:val="20"/>
          <w:color w:val="auto"/>
        </w:rPr>
      </w:pPr>
      <w:r>
        <w:rPr>
          <w:rFonts w:ascii="Arial" w:cs="Arial" w:eastAsia="Arial" w:hAnsi="Arial"/>
          <w:sz w:val="14"/>
          <w:szCs w:val="14"/>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tcPr>
          <w:p>
            <w:pPr>
              <w:jc w:val="right"/>
              <w:ind w:right="812"/>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w w:val="94"/>
              </w:rPr>
              <w:t>(71,869 )</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(40,837 )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Depreciation expense</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Gain on the sale of property and equipment</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(303 )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7,787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Non-cash interest expense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000" w:type="dxa"/>
            <w:vAlign w:val="bottom"/>
          </w:tcPr>
          <w:p>
            <w:pPr>
              <w:spacing w:after="0"/>
              <w:rPr>
                <w:sz w:val="17"/>
                <w:szCs w:val="17"/>
                <w:color w:val="auto"/>
              </w:rPr>
            </w:pPr>
          </w:p>
        </w:tc>
        <w:tc>
          <w:tcPr>
            <w:tcW w:w="9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Loss on conversion of convertible notes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711</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Accretion of discount on convertible notes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5,866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5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7"/>
                <w:szCs w:val="17"/>
                <w:color w:val="auto"/>
              </w:rPr>
            </w:pPr>
          </w:p>
        </w:tc>
        <w:tc>
          <w:tcPr>
            <w:tcW w:w="9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(2,536 )</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Deferred offering costs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1,341</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(1,341 )</w:t>
            </w:r>
          </w:p>
        </w:tc>
        <w:tc>
          <w:tcPr>
            <w:tcW w:w="0" w:type="dxa"/>
            <w:vAlign w:val="bottom"/>
          </w:tcPr>
          <w:p>
            <w:pPr>
              <w:spacing w:after="0"/>
              <w:rPr>
                <w:sz w:val="1"/>
                <w:szCs w:val="1"/>
                <w:color w:val="auto"/>
              </w:rPr>
            </w:pPr>
          </w:p>
        </w:tc>
      </w:tr>
      <w:tr>
        <w:trPr>
          <w:trHeight w:val="203"/>
        </w:trPr>
        <w:tc>
          <w:tcPr>
            <w:tcW w:w="7660" w:type="dxa"/>
            <w:vAlign w:val="bottom"/>
          </w:tcPr>
          <w:p>
            <w:pPr>
              <w:ind w:left="560"/>
              <w:spacing w:after="0" w:line="202" w:lineRule="exact"/>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17"/>
                <w:szCs w:val="17"/>
                <w:color w:val="auto"/>
              </w:rPr>
            </w:pPr>
          </w:p>
        </w:tc>
        <w:tc>
          <w:tcPr>
            <w:tcW w:w="9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(237 )</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1,562</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(2,408 )</w:t>
            </w:r>
          </w:p>
        </w:tc>
        <w:tc>
          <w:tcPr>
            <w:tcW w:w="0" w:type="dxa"/>
            <w:vAlign w:val="bottom"/>
          </w:tcPr>
          <w:p>
            <w:pPr>
              <w:spacing w:after="0"/>
              <w:rPr>
                <w:sz w:val="1"/>
                <w:szCs w:val="1"/>
                <w:color w:val="auto"/>
              </w:rPr>
            </w:pPr>
          </w:p>
        </w:tc>
      </w:tr>
      <w:tr>
        <w:trPr>
          <w:trHeight w:val="203"/>
        </w:trPr>
        <w:tc>
          <w:tcPr>
            <w:tcW w:w="7660" w:type="dxa"/>
            <w:vAlign w:val="bottom"/>
          </w:tcPr>
          <w:p>
            <w:pPr>
              <w:ind w:left="5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1,730</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Net cash used in operating activities</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(59,700</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(32,708</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Purchase of property and equipment</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(71 )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3"/>
        </w:trPr>
        <w:tc>
          <w:tcPr>
            <w:tcW w:w="7660" w:type="dxa"/>
            <w:vAlign w:val="bottom"/>
          </w:tcPr>
          <w:p>
            <w:pPr>
              <w:ind w:left="560"/>
              <w:spacing w:after="0" w:line="202" w:lineRule="exact"/>
              <w:rPr>
                <w:sz w:val="20"/>
                <w:szCs w:val="20"/>
                <w:color w:val="auto"/>
              </w:rPr>
            </w:pPr>
            <w:r>
              <w:rPr>
                <w:rFonts w:ascii="Arial" w:cs="Arial" w:eastAsia="Arial" w:hAnsi="Arial"/>
                <w:sz w:val="18"/>
                <w:szCs w:val="18"/>
                <w:color w:val="auto"/>
              </w:rPr>
              <w:t>Proceeds from the sale of property and equipment</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344</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Business Combination, net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195,882</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Series B convertible preferred stock, net</w:t>
            </w:r>
          </w:p>
        </w:tc>
        <w:tc>
          <w:tcPr>
            <w:tcW w:w="1000" w:type="dxa"/>
            <w:vAlign w:val="bottom"/>
          </w:tcPr>
          <w:p>
            <w:pPr>
              <w:spacing w:after="0"/>
              <w:rPr>
                <w:sz w:val="17"/>
                <w:szCs w:val="17"/>
                <w:color w:val="auto"/>
              </w:rPr>
            </w:pPr>
          </w:p>
        </w:tc>
        <w:tc>
          <w:tcPr>
            <w:tcW w:w="9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20,084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convertible notes</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Principal payments on term loan</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(4,583 )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7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191,480</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34,247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Increase in cash, cash equivalents and restricted cash</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132,124</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year</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4,826</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year</w:t>
            </w:r>
          </w:p>
        </w:tc>
        <w:tc>
          <w:tcPr>
            <w:tcW w:w="1000" w:type="dxa"/>
            <w:vAlign w:val="bottom"/>
            <w:tcBorders>
              <w:bottom w:val="single" w:sz="8" w:color="auto"/>
            </w:tcBorders>
            <w:shd w:val="clear" w:color="auto" w:fill="CFF0FC"/>
          </w:tcPr>
          <w:p>
            <w:pPr>
              <w:jc w:val="right"/>
              <w:ind w:right="812"/>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136,950</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Supplemental disclosure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interest</w:t>
            </w:r>
          </w:p>
        </w:tc>
        <w:tc>
          <w:tcPr>
            <w:tcW w:w="1000" w:type="dxa"/>
            <w:vAlign w:val="bottom"/>
            <w:tcBorders>
              <w:bottom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307</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Noncash investing and financing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Conversion of convertible notes to Series B preferred stock</w:t>
            </w:r>
          </w:p>
        </w:tc>
        <w:tc>
          <w:tcPr>
            <w:tcW w:w="1000" w:type="dxa"/>
            <w:vAlign w:val="bottom"/>
            <w:tcBorders>
              <w:bottom w:val="single" w:sz="8" w:color="auto"/>
            </w:tcBorders>
            <w:shd w:val="clear" w:color="auto" w:fill="CFF0FC"/>
          </w:tcPr>
          <w:p>
            <w:pPr>
              <w:jc w:val="right"/>
              <w:ind w:right="812"/>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14,515</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8"/>
                <w:szCs w:val="18"/>
                <w:color w:val="auto"/>
              </w:rPr>
              <w:t>Exercise of warrants</w:t>
            </w:r>
          </w:p>
        </w:tc>
        <w:tc>
          <w:tcPr>
            <w:tcW w:w="1000" w:type="dxa"/>
            <w:vAlign w:val="bottom"/>
          </w:tcPr>
          <w:p>
            <w:pPr>
              <w:jc w:val="right"/>
              <w:ind w:right="812"/>
              <w:spacing w:after="0" w:line="183"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83" w:lineRule="exact"/>
              <w:rPr>
                <w:sz w:val="20"/>
                <w:szCs w:val="20"/>
                <w:color w:val="auto"/>
              </w:rPr>
            </w:pPr>
            <w:r>
              <w:rPr>
                <w:rFonts w:ascii="Arial" w:cs="Arial" w:eastAsia="Arial" w:hAnsi="Arial"/>
                <w:sz w:val="18"/>
                <w:szCs w:val="18"/>
                <w:color w:val="auto"/>
              </w:rPr>
              <w:t>76</w:t>
            </w:r>
          </w:p>
        </w:tc>
        <w:tc>
          <w:tcPr>
            <w:tcW w:w="280" w:type="dxa"/>
            <w:vAlign w:val="bottom"/>
          </w:tcPr>
          <w:p>
            <w:pPr>
              <w:spacing w:after="0"/>
              <w:rPr>
                <w:sz w:val="15"/>
                <w:szCs w:val="15"/>
                <w:color w:val="auto"/>
              </w:rPr>
            </w:pPr>
          </w:p>
        </w:tc>
        <w:tc>
          <w:tcPr>
            <w:tcW w:w="38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Proceeds from exercise of stock options included in other current assets</w:t>
            </w:r>
          </w:p>
        </w:tc>
        <w:tc>
          <w:tcPr>
            <w:tcW w:w="1000" w:type="dxa"/>
            <w:vAlign w:val="bottom"/>
            <w:tcBorders>
              <w:bottom w:val="single" w:sz="8" w:color="auto"/>
            </w:tcBorders>
            <w:shd w:val="clear" w:color="auto" w:fill="CFF0FC"/>
          </w:tcPr>
          <w:p>
            <w:pPr>
              <w:jc w:val="right"/>
              <w:ind w:right="812"/>
              <w:spacing w:after="0" w:line="18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131</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8"/>
                <w:szCs w:val="18"/>
                <w:color w:val="auto"/>
              </w:rPr>
              <w:t>Proceeds from the sale of property and equipment included in other current assets</w:t>
            </w:r>
          </w:p>
        </w:tc>
        <w:tc>
          <w:tcPr>
            <w:tcW w:w="1000" w:type="dxa"/>
            <w:vAlign w:val="bottom"/>
          </w:tcPr>
          <w:p>
            <w:pPr>
              <w:jc w:val="right"/>
              <w:ind w:right="812"/>
              <w:spacing w:after="0" w:line="183"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83"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5"/>
                <w:szCs w:val="15"/>
                <w:color w:val="auto"/>
              </w:rPr>
            </w:pPr>
          </w:p>
        </w:tc>
        <w:tc>
          <w:tcPr>
            <w:tcW w:w="38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Discount on convertible notes</w:t>
            </w:r>
          </w:p>
        </w:tc>
        <w:tc>
          <w:tcPr>
            <w:tcW w:w="1000" w:type="dxa"/>
            <w:vAlign w:val="bottom"/>
            <w:tcBorders>
              <w:bottom w:val="single" w:sz="8" w:color="auto"/>
            </w:tcBorders>
            <w:shd w:val="clear" w:color="auto" w:fill="CFF0FC"/>
          </w:tcPr>
          <w:p>
            <w:pPr>
              <w:jc w:val="right"/>
              <w:ind w:right="812"/>
              <w:spacing w:after="0" w:line="18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8,177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7660" w:type="dxa"/>
            <w:vAlign w:val="bottom"/>
          </w:tcPr>
          <w:p>
            <w:pPr>
              <w:ind w:left="20"/>
              <w:spacing w:after="0" w:line="142" w:lineRule="exact"/>
              <w:rPr>
                <w:sz w:val="20"/>
                <w:szCs w:val="20"/>
                <w:color w:val="auto"/>
              </w:rPr>
            </w:pPr>
            <w:r>
              <w:rPr>
                <w:rFonts w:ascii="Arial" w:cs="Arial" w:eastAsia="Arial" w:hAnsi="Arial"/>
                <w:sz w:val="16"/>
                <w:szCs w:val="16"/>
                <w:color w:val="auto"/>
              </w:rPr>
              <w:t>Deferred offering costs included in accounts payable and accrued expenses and</w:t>
            </w:r>
          </w:p>
        </w:tc>
        <w:tc>
          <w:tcPr>
            <w:tcW w:w="1000" w:type="dxa"/>
            <w:vAlign w:val="bottom"/>
            <w:vMerge w:val="restart"/>
          </w:tcPr>
          <w:p>
            <w:pPr>
              <w:jc w:val="right"/>
              <w:ind w:right="812"/>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160"/>
              <w:spacing w:after="0" w:line="156" w:lineRule="exact"/>
              <w:rPr>
                <w:sz w:val="20"/>
                <w:szCs w:val="20"/>
                <w:color w:val="auto"/>
              </w:rPr>
            </w:pPr>
            <w:r>
              <w:rPr>
                <w:rFonts w:ascii="Arial" w:cs="Arial" w:eastAsia="Arial" w:hAnsi="Arial"/>
                <w:sz w:val="18"/>
                <w:szCs w:val="18"/>
                <w:color w:val="auto"/>
              </w:rPr>
              <w:t>other current liabilities</w:t>
            </w:r>
          </w:p>
        </w:tc>
        <w:tc>
          <w:tcPr>
            <w:tcW w:w="100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-3554095</wp:posOffset>
            </wp:positionV>
            <wp:extent cx="6032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-3554095</wp:posOffset>
            </wp:positionV>
            <wp:extent cx="5969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-3022600</wp:posOffset>
            </wp:positionV>
            <wp:extent cx="6032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-3022600</wp:posOffset>
            </wp:positionV>
            <wp:extent cx="5969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-2242185</wp:posOffset>
            </wp:positionV>
            <wp:extent cx="6032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-2242185</wp:posOffset>
            </wp:positionV>
            <wp:extent cx="5969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-1704975</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-1687830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-1704975</wp:posOffset>
            </wp:positionV>
            <wp:extent cx="596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-1687830</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-882015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-864870</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-882015</wp:posOffset>
            </wp:positionV>
            <wp:extent cx="596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-864870</wp:posOffset>
            </wp:positionV>
            <wp:extent cx="596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-573405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-556260</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-573405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-556260</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-264795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-264795</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-247650</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Gemini Therapeutics Inc. (the “Company” or “Gemini”) is a clinical-stage precision medicine company developing novel therapeutic compounds to treat genetically defined, age-related macular degeneration. The Company was founded on March 3, 2015.</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Unless the context otherwise requires, references in these notes to “Gemini”, “the Company”, “we”, “us” and “our” and any related terms are intended to mean Gemini Therapeutics, Inc. and its consolidated subsidiary following the Business Combination (as defined below).</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Since its inception, the Company has devoted substantially all its efforts and financial resources to organizing and staffing the Company, business planning, raising capital, discovering product candidates and securing related intellectual property rights and conducting research and development activities for its product candidates. In January 2022, the Company discontinued both of its Phase 2a clinical trials for GEM103. The Company's other product candidate, GEM307, is in the preclinical stage of development.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the Company’s Common Stock in a private placement of public equity (the “PIPE Financing”). Together with FSDC’s cash resources and funding of the PIPE Financing, the Company received net proceeds of approximately $195.9 million.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additional information on the Business Combination, please refer to Note 2, </w:t>
      </w:r>
      <w:r>
        <w:rPr>
          <w:rFonts w:ascii="Arial" w:cs="Arial" w:eastAsia="Arial" w:hAnsi="Arial"/>
          <w:sz w:val="17"/>
          <w:szCs w:val="17"/>
          <w:i w:val="1"/>
          <w:iCs w:val="1"/>
          <w:color w:val="auto"/>
        </w:rPr>
        <w:t>Business Combination</w:t>
      </w:r>
      <w:r>
        <w:rPr>
          <w:rFonts w:ascii="Arial" w:cs="Arial" w:eastAsia="Arial" w:hAnsi="Arial"/>
          <w:sz w:val="17"/>
          <w:szCs w:val="17"/>
          <w:color w:val="auto"/>
        </w:rPr>
        <w:t>, to these consolidated financial statements.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compliance with government regulations and the impact of the novel coronavirus disease (“COVID-19”) pandemic. If the Company does not successfully commercialize any of its product candidates, it will be unable to generate recurring product revenue or achieve profitability.</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product candidates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5" w:name="page116"/>
    <w:bookmarkEnd w:id="115"/>
    <w:p>
      <w:pPr>
        <w:jc w:val="both"/>
        <w:spacing w:after="0" w:line="261" w:lineRule="auto"/>
        <w:rPr>
          <w:sz w:val="20"/>
          <w:szCs w:val="20"/>
          <w:color w:val="auto"/>
        </w:rPr>
      </w:pPr>
      <w:r>
        <w:rPr>
          <w:rFonts w:ascii="Arial" w:cs="Arial" w:eastAsia="Arial" w:hAnsi="Arial"/>
          <w:sz w:val="18"/>
          <w:szCs w:val="18"/>
          <w:color w:val="auto"/>
        </w:rPr>
        <w:t>operates in an environment of rapid change in technology and is dependent upon the services of its employees, consultants, third-party contract research organizations and other third-party organizations.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Prior to the Business Combination, the Company primarily financed its operations through the sale of convertible preferred stock, borrowings under convertible promissory notes and borrowings under loan agreements. The Company believes that its $136.6 million of cash and cash equivalents as of December 31, 2021 will enable it to fund its planned operations for at least twelve months from the issuance date of these consolidated financial statements, though the Company may raise additional capital through a combination of equity offerings, debt financings, collaborations, strategic alliances and marketing, distribution or licensing arrangements.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If adequate funds are not available to the Company on a timely basis, on acceptable terms or at all,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COVID-19 Pandemic</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March 2020, the World Health Organization declared the COVID-19 outbreak a pandemic. The ongoing COVID-19 pandemic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ongoing COVID-19 pandemic and related impacts have resulted in and will likely continue to result in significant disruptions to the global economy and capital markets around the world. The Company cannot predict the future progression or full impact of the outbreak and its effects on the Company’s business and operations.</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has not incurred impairment losses in the carrying values of its assets as a result of the ongoing COVID-19 pandemic, and it is not aware of any specific related event or circumstance that would require it to revise its estimates reflected in these consolidated financial statements. Although the COVID-19 pandemic did not have a significant impact on the Company’s financial results in 2021, the full extent to which the ongoing COVID-19 pandemic may impact the Company’s business, results of operations, financial condition and cash flows will depend on future developments that are highly uncertain, and the estimates of the impact on the Company’s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5, 2021, Old Gemini and FSDC completed the Business Combination pursuant to the Merger Agreement with Old Gemini surviving the merger as a wholly owned subsidiary of FSDC. Net proceeds from the Business Combination totaled approximately $195.9 million, which included funds held in FSDC’s trust account and the completion of the concurrent PIPE Financing.</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accordance with the terms and subject to the conditions of the Merger Agreement, at the effective time of the Merger, (i) all shares of Old Gemini’s Series B Preferred Stock (including shares of Series B Preferred Stock issued upon conversion of outstanding convertible promissory notes), Series A Preferred Stock and Common Stock (collectively, “Old Gemini Stock”) issued and outstanding immediately prior to the effective time of the Merger, whether vested or unvested, were converted into the right to receive their pro rata portion of the 17,942,274 shares of FSDC Class A Common Stock (the “Common Stock”) issued as Merger consideration (the “Merger Consideration”), provided that 2,150,000 shares of Common Stock are held in escrow for a period of 12 months from the Closing Date to satisfy any indemnification obligations of Old Gemini under the Merger Agreement; (ii) each option exercisable for Old Gemini Stock that was outstanding immediately prior to effective time of the Merger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“2021 Plan”).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6" w:name="page117"/>
    <w:bookmarkEnd w:id="116"/>
    <w:p>
      <w:pPr>
        <w:jc w:val="both"/>
        <w:spacing w:after="0" w:line="248" w:lineRule="auto"/>
        <w:rPr>
          <w:sz w:val="20"/>
          <w:szCs w:val="20"/>
          <w:color w:val="auto"/>
        </w:rPr>
      </w:pPr>
      <w:r>
        <w:rPr>
          <w:rFonts w:ascii="Arial" w:cs="Arial" w:eastAsia="Arial" w:hAnsi="Arial"/>
          <w:sz w:val="16"/>
          <w:szCs w:val="16"/>
          <w:color w:val="auto"/>
        </w:rPr>
        <w:t>The Company accounted for the Business Combination as a reverse recapitalization, which is the equivalent of Old Gemini issuing stock for the net assets of FSDC, accompanied by a recapitalization, with FSDC treated as the acquired company for accounting purposes. The determination of FSDC as the “acquired” company for accounting purposes was primarily based on the fact that subsequent to the Business Combination, shareholders of Old Gemini prior to the Business Combination have a majority of the voting power of the combined company, the operations of Old Gemini will comprise all of the ongoing operations of the combined entity, and Old Gemini’s senior management will comprise all of the senior management of the combined company.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the Company) (the “Conversion Ratio”).</w:t>
      </w:r>
    </w:p>
    <w:p>
      <w:pPr>
        <w:spacing w:after="0" w:line="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connection with the Business Combination, the Company incurred equity issuance costs and other costs considered direct and incremental to the transaction totaling $21.0 million, consisting of legal, accounting, financial advisory and other professional fees. These amounts are reflected within additional paid-in capital in the consolidated balance sheet as of December 31, 2021.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Financing</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Concurrent with the execution of the Business Combination, the Company entered into subscription agreements with certain investors (the “PIPE Investors”) pursuant to which the PIPE Investors subscribed for and purchased an aggregate of 9,506,000 shares of Common Stock for an aggregate purchase price of $95.1 million.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spacing w:after="0"/>
              <w:rPr>
                <w:sz w:val="20"/>
                <w:szCs w:val="20"/>
                <w:color w:val="auto"/>
              </w:rPr>
            </w:pPr>
            <w:r>
              <w:rPr>
                <w:rFonts w:ascii="Arial" w:cs="Arial" w:eastAsia="Arial" w:hAnsi="Arial"/>
                <w:sz w:val="18"/>
                <w:szCs w:val="18"/>
                <w:i w:val="1"/>
                <w:iCs w:val="1"/>
                <w:color w:val="auto"/>
              </w:rPr>
              <w:t>Summary of Net Proceeds</w:t>
            </w: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9220" w:type="dxa"/>
            <w:vAlign w:val="bottom"/>
          </w:tcPr>
          <w:p>
            <w:pPr>
              <w:spacing w:after="0"/>
              <w:rPr>
                <w:sz w:val="20"/>
                <w:szCs w:val="20"/>
                <w:color w:val="auto"/>
              </w:rPr>
            </w:pPr>
            <w:r>
              <w:rPr>
                <w:rFonts w:ascii="Arial" w:cs="Arial" w:eastAsia="Arial" w:hAnsi="Arial"/>
                <w:sz w:val="18"/>
                <w:szCs w:val="18"/>
                <w:color w:val="auto"/>
              </w:rPr>
              <w:t>The following table summarizes the elements of the net proceeds from the Business Combination (in thousands):</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9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 FSDC Trust Account and cash (net of redemptions)</w:t>
            </w:r>
          </w:p>
        </w:tc>
        <w:tc>
          <w:tcPr>
            <w:tcW w:w="720" w:type="dxa"/>
            <w:vAlign w:val="bottom"/>
            <w:shd w:val="clear" w:color="auto" w:fill="CFF0FC"/>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121,782</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Cash - PIPE Financing</w:t>
            </w:r>
          </w:p>
        </w:tc>
        <w:tc>
          <w:tcPr>
            <w:tcW w:w="7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95,060</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Equity issuance costs and other costs paid</w:t>
            </w:r>
          </w:p>
        </w:tc>
        <w:tc>
          <w:tcPr>
            <w:tcW w:w="7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(20,960 )</w:t>
            </w:r>
          </w:p>
        </w:tc>
      </w:tr>
      <w:tr>
        <w:trPr>
          <w:trHeight w:val="196"/>
        </w:trPr>
        <w:tc>
          <w:tcPr>
            <w:tcW w:w="922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proceeds from the Business Combination</w:t>
            </w:r>
          </w:p>
        </w:tc>
        <w:tc>
          <w:tcPr>
            <w:tcW w:w="72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195,882</w:t>
            </w:r>
          </w:p>
        </w:tc>
        <w:tc>
          <w:tcPr>
            <w:tcW w:w="100" w:type="dxa"/>
            <w:vAlign w:val="bottom"/>
            <w:tcBorders>
              <w:top w:val="single" w:sz="8" w:color="CFF0FC"/>
            </w:tcBorders>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Shares Issued</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number of shares of Common Stock outstanding immediately following the consummation of the Business Combination: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FSDC shares outstanding prior to the Business Combination</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15,535,150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Shares issued pursuant to the PIPE Financing</w:t>
            </w: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9,506,000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Business Combination and PIPE Financing shares</w:t>
            </w: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25,041,150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Conversion of Old Gemini Series A preferred stock for common stock</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8,657,869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Conversion of Old Gemini Series B preferred stock for common stock</w:t>
            </w: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7,744,785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Conversion of Old Gemini common stock for common stock</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1,539,603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Issuance of common stock upon exercise of warrants</w:t>
            </w:r>
          </w:p>
        </w:tc>
        <w:tc>
          <w:tcPr>
            <w:tcW w:w="1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15,257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9220" w:type="dxa"/>
            <w:vAlign w:val="bottom"/>
          </w:tcPr>
          <w:p>
            <w:pPr>
              <w:ind w:left="200"/>
              <w:spacing w:after="0" w:line="156" w:lineRule="exact"/>
              <w:rPr>
                <w:sz w:val="20"/>
                <w:szCs w:val="20"/>
                <w:color w:val="auto"/>
              </w:rPr>
            </w:pPr>
            <w:r>
              <w:rPr>
                <w:rFonts w:ascii="Arial" w:cs="Arial" w:eastAsia="Arial" w:hAnsi="Arial"/>
                <w:sz w:val="18"/>
                <w:szCs w:val="18"/>
                <w:color w:val="auto"/>
              </w:rPr>
              <w:t>Total shares of the Company's common stock outstanding immediately following</w:t>
            </w: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42,998,664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220" w:type="dxa"/>
            <w:vAlign w:val="bottom"/>
          </w:tcPr>
          <w:p>
            <w:pPr>
              <w:ind w:left="340"/>
              <w:spacing w:after="0" w:line="156" w:lineRule="exact"/>
              <w:rPr>
                <w:sz w:val="20"/>
                <w:szCs w:val="20"/>
                <w:color w:val="auto"/>
              </w:rPr>
            </w:pPr>
            <w:r>
              <w:rPr>
                <w:rFonts w:ascii="Arial" w:cs="Arial" w:eastAsia="Arial" w:hAnsi="Arial"/>
                <w:sz w:val="18"/>
                <w:szCs w:val="18"/>
                <w:color w:val="auto"/>
              </w:rPr>
              <w:t>the Business Combination</w:t>
            </w:r>
          </w:p>
        </w:tc>
        <w:tc>
          <w:tcPr>
            <w:tcW w:w="19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-245110</wp:posOffset>
            </wp:positionV>
            <wp:extent cx="431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0" w:lineRule="exact"/>
        <w:rPr>
          <w:sz w:val="20"/>
          <w:szCs w:val="20"/>
          <w:color w:val="auto"/>
        </w:rPr>
      </w:pPr>
    </w:p>
    <w:p>
      <w:pPr>
        <w:ind w:right="7680" w:firstLine="8"/>
        <w:spacing w:after="0" w:line="487" w:lineRule="auto"/>
        <w:tabs>
          <w:tab w:leader="none" w:pos="1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accompanying consolidated financial statements include those of the Company and its subsidiary, Gemini Therapeutics Sub, Inc., after elimination of all intercompany accounts and transactions. 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17" w:name="page118"/>
    <w:bookmarkEnd w:id="117"/>
    <w:p>
      <w:pPr>
        <w:jc w:val="both"/>
        <w:spacing w:after="0" w:line="243" w:lineRule="auto"/>
        <w:rPr>
          <w:sz w:val="20"/>
          <w:szCs w:val="20"/>
          <w:color w:val="auto"/>
        </w:rPr>
      </w:pPr>
      <w:r>
        <w:rPr>
          <w:rFonts w:ascii="Arial" w:cs="Arial" w:eastAsia="Arial" w:hAnsi="Arial"/>
          <w:sz w:val="18"/>
          <w:szCs w:val="18"/>
          <w:color w:val="auto"/>
        </w:rPr>
        <w:t xml:space="preserve">As a result of the Business Combination,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For additional information regarding the Business Combination, please refer to Note 2,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accruals of research and development expenses, share-based awards utilized for stock-based compensation purposes, and, prior to the Business Combination, the estimated fair value of the Company’s common stock and warrant liability.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as of December 31,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Restricted cash amounted to $0.3 million as of December 31, 2021 and 2020, which consists of $0.1 million to collateralize the Company’s credit cards and $0.2 million to collateralize its irrevocable standby letter of credit for its facility lease arrangement. The letter of credit is in the name of the landlord and was required to fulfill lease requirements in the event the Company should default on its lease obligation. The facility lease arrangement was terminated on December 31, 2021.</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reconciliation of the cash and cash equivalents and restricted cash as presented in the Company’s consolidated balance sheets to the Company’s consolidated statements of cash flows is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December 31,</w:t>
            </w:r>
          </w:p>
        </w:tc>
        <w:tc>
          <w:tcPr>
            <w:tcW w:w="1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76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2020</w:t>
            </w:r>
          </w:p>
        </w:tc>
        <w:tc>
          <w:tcPr>
            <w:tcW w:w="6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136,627</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4,503</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323</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323</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102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136,950</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4,826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431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Property and equipment</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a straight-line basis over the estimated useful lives of the assets. The estimated useful lives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7360" w:type="dxa"/>
            <w:vAlign w:val="bottom"/>
            <w:shd w:val="clear" w:color="auto" w:fill="CFF0FC"/>
          </w:tcPr>
          <w:p>
            <w:pPr>
              <w:jc w:val="center"/>
              <w:ind w:left="870"/>
              <w:spacing w:after="0"/>
              <w:rPr>
                <w:sz w:val="20"/>
                <w:szCs w:val="20"/>
                <w:color w:val="auto"/>
              </w:rPr>
            </w:pPr>
            <w:r>
              <w:rPr>
                <w:rFonts w:ascii="Arial" w:cs="Arial" w:eastAsia="Arial" w:hAnsi="Arial"/>
                <w:sz w:val="18"/>
                <w:szCs w:val="18"/>
                <w:color w:val="auto"/>
                <w:w w:val="88"/>
              </w:rPr>
              <w:t>3 years</w:t>
            </w: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7360" w:type="dxa"/>
            <w:vAlign w:val="bottom"/>
          </w:tcPr>
          <w:p>
            <w:pPr>
              <w:jc w:val="center"/>
              <w:ind w:left="870"/>
              <w:spacing w:after="0" w:line="202" w:lineRule="exact"/>
              <w:rPr>
                <w:sz w:val="20"/>
                <w:szCs w:val="20"/>
                <w:color w:val="auto"/>
              </w:rPr>
            </w:pPr>
            <w:r>
              <w:rPr>
                <w:rFonts w:ascii="Arial" w:cs="Arial" w:eastAsia="Arial" w:hAnsi="Arial"/>
                <w:sz w:val="18"/>
                <w:szCs w:val="18"/>
                <w:color w:val="auto"/>
                <w:w w:val="88"/>
              </w:rPr>
              <w:t>5 years</w:t>
            </w:r>
          </w:p>
        </w:tc>
      </w:tr>
      <w:tr>
        <w:trPr>
          <w:trHeight w:val="203"/>
        </w:trPr>
        <w:tc>
          <w:tcPr>
            <w:tcW w:w="3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7360" w:type="dxa"/>
            <w:vAlign w:val="bottom"/>
            <w:shd w:val="clear" w:color="auto" w:fill="CFF0FC"/>
          </w:tcPr>
          <w:p>
            <w:pPr>
              <w:jc w:val="center"/>
              <w:ind w:left="870"/>
              <w:spacing w:after="0" w:line="202" w:lineRule="exact"/>
              <w:rPr>
                <w:sz w:val="20"/>
                <w:szCs w:val="20"/>
                <w:color w:val="auto"/>
              </w:rPr>
            </w:pPr>
            <w:r>
              <w:rPr>
                <w:rFonts w:ascii="Arial" w:cs="Arial" w:eastAsia="Arial" w:hAnsi="Arial"/>
                <w:sz w:val="18"/>
                <w:szCs w:val="18"/>
                <w:color w:val="auto"/>
                <w:w w:val="88"/>
              </w:rPr>
              <w:t>3 years</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7360" w:type="dxa"/>
            <w:vAlign w:val="bottom"/>
          </w:tcPr>
          <w:p>
            <w:pPr>
              <w:jc w:val="center"/>
              <w:ind w:left="850"/>
              <w:spacing w:after="0"/>
              <w:rPr>
                <w:sz w:val="20"/>
                <w:szCs w:val="20"/>
                <w:color w:val="auto"/>
              </w:rPr>
            </w:pPr>
            <w:r>
              <w:rPr>
                <w:rFonts w:ascii="Arial" w:cs="Arial" w:eastAsia="Arial" w:hAnsi="Arial"/>
                <w:sz w:val="18"/>
                <w:szCs w:val="18"/>
                <w:color w:val="auto"/>
                <w:w w:val="90"/>
              </w:rPr>
              <w:t>Shorter of the useful life of the asset or the life of the lease</w:t>
            </w:r>
          </w:p>
        </w:tc>
      </w:tr>
    </w:tbl>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normal, recurring or periodic repairs and maintenance activities are charged to expense as incurred.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all fixed assets of the Company have been sold or disposed.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offering. Should the in-process equity financing be abandoned, the deferred offering costs will be expensed immediately as a charge to operating expenses in the consolidated statements of operations and comprehensive loss. The Company had no deferred offering costs as of December 31, 2021. As of December 31, 2020, the Company recorded deferred offering costs of $2.6 million related to the costs incurred in connection with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Quoted prices in active markets that are identical assets or liabilities.</w:t>
      </w:r>
    </w:p>
    <w:p>
      <w:pPr>
        <w:spacing w:after="0" w:line="212" w:lineRule="exact"/>
        <w:rPr>
          <w:sz w:val="20"/>
          <w:szCs w:val="20"/>
          <w:color w:val="auto"/>
        </w:rPr>
      </w:pPr>
    </w:p>
    <w:p>
      <w:pPr>
        <w:jc w:val="both"/>
        <w:ind w:left="380"/>
        <w:spacing w:after="0" w:line="248"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2"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9" w:name="page120"/>
    <w:bookmarkEnd w:id="119"/>
    <w:p>
      <w:pPr>
        <w:jc w:val="both"/>
        <w:spacing w:after="0" w:line="279" w:lineRule="auto"/>
        <w:rPr>
          <w:sz w:val="20"/>
          <w:szCs w:val="20"/>
          <w:color w:val="auto"/>
        </w:rPr>
      </w:pPr>
      <w:r>
        <w:rPr>
          <w:rFonts w:ascii="Arial" w:cs="Arial" w:eastAsia="Arial" w:hAnsi="Arial"/>
          <w:sz w:val="16"/>
          <w:szCs w:val="16"/>
          <w:color w:val="auto"/>
        </w:rPr>
        <w:t>The Company’s cash equivalents and preferred stock warrant liability (outstanding as of December 31, 2020) are carried at fair value, determined according to the fair value hierarchy described above (also see Note 4). The carrying values of the Company’s prepaid expenses and other current assets and accounts payable and accrued expenses approximate their fair values due to the short-term nature of these assets and liabilities. In February 2019, the Company entered into a term loan facility of up to $10.0 million (the “Term Loan”) with Silicon Valley Bank (“SVB”). The carrying value of the Company’s Term Loan as of December 31, 2021 and 2020 (see Note 8) approximated fair value based on interest rates currently available to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February 2019, concurrent with the Company’s Term Loan agreement (see Note 8), the Company issued warrants to purchase shares of Old Gemini’s Series A preferred stock. The Company accounted for the warrants to purchase Series A preferred stock as a liability as these warrants were freestanding financial instruments that may have required the Company to transfer assets upon exercise. The fair value of the warrants classified as liabilities is estimated using the Black-Scholes Option Pricing Model and adjusted to fair value at the end of each reporting period. Changes in the fair value of the warrants are recognized as a component of other income (expense) in the consolidated statements of operations and comprehensive loss. The estimates in the Black-Scholes Option Pricing Model are based, in part, on subjective assumptions, including, stock price volatility, term of the warrants, risk free interest rate, dividend yield and the fair value of the preferred stock underlying the warrants. Such assumptions could differ materially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of the Business Combination, the warrants were automatically exercised for 15,257 shares of the Company's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contract costs and accruals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Research and development expenses include employee payroll, consulting, contract research and manufacturing, depreciation, rent and other corporate costs attributable to research and development activities and are expensed as incurred.</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Upfront payments and milestone payments made for the licensing of technology are expensed as research and development expenses in the period in which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Patent costs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expenses all patent-related costs incurred in connection with filing and prosecuting patent applications. It records such costs within general and administrative expenses in its accompanying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For awards with service-based vesting conditions, the Company recognizes equity-based compensation expense on a straight-line basis over the vesting period.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the Company’s common stock as reported by Nasdaq on the date of grant.</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estimates the fair value of stock options using the Black-Scholes option pricing model, which uses as inputs the fair value of the Company’s common stock, and certain management estimates, including the expected stock price volatility, the expected term of the award, the risk-free rate, and expected dividends. Expected volatility is calculated based on reported volatility data for a representative group of publicly traded companies for which historical information is available. The Company selects companies with comparable characteristics with historical share price information that approximates the expected term of the equity-based awards. The Company computes the historical volatility data using the daily closing prices for the selected companies’ shares during the equivalent period that approximates the calculated expected term of the stock options. The Company will continue to apply this method until a sufficient amount of historical information regarding the volatility of its stock price becomes available.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lack of historical exercise data. The expected dividend yield is assumed to be zero as the Company has no current plans to pay any dividends on common stock.</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Prior to the completion of the Business Combination transaction, given that there had been no public market for the Company’s common stock, the estimated fair value of its common stock was determined by the board of directors as of the date of each award grant, with input from management, considering the Company’s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 Company’s common stock valuations were prepared using an option pricing method (“OPM”) or</w:t>
      </w:r>
      <w:r>
        <w:rPr>
          <w:rFonts w:ascii="Arial" w:cs="Arial" w:eastAsia="Arial" w:hAnsi="Arial"/>
          <w:sz w:val="17"/>
          <w:szCs w:val="17"/>
          <w:i w:val="1"/>
          <w:iCs w:val="1"/>
          <w:color w:val="auto"/>
        </w:rPr>
        <w:t xml:space="preserve"> </w:t>
      </w:r>
      <w:r>
        <w:rPr>
          <w:rFonts w:ascii="Arial" w:cs="Arial" w:eastAsia="Arial" w:hAnsi="Arial"/>
          <w:sz w:val="17"/>
          <w:szCs w:val="17"/>
          <w:color w:val="auto"/>
        </w:rPr>
        <w:t>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(“PWERM”) where the equity value in one or more scenarios is calculated using an OPM. The PWERM is a scenario-based methodology that estimates the fair value of the Company’s common stock based upon an analysis of its future values, assuming various outcomes. The common stock value is based on the probability-weighted present value of expected future investment returns considering each of the possible outcomes available as well as the rights of each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1" w:name="page122"/>
    <w:bookmarkEnd w:id="121"/>
    <w:p>
      <w:pPr>
        <w:jc w:val="both"/>
        <w:spacing w:after="0" w:line="276" w:lineRule="auto"/>
        <w:rPr>
          <w:sz w:val="20"/>
          <w:szCs w:val="20"/>
          <w:color w:val="auto"/>
        </w:rPr>
      </w:pPr>
      <w:r>
        <w:rPr>
          <w:rFonts w:ascii="Arial" w:cs="Arial" w:eastAsia="Arial" w:hAnsi="Arial"/>
          <w:sz w:val="16"/>
          <w:szCs w:val="16"/>
          <w:color w:val="auto"/>
        </w:rPr>
        <w:t>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The Company calculates earnings per share in accordance with ASC Topic 260, </w:t>
      </w:r>
      <w:r>
        <w:rPr>
          <w:rFonts w:ascii="Arial" w:cs="Arial" w:eastAsia="Arial" w:hAnsi="Arial"/>
          <w:sz w:val="18"/>
          <w:szCs w:val="18"/>
          <w:i w:val="1"/>
          <w:iCs w:val="1"/>
          <w:color w:val="auto"/>
        </w:rPr>
        <w:t>Earnings per Shar</w:t>
      </w:r>
      <w:r>
        <w:rPr>
          <w:rFonts w:ascii="Arial" w:cs="Arial" w:eastAsia="Arial" w:hAnsi="Arial"/>
          <w:sz w:val="18"/>
          <w:szCs w:val="18"/>
          <w:color w:val="auto"/>
        </w:rPr>
        <w:t>e. The two-class method of computing earnings per share is required for entities that have participating securities. Under the two-class method, net income is allocated between ordinary shares and participating securities based on dividends declared (or accumulated) and participating rights in undistributed earnings as if all the earnings for the reporting period had been distributed.</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loss per share as their effect is anti-dilutive.</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years ended December 31, 2021 and 2020.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 As a result of this election, the consolidated financial statements may not be comparable to companies that comply with public company FASB standards’ effective 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November 2018, the FASB issued ASU 2018-18, </w:t>
      </w:r>
      <w:r>
        <w:rPr>
          <w:rFonts w:ascii="Arial" w:cs="Arial" w:eastAsia="Arial" w:hAnsi="Arial"/>
          <w:sz w:val="17"/>
          <w:szCs w:val="17"/>
          <w:i w:val="1"/>
          <w:iCs w:val="1"/>
          <w:color w:val="auto"/>
        </w:rPr>
        <w:t>Collaborative Arrangements (Topic 808): Clarifying the Interaction between Topic 808 and Topic 606</w:t>
      </w:r>
      <w:r>
        <w:rPr>
          <w:rFonts w:ascii="Arial" w:cs="Arial" w:eastAsia="Arial" w:hAnsi="Arial"/>
          <w:sz w:val="17"/>
          <w:szCs w:val="17"/>
          <w:color w:val="auto"/>
        </w:rPr>
        <w:t>, (“ASU 2018-18”). The amendments in this update clarify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standard became effective for the Company on January 1, 2021 and did not have a material impact on its consolidated financial statements as the Company had no transactions applicable to this guidance; however, the standard may impact how the Company accounts for certain business transactions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the FASB Accounting Standards Codification (</w:t>
      </w:r>
      <w:r>
        <w:rPr>
          <w:rFonts w:ascii="Arial" w:cs="Arial" w:eastAsia="Arial" w:hAnsi="Arial"/>
          <w:sz w:val="16"/>
          <w:szCs w:val="16"/>
          <w:color w:val="auto"/>
        </w:rPr>
        <w:t>“ASU 2016-02”), which replaces the existing guidance for leases. ASU 2016-02 requires the identification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guidance is effective for annual reporting periods beginning after December 15, 2021 and interim periods beginning after December 15, 2022, and early adoption is permitted. The Company currently anticipates applying the modified retrospective approach effective January 1, 2022. The Company currently expects to elect the package of practical expedients which allows entities to not reassess (i) whether an arrangement is or contains a lease, (ii) the classification of its leases, and (iii) the accounting for initial direct costs. Further, the Company currently anticipates electing, by class of underlying asset, the short-term lease exception for leases with terms of twelve months or less. In doing so, the Company will not recognize a lease liability or right-of-use asset on its consolidated balance sheets for such short-term leases. Finally, the Company currently expects to elect, by class of underlying asset, the practical expedient to not separate lease and non-lease components. The Company does not expect that the adoption of ASU 2016-02 will have a material impact on its consolidated financial statements and related disclosures.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 (Topic 326)—Measurement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has been subsequently amended by ASU No. 2018-19, ASU No. 2019-04, ASU No. 2019-05, ASU No. 2019-10, ASU No. 2019-11 and</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2020-3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potential impact that ASU 2016-13 may have on its consolidated financial statements and related disclosures.</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the accounting for income taxes. ASU 2019-12 removes certain exceptions to the general principles in Topic 740 and also clarifies and amends existing guidance to improve consistent application. The new standard will be effective for annual reporting periods beginning after December 15, 2021. The Company does not expect that the adoption of ASU 2018-18 will have a material impact on its consolidated financial statements and related disclosures.</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w:t>
      </w:r>
      <w:r>
        <w:rPr>
          <w:rFonts w:ascii="Arial" w:cs="Arial" w:eastAsia="Arial" w:hAnsi="Arial"/>
          <w:sz w:val="18"/>
          <w:szCs w:val="18"/>
          <w:color w:val="auto"/>
        </w:rPr>
        <w:t>(“ASU 2020-06”), which reduces the number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3" w:name="page124"/>
    <w:bookmarkEnd w:id="123"/>
    <w:p>
      <w:pPr>
        <w:jc w:val="both"/>
        <w:spacing w:after="0" w:line="270" w:lineRule="auto"/>
        <w:rPr>
          <w:sz w:val="20"/>
          <w:szCs w:val="20"/>
          <w:color w:val="auto"/>
        </w:rPr>
      </w:pPr>
      <w:r>
        <w:rPr>
          <w:rFonts w:ascii="Arial" w:cs="Arial" w:eastAsia="Arial" w:hAnsi="Arial"/>
          <w:sz w:val="17"/>
          <w:szCs w:val="17"/>
          <w:color w:val="auto"/>
        </w:rPr>
        <w:t>accounting models for convertible debt instruments and convertible preferred stock as well as amends the derivatives scope exception for contracts in an entity’s own equity. ASU 2020-06 is effective for the Company on January 1, 2024, with early adoption permitted. The Company is currently evaluating the potential impact that this standard may have on its consolidated financial statements and related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(in thousands) on a recurring basis and indicate the level of the fair value hierarchy used to determine such fair values: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r>
      <w:tr>
        <w:trPr>
          <w:trHeight w:val="196"/>
        </w:trPr>
        <w:tc>
          <w:tcPr>
            <w:tcW w:w="55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Money market funds in cash and cash equivalents</w:t>
            </w:r>
          </w:p>
        </w:tc>
        <w:tc>
          <w:tcPr>
            <w:tcW w:w="160" w:type="dxa"/>
            <w:vAlign w:val="bottom"/>
            <w:gridSpan w:val="2"/>
          </w:tcPr>
          <w:p>
            <w:pPr>
              <w:spacing w:after="0"/>
              <w:rPr>
                <w:sz w:val="17"/>
                <w:szCs w:val="17"/>
                <w:color w:val="auto"/>
              </w:rPr>
            </w:pPr>
          </w:p>
        </w:tc>
        <w:tc>
          <w:tcPr>
            <w:tcW w:w="22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135,631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940" w:type="dxa"/>
            <w:vAlign w:val="bottom"/>
            <w:tcBorders>
              <w:bottom w:val="single" w:sz="8" w:color="auto"/>
            </w:tcBorders>
          </w:tcPr>
          <w:p>
            <w:pPr>
              <w:jc w:val="right"/>
              <w:ind w:right="750"/>
              <w:spacing w:after="0" w:line="202"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135,631</w:t>
            </w:r>
          </w:p>
        </w:tc>
        <w:tc>
          <w:tcPr>
            <w:tcW w:w="60" w:type="dxa"/>
            <w:vAlign w:val="bottom"/>
          </w:tcPr>
          <w:p>
            <w:pPr>
              <w:spacing w:after="0"/>
              <w:rPr>
                <w:sz w:val="17"/>
                <w:szCs w:val="17"/>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556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ind w:left="14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4"/>
                <w:szCs w:val="24"/>
                <w:color w:val="auto"/>
              </w:rPr>
            </w:pPr>
          </w:p>
        </w:tc>
      </w:tr>
      <w:tr>
        <w:trPr>
          <w:trHeight w:val="196"/>
        </w:trPr>
        <w:tc>
          <w:tcPr>
            <w:tcW w:w="55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Money market funds in cash and cash equivalents</w:t>
            </w:r>
          </w:p>
        </w:tc>
        <w:tc>
          <w:tcPr>
            <w:tcW w:w="3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4,015</w:t>
            </w:r>
          </w:p>
        </w:tc>
        <w:tc>
          <w:tcPr>
            <w:tcW w:w="22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ind w:left="7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4,015</w:t>
            </w:r>
          </w:p>
        </w:tc>
        <w:tc>
          <w:tcPr>
            <w:tcW w:w="60" w:type="dxa"/>
            <w:vAlign w:val="bottom"/>
          </w:tcPr>
          <w:p>
            <w:pPr>
              <w:spacing w:after="0"/>
              <w:rPr>
                <w:sz w:val="17"/>
                <w:szCs w:val="17"/>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Warrant liability</w:t>
            </w:r>
          </w:p>
        </w:tc>
        <w:tc>
          <w:tcPr>
            <w:tcW w:w="3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ind w:left="7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79"/>
              </w:rPr>
              <w:t>76</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60" w:type="dxa"/>
            <w:vAlign w:val="bottom"/>
          </w:tcPr>
          <w:p>
            <w:pPr>
              <w:spacing w:after="0"/>
              <w:rPr>
                <w:sz w:val="17"/>
                <w:szCs w:val="17"/>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values of cash equivalents are classified as Level 1 measurements under the fair value hierarchy as these assets have been valued using quoted market prices in active markets and do not have any restrictions on redemption. As of December 31, 2021 and 2020, cash equivalents were comprised of funds in money market accounts. There were no transfers or reclassifications between Level 1, Level 2 and Level 3 during the year ended December 31, 2021.</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value of the warrant liability was classified as a Level 3 measurement under the fair value hierarchy, as this liability was valued based on significant inputs not observable in the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Series A Preferred Stock</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February 2019, concurrent with the Company’s Term Loan agreement, the Company issued warrants to purchase 15,257 shares of Old Gemini’s Series A preferred stock. The warrants had an exercise price of $5.46 per share and expired in February 2029, representing a contractual term of ten years from issuance. At the closing of the Business Combination, the warrants were automatically exercised for 15,257 shares of the Company’s common stock.</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the warrants was recorded as a liability on the date of issuance and was revalued at the end of each reporting period until being exercised upon the closing of the Business Combination.</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table provides a roll-forward of the activity of the Company’s Series A preferred stock warrant liability, which represents a recurring measurement that is classified within Level 3 of the fair value hierarchy wherein fair value is estimated using significant unobservable inputs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622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8"/>
                <w:szCs w:val="18"/>
                <w:color w:val="auto"/>
              </w:rPr>
            </w:pP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Change in fair value</w:t>
            </w:r>
          </w:p>
        </w:tc>
        <w:tc>
          <w:tcPr>
            <w:tcW w:w="53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196"/>
        </w:trPr>
        <w:tc>
          <w:tcPr>
            <w:tcW w:w="3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5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7"/>
                <w:szCs w:val="17"/>
                <w:color w:val="auto"/>
              </w:rPr>
            </w:pP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Warrant exercise</w:t>
            </w:r>
          </w:p>
        </w:tc>
        <w:tc>
          <w:tcPr>
            <w:tcW w:w="5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(76 )</w:t>
            </w:r>
          </w:p>
        </w:tc>
      </w:tr>
      <w:tr>
        <w:trPr>
          <w:trHeight w:val="236"/>
        </w:trPr>
        <w:tc>
          <w:tcPr>
            <w:tcW w:w="38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53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3880" w:type="dxa"/>
            <w:vAlign w:val="bottom"/>
          </w:tcPr>
          <w:p>
            <w:pPr>
              <w:spacing w:after="0"/>
              <w:rPr>
                <w:sz w:val="24"/>
                <w:szCs w:val="24"/>
                <w:color w:val="auto"/>
              </w:rPr>
            </w:pPr>
          </w:p>
        </w:tc>
        <w:tc>
          <w:tcPr>
            <w:tcW w:w="6220" w:type="dxa"/>
            <w:vAlign w:val="bottom"/>
            <w:gridSpan w:val="2"/>
          </w:tcPr>
          <w:p>
            <w:pPr>
              <w:jc w:val="right"/>
              <w:ind w:right="4210"/>
              <w:spacing w:after="0"/>
              <w:rPr>
                <w:sz w:val="20"/>
                <w:szCs w:val="20"/>
                <w:color w:val="auto"/>
              </w:rPr>
            </w:pPr>
            <w:r>
              <w:rPr>
                <w:rFonts w:ascii="Arial" w:cs="Arial" w:eastAsia="Arial" w:hAnsi="Arial"/>
                <w:sz w:val="18"/>
                <w:szCs w:val="18"/>
                <w:color w:val="auto"/>
              </w:rPr>
              <w:t>F-17</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880" w:type="dxa"/>
            <w:vAlign w:val="bottom"/>
            <w:tcBorders>
              <w:bottom w:val="single" w:sz="8" w:color="9A9A9A"/>
            </w:tcBorders>
          </w:tcPr>
          <w:p>
            <w:pPr>
              <w:spacing w:after="0"/>
              <w:rPr>
                <w:sz w:val="7"/>
                <w:szCs w:val="7"/>
                <w:color w:val="auto"/>
              </w:rPr>
            </w:pPr>
          </w:p>
        </w:tc>
        <w:tc>
          <w:tcPr>
            <w:tcW w:w="53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-496570</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4" w:name="page125"/>
    <w:bookmarkEnd w:id="124"/>
    <w:p>
      <w:pPr>
        <w:jc w:val="both"/>
        <w:spacing w:after="0" w:line="261" w:lineRule="auto"/>
        <w:rPr>
          <w:sz w:val="20"/>
          <w:szCs w:val="20"/>
          <w:color w:val="auto"/>
        </w:rPr>
      </w:pPr>
      <w:r>
        <w:rPr>
          <w:rFonts w:ascii="Arial" w:cs="Arial" w:eastAsia="Arial" w:hAnsi="Arial"/>
          <w:sz w:val="18"/>
          <w:szCs w:val="18"/>
          <w:color w:val="auto"/>
        </w:rPr>
        <w:t>The fair value of the warrants to purchase shares of the Company’s Series A preferred stock at an exercise price of $5.46 per share, including subsequent remeasurements, was estimated using the Black-Scholes Option Pricing Model using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Pr>
          <w:p>
            <w:pPr>
              <w:spacing w:after="0"/>
              <w:rPr>
                <w:sz w:val="18"/>
                <w:szCs w:val="18"/>
                <w:color w:val="auto"/>
              </w:rPr>
            </w:pPr>
          </w:p>
        </w:tc>
        <w:tc>
          <w:tcPr>
            <w:tcW w:w="3600" w:type="dxa"/>
            <w:vAlign w:val="bottom"/>
            <w:gridSpan w:val="5"/>
          </w:tcPr>
          <w:p>
            <w:pPr>
              <w:jc w:val="right"/>
              <w:ind w:right="980"/>
              <w:spacing w:after="0"/>
              <w:rPr>
                <w:sz w:val="20"/>
                <w:szCs w:val="20"/>
                <w:color w:val="auto"/>
              </w:rPr>
            </w:pPr>
            <w:r>
              <w:rPr>
                <w:rFonts w:ascii="Arial" w:cs="Arial" w:eastAsia="Arial" w:hAnsi="Arial"/>
                <w:sz w:val="18"/>
                <w:szCs w:val="18"/>
                <w:color w:val="auto"/>
              </w:rPr>
              <w:t>Year Ended December 31,</w:t>
            </w:r>
          </w:p>
        </w:tc>
      </w:tr>
      <w:tr>
        <w:trPr>
          <w:trHeight w:val="196"/>
        </w:trPr>
        <w:tc>
          <w:tcPr>
            <w:tcW w:w="76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Fair value of the underlying instrument</w:t>
            </w:r>
          </w:p>
        </w:tc>
        <w:tc>
          <w:tcPr>
            <w:tcW w:w="1120" w:type="dxa"/>
            <w:vAlign w:val="bottom"/>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$5.87 - $6.47</w:t>
            </w:r>
          </w:p>
        </w:tc>
        <w:tc>
          <w:tcPr>
            <w:tcW w:w="22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120" w:type="dxa"/>
            <w:vAlign w:val="bottom"/>
          </w:tcPr>
          <w:p>
            <w:pPr>
              <w:spacing w:after="0"/>
              <w:rPr>
                <w:sz w:val="17"/>
                <w:szCs w:val="17"/>
                <w:color w:val="auto"/>
              </w:rPr>
            </w:pPr>
          </w:p>
        </w:tc>
        <w:tc>
          <w:tcPr>
            <w:tcW w:w="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 %</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0.57% - 0.75%</w:t>
            </w:r>
          </w:p>
        </w:tc>
        <w:tc>
          <w:tcPr>
            <w:tcW w:w="22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1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8.1 - 8.9</w:t>
            </w:r>
          </w:p>
        </w:tc>
        <w:tc>
          <w:tcPr>
            <w:tcW w:w="22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120" w:type="dxa"/>
            <w:vAlign w:val="bottom"/>
          </w:tcPr>
          <w:p>
            <w:pPr>
              <w:spacing w:after="0"/>
              <w:rPr>
                <w:sz w:val="17"/>
                <w:szCs w:val="17"/>
                <w:color w:val="auto"/>
              </w:rPr>
            </w:pPr>
          </w:p>
        </w:tc>
        <w:tc>
          <w:tcPr>
            <w:tcW w:w="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 %</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73.8% - 79.2%</w:t>
            </w:r>
          </w:p>
        </w:tc>
        <w:tc>
          <w:tcPr>
            <w:tcW w:w="22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1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 %</w:t>
            </w: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0.0 %</w:t>
            </w: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risk-free interest rate used is the rate for a U.S. Treasury zero coupon issue with a term consistent with the remaining contractual term of the warrant on the date of measurement. The Company has not paid, and does not expect to pay, any cash dividends in the foreseeable future. The Company based the expected term assumption on the actual remaining contractual term of the respective warrants as of the date of measurement. The expected volatility is based on historical volatilities from guideline companies since there is no active market for the Company’s common stock. The fair value on the date of measurement of the Series A preferred stock, the underlying instrument, was estimated by management with the assistance of a third-party valuation specialist.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5. Property and equipment, net</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68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6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w w:val="99"/>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680" w:type="dxa"/>
            <w:vAlign w:val="bottom"/>
          </w:tcPr>
          <w:p>
            <w:pPr>
              <w:spacing w:after="0"/>
              <w:rPr>
                <w:sz w:val="17"/>
                <w:szCs w:val="17"/>
                <w:color w:val="auto"/>
              </w:rPr>
            </w:pP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1100" w:type="dxa"/>
            <w:vAlign w:val="bottom"/>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808</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1100" w:type="dxa"/>
            <w:vAlign w:val="bottom"/>
          </w:tcPr>
          <w:p>
            <w:pPr>
              <w:spacing w:after="0"/>
              <w:rPr>
                <w:sz w:val="17"/>
                <w:szCs w:val="17"/>
                <w:color w:val="auto"/>
              </w:rPr>
            </w:pPr>
          </w:p>
        </w:tc>
        <w:tc>
          <w:tcPr>
            <w:tcW w:w="520" w:type="dxa"/>
            <w:vAlign w:val="bottom"/>
          </w:tcPr>
          <w:p>
            <w:pPr>
              <w:ind w:left="34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100" w:type="dxa"/>
            <w:vAlign w:val="bottom"/>
            <w:shd w:val="clear" w:color="auto" w:fill="CFF0FC"/>
          </w:tcPr>
          <w:p>
            <w:pPr>
              <w:spacing w:after="0"/>
              <w:rPr>
                <w:sz w:val="17"/>
                <w:szCs w:val="17"/>
                <w:color w:val="auto"/>
              </w:rPr>
            </w:pPr>
          </w:p>
        </w:tc>
        <w:tc>
          <w:tcPr>
            <w:tcW w:w="52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100" w:type="dxa"/>
            <w:vAlign w:val="bottom"/>
            <w:shd w:val="clear" w:color="auto" w:fill="CFF0FC"/>
          </w:tcPr>
          <w:p>
            <w:pPr>
              <w:spacing w:after="0"/>
              <w:rPr>
                <w:sz w:val="17"/>
                <w:szCs w:val="17"/>
                <w:color w:val="auto"/>
              </w:rPr>
            </w:pPr>
          </w:p>
        </w:tc>
        <w:tc>
          <w:tcPr>
            <w:tcW w:w="52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955</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1100" w:type="dxa"/>
            <w:vAlign w:val="bottom"/>
          </w:tcPr>
          <w:p>
            <w:pPr>
              <w:spacing w:after="0"/>
              <w:rPr>
                <w:sz w:val="17"/>
                <w:szCs w:val="17"/>
                <w:color w:val="auto"/>
              </w:rPr>
            </w:pPr>
          </w:p>
        </w:tc>
        <w:tc>
          <w:tcPr>
            <w:tcW w:w="520" w:type="dxa"/>
            <w:vAlign w:val="bottom"/>
          </w:tcPr>
          <w:p>
            <w:pPr>
              <w:ind w:left="34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(661 )</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1100" w:type="dxa"/>
            <w:vAlign w:val="bottom"/>
            <w:tcBorders>
              <w:top w:val="single" w:sz="8" w:color="auto"/>
              <w:bottom w:val="single" w:sz="8" w:color="auto"/>
            </w:tcBorders>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ind w:left="340"/>
              <w:spacing w:after="0" w:line="196" w:lineRule="exact"/>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Depreciation expense for the years ended December 31, 2021 and 2020 was approximately $0.2 million and $0.3 million, respectively. The Company also recorded a gain on sale of property and equipment of $0.3 million for the year ended December 31, 2021, of which $0.2 million was recorded to research and development expense and $0.1 million was recorded to general and administrative expense in the accompanying consolidated statement of operations and comprehensive loss. As of December 31, 2021, all fixed assets of the Company have been sold or disposed.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9"/>
              </w:rPr>
              <w:t>December 31,</w:t>
            </w:r>
          </w:p>
        </w:tc>
        <w:tc>
          <w:tcPr>
            <w:tcW w:w="1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7680" w:type="dxa"/>
            <w:vAlign w:val="bottom"/>
          </w:tcPr>
          <w:p>
            <w:pPr>
              <w:spacing w:after="0"/>
              <w:rPr>
                <w:sz w:val="17"/>
                <w:szCs w:val="17"/>
                <w:color w:val="auto"/>
              </w:rPr>
            </w:pP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2020</w:t>
            </w:r>
          </w:p>
        </w:tc>
        <w:tc>
          <w:tcPr>
            <w:tcW w:w="6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external research and development</w:t>
            </w:r>
          </w:p>
        </w:tc>
        <w:tc>
          <w:tcPr>
            <w:tcW w:w="1100" w:type="dxa"/>
            <w:vAlign w:val="bottom"/>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4,031</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3,136</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payroll and benefits</w:t>
            </w:r>
          </w:p>
        </w:tc>
        <w:tc>
          <w:tcPr>
            <w:tcW w:w="1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2,603</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11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691</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interest</w:t>
            </w:r>
          </w:p>
        </w:tc>
        <w:tc>
          <w:tcPr>
            <w:tcW w:w="1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437</w:t>
            </w:r>
          </w:p>
        </w:tc>
        <w:tc>
          <w:tcPr>
            <w:tcW w:w="6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other</w:t>
            </w:r>
          </w:p>
        </w:tc>
        <w:tc>
          <w:tcPr>
            <w:tcW w:w="11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100" w:type="dxa"/>
            <w:vAlign w:val="bottom"/>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6,884</w:t>
            </w:r>
          </w:p>
        </w:tc>
        <w:tc>
          <w:tcPr>
            <w:tcW w:w="760" w:type="dxa"/>
            <w:vAlign w:val="bottom"/>
            <w:gridSpan w:val="2"/>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5,810</w:t>
            </w:r>
          </w:p>
        </w:tc>
        <w:tc>
          <w:tcPr>
            <w:tcW w:w="6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-159385</wp:posOffset>
            </wp:positionV>
            <wp:extent cx="4318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Corporate restructuring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5" w:name="page126"/>
    <w:bookmarkEnd w:id="125"/>
    <w:p>
      <w:pPr>
        <w:jc w:val="both"/>
        <w:spacing w:after="0" w:line="239" w:lineRule="auto"/>
        <w:rPr>
          <w:sz w:val="20"/>
          <w:szCs w:val="20"/>
          <w:color w:val="auto"/>
        </w:rPr>
      </w:pPr>
      <w:r>
        <w:rPr>
          <w:rFonts w:ascii="Arial" w:cs="Arial" w:eastAsia="Arial" w:hAnsi="Arial"/>
          <w:sz w:val="18"/>
          <w:szCs w:val="18"/>
          <w:color w:val="auto"/>
        </w:rPr>
        <w:t>In October 2021, the Company announced a restructuring plan that resulted in a reduction of the Company’s workforce by 11 positions, or approximately 26% of the Company’s then workforce. A majority of these employees’ separation from the Company occurred in mid-October 2021, and the remaining affected employees transitioned by the end of 2021. As a result, the Company incurred costs of $1.4 million related to severance benefits for the affected employees, including severance payments, limited reimbursement of medical insurance premiums, outplacement services and other restructuring costs and expenses. Each affected employee’s eligibility for the severance benefits was contingent upon such employee’s execution (without revocation, as applicable) of a separation agreement, which includes a general release of claims against the Company. The restructuring plan was completed by the end of 2021.</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Of the $1.4 million in costs recognized related to the restructuring plan, $0.9 million and $0.5 million have been charged to research and development and general and administrative expenses, respectively, in the accompanying consolidated statement of operations and comprehensive loss for the year ended December 31, 2021. During the year ended December 31, 2021, the Company paid $0.5 million in severance benefits to separating employees related to the restructuring plan. At December 31, 2021, unpaid severance costs of $0.9 million are included in accrued expenses and other current liabilities in the accompanying consolidated balance sheet and are expected to be paid during the first quarter of 2022.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loan</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February 2019, the Company entered into a Term Loan facility of up to $10.0 million with SVB. The proceeds were used for general corporate and working capital purposes. Concurrent with the Term Loan, the Company issued SVB warrants to purchase 15,257 shares of the Company’s Series A preferred stock at an exercise price of $5.46 (see Note 3). As of December 31, 2021 and 2020, the Company had $5.4 million and $10.0 million, respectively, in principal outstanding under the Term Loan.</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Term Loan is governed by a loan and security agreement, entered into in February 2019, between the Company and SVB (the “SVB Loan Agreement”). The SVB Loan Agreement provided for two separate tranches under which the Company could borrow. In April 2019, the Company borrowed $7.5 million under the first tranche, and in December 2019, the Company borrowed $2.5 million under the second tranche.</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Term Loan initially matured in July 2022 and accrues interest at a floating rate per annum equal to the greater of 3.75% or the prime rate minus 1.5% (1.75% as of December 31, 2021). The Term Loan initially provided for monthly interest-only payments until July 2020. Thereafter, payments are payable in equal monthly installments of principal, plus all accrued and unpaid interest. The Company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April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occurred in February 2021. The required monthly interest-only payment was not impacted by the deferral. The Term Loan’s new maturity date is in January 2023. After considering the debt guidance in ASC 470, the Company concluded that it did not meet the indicators of a troubled debt restructuring and accounted for the deferral of principal payment as a debt modification. Since there were no fees paid to SVB in connection with the deferral agreement, the Company did not record any adjustments to the Company’s consolidated financial statements related to this deferral.</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December 31, 2021 and 2020, the Company had a liability related to the end of term charge of $0.4 million and $0.2 million, respectively, which has been classified within other long-term liabilities.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consolidated balance sheet in accordance with the repayment schedule as of December 31, 2021.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As of December 31, 2021, scheduled principal payments for the Term Loan are as follows (in thousands):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Ending December 31,</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8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1020" w:type="dxa"/>
            <w:vAlign w:val="bottom"/>
            <w:gridSpan w:val="2"/>
            <w:shd w:val="clear" w:color="auto" w:fill="CFF0FC"/>
          </w:tcPr>
          <w:p>
            <w:pPr>
              <w:jc w:val="right"/>
              <w:ind w:right="59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w:t>
            </w:r>
          </w:p>
        </w:tc>
        <w:tc>
          <w:tcPr>
            <w:tcW w:w="100" w:type="dxa"/>
            <w:vAlign w:val="bottom"/>
          </w:tcPr>
          <w:p>
            <w:pPr>
              <w:spacing w:after="0"/>
              <w:rPr>
                <w:sz w:val="17"/>
                <w:szCs w:val="17"/>
                <w:color w:val="auto"/>
              </w:rPr>
            </w:pPr>
          </w:p>
        </w:tc>
      </w:tr>
      <w:tr>
        <w:trPr>
          <w:trHeight w:val="196"/>
        </w:trPr>
        <w:tc>
          <w:tcPr>
            <w:tcW w:w="8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principal</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5,417</w:t>
            </w:r>
          </w:p>
        </w:tc>
        <w:tc>
          <w:tcPr>
            <w:tcW w:w="10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Unamortized discounts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(13 )</w:t>
            </w:r>
          </w:p>
        </w:tc>
      </w:tr>
      <w:tr>
        <w:trPr>
          <w:trHeight w:val="196"/>
        </w:trPr>
        <w:tc>
          <w:tcPr>
            <w:tcW w:w="8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Carrying amount</w:t>
            </w:r>
          </w:p>
        </w:tc>
        <w:tc>
          <w:tcPr>
            <w:tcW w:w="24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5,404</w:t>
            </w:r>
          </w:p>
        </w:tc>
        <w:tc>
          <w:tcPr>
            <w:tcW w:w="10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(5,000 )</w:t>
            </w:r>
          </w:p>
        </w:tc>
      </w:tr>
      <w:tr>
        <w:trPr>
          <w:trHeight w:val="236"/>
        </w:trPr>
        <w:tc>
          <w:tcPr>
            <w:tcW w:w="8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portion</w:t>
            </w:r>
          </w:p>
        </w:tc>
        <w:tc>
          <w:tcPr>
            <w:tcW w:w="2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$0.5 million of interest expense related to the Term Loan during each of the years ended December 31, 2021 and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promissory notes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August 2020, Old Gemini entered into a purchase agreement with various investors to issue $14.0 million in convertible promissory notes (the “Notes”). The Notes accrued simple interest at 8% per annum. The Company determined that a beneficial conversion feature (“BCF”) existed and should be recognized on the issuance date. The Company recorded the Notes at the original issuance price, net of the BCF discount. The BCF discount was accreted to the face value of the Notes over the period from the issuance date until the maturity date, offset against interest expense.</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Notes served as a bridge loan prior to the PIPE Financing that was completed in connection with the closing of the Business Combination. The Notes were intended to automatically convert into shares of common stock issued in the PIPE Financing at a per share conversion price equal to the lowest per share price paid for such shares of common stock in the PIPE Financing.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 and the Notes liability was extinguished. The Company recorded a loss on conversion of convertible notes of $0.7 million for the difference between the reacquisition price of the Notes and the net carrying amount of the Notes in the consolidated statements of operations for the year ended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spacing w:after="0"/>
              <w:rPr>
                <w:sz w:val="20"/>
                <w:szCs w:val="20"/>
                <w:color w:val="auto"/>
              </w:rPr>
            </w:pPr>
            <w:r>
              <w:rPr>
                <w:rFonts w:ascii="Arial" w:cs="Arial" w:eastAsia="Arial" w:hAnsi="Arial"/>
                <w:sz w:val="18"/>
                <w:szCs w:val="18"/>
                <w:color w:val="auto"/>
              </w:rPr>
              <w:t>As of December 31, 2020, the carrying value of the Notes was as follows (in thousands):</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9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Principal amount</w:t>
            </w:r>
          </w:p>
        </w:tc>
        <w:tc>
          <w:tcPr>
            <w:tcW w:w="740" w:type="dxa"/>
            <w:vAlign w:val="bottom"/>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Unamortized discount (beneficial conversion feature)</w:t>
            </w:r>
          </w:p>
        </w:tc>
        <w:tc>
          <w:tcPr>
            <w:tcW w:w="74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(2,311 )</w:t>
            </w: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Carrying amount</w:t>
            </w:r>
          </w:p>
        </w:tc>
        <w:tc>
          <w:tcPr>
            <w:tcW w:w="7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11,689</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Less current portion</w:t>
            </w:r>
          </w:p>
        </w:tc>
        <w:tc>
          <w:tcPr>
            <w:tcW w:w="74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(11,689 )</w:t>
            </w:r>
          </w:p>
        </w:tc>
      </w:tr>
      <w:tr>
        <w:trPr>
          <w:trHeight w:val="236"/>
        </w:trPr>
        <w:tc>
          <w:tcPr>
            <w:tcW w:w="9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portion</w:t>
            </w:r>
          </w:p>
        </w:tc>
        <w:tc>
          <w:tcPr>
            <w:tcW w:w="740" w:type="dxa"/>
            <w:vAlign w:val="bottom"/>
            <w:tcBorders>
              <w:top w:val="single" w:sz="8" w:color="auto"/>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recognized $1.7 million and $6.3 million of interest expense related to the Notes during the years ended December 31, 2021 and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(deficit)</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The consolidated statement of stockholders’ equity (deficit) has been retroactively adjusted for all periods presented to reflect the Business Combination and reverse recapitalization as defined in Note 2,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Upon closing of the Business Combination and pursuant to the terms of the Amended and Restated Certificate of Incorporation entered into on February 5, 2021, the Company authorized 10,000,000 shares of preferred stock with a par value $0.0001 per share. The Company’s board of directors has the authority, without further action by the stockholders, to issue such shares of preferred stock in one or more series, to establish from time to time the number of shares to be included in each such series, and to fix the designations, powers, voting, and other rights, preferences and privileges of the shares. There were no issued and outstanding shares of preferred stock as of December 31,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7" w:name="page128"/>
    <w:bookmarkEnd w:id="127"/>
    <w:p>
      <w:pPr>
        <w:jc w:val="both"/>
        <w:spacing w:after="0" w:line="248" w:lineRule="auto"/>
        <w:rPr>
          <w:sz w:val="20"/>
          <w:szCs w:val="20"/>
          <w:color w:val="auto"/>
        </w:rPr>
      </w:pPr>
      <w:r>
        <w:rPr>
          <w:rFonts w:ascii="Arial" w:cs="Arial" w:eastAsia="Arial" w:hAnsi="Arial"/>
          <w:sz w:val="18"/>
          <w:szCs w:val="18"/>
          <w:color w:val="auto"/>
        </w:rPr>
        <w:t>In connection with the closing of the Business Combination, all previously issued and outstanding Series A convertible preferred stock and Series B convertible preferred stock were exchanged for common stock of the Company pursuant to the Conversion Ratio established in the Merger Agreement. All fractional shares were rounded down.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term of the Amended and Restated Certificate of Incorporation, the Company authorized 250,000,000 shares of common stock with a par value of $0.0001 per share.</w:t>
      </w:r>
    </w:p>
    <w:p>
      <w:pPr>
        <w:spacing w:after="0" w:line="17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 xml:space="preserve">As discussed in Note 2, </w:t>
      </w:r>
      <w:r>
        <w:rPr>
          <w:rFonts w:ascii="Arial" w:cs="Arial" w:eastAsia="Arial" w:hAnsi="Arial"/>
          <w:sz w:val="16"/>
          <w:szCs w:val="16"/>
          <w:i w:val="1"/>
          <w:iCs w:val="1"/>
          <w:color w:val="auto"/>
        </w:rPr>
        <w:t>Business Combination</w:t>
      </w:r>
      <w:r>
        <w:rPr>
          <w:rFonts w:ascii="Arial" w:cs="Arial" w:eastAsia="Arial" w:hAnsi="Arial"/>
          <w:sz w:val="16"/>
          <w:szCs w:val="16"/>
          <w:color w:val="auto"/>
        </w:rPr>
        <w:t>, the Company has retroactively adjusted the shares issued and outstanding prior to February 5, 2021 to give effect to the Conversion Ratio established in the Merger Agreement to determine the number of shares of common stock into which they were converted.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Common stockholders are entitled to receive dividends, as may be declared by the board of directors. No dividends have been declared to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Old Gemini Equity Incentive Plan</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Old Gemini’s 2017 Stock Option and Grant Plan, as amended (the “2017 Plan”), provided for the Company to grant qualified incentive options, nonqualified options, stock grants and other stock-based awards to employees and non-employees to purchase the Company’s common stock. The 2017 Plan was administered by the board of directors, or at the discretion of the board of directors, by a committee of the board of directors.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exercise price for incentive options was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under the 2017 Plan was determined at the discretion of the board of directors, which was generally four years. For awards granted to employees and non-employees with four-year vesting terms, 25% of the options vest on the first anniversary of the grant date and the remaining options vest equally each month for three years thereafter.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Upon completion of the Business Combination, the Company ceased granting awards under the 2017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Awards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Each Old Gemini option from the 2017 Plan and each option from Old Gemini’s 2015 Stock Option and Grant Plan (the “2015 Plan”) that was outstanding immediately prior to the Business Combination, whether vested or unvested, was converted into an option to purchase a number of shares of common stock (each such option, an "Exchanged Option”) equal to the product (rounded down to the nearest whole number) of (i) the number of shares of Old Gemini common stock subject to such Old Gemini option immediately prior to the Business Combination and (ii) the Conversion Ratio, at an exercise price per share (rounded up to the nearest whole cent) equal to (A) the exercise price per share of such Old Gemini option immediately prior to the consummation of the Business Combination, divided by (B) the Conversion Ratio. Each Exchanged Option will continue to be governed by the same terms and conditions (including vesting and exercisability terms) as were applicable to the corresponding former Old Gemini option immediately prior to the consummation of the Business Combination. All stock option activity was retroactively restated to reflect the Exchanged Options.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8" w:name="page129"/>
    <w:bookmarkEnd w:id="128"/>
    <w:p>
      <w:pPr>
        <w:jc w:val="both"/>
        <w:spacing w:after="0" w:line="270" w:lineRule="auto"/>
        <w:rPr>
          <w:sz w:val="20"/>
          <w:szCs w:val="20"/>
          <w:color w:val="auto"/>
        </w:rPr>
      </w:pPr>
      <w:r>
        <w:rPr>
          <w:rFonts w:ascii="Arial" w:cs="Arial" w:eastAsia="Arial" w:hAnsi="Arial"/>
          <w:sz w:val="17"/>
          <w:szCs w:val="17"/>
          <w:color w:val="auto"/>
        </w:rPr>
        <w:t>As of the Closing Date, the 10,567,508 options and 163,157 restricted stock units (“RSUs”) outstanding under the 2017 Plan and 2015 Plan were converted into 2,303,309 options and 35,561 RSUs, respectively, upon completion of the Business Combination after the effect of the Conversion Ratio. This effect of the Conversion Ratio has been retroactively adjusted throughout the Company’s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Gemini Equity Incentive Plan</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February 2021, FSDC’s stockholders approved the 2021 Stock Option and Incentive Plan (the “2021 Plan”), pursuant to which 4,264,341 shares of common stock were reserved for issuance. The 2021 Plan provides for the Company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As of December 31, 2021, 229,804 shares remained available for future issuance under the 2021 Plan. The number of shares of common stock reserved for issuance under the 2021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Company’s board of directors. Subject to this provision, the Company added 1,728,326 shares available for grant to the 2021 Plan effective January 1, 2022.</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exercise price of each stock option granted under the 2021 Plan will be 100% of the fair market value of the underlying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Inducement Plan</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February 2021, the Company’s board of directors approved the 2021 Inducement Plan. The 2021 Inducement Plan is a non-stockholder approved stock plan under which the Company grants equity awards to induce highly-qualified prospective officers and employees who are not currently employed by the Company to accept employment and provide them with a proprietary interest in the Company. The Company intends that the 2021 Inducement Plan be reserved for persons to whom the Company may issue securities without stockholder approval as an inducement pursuant to Rule 5635(c)(4) of the Marketplace Rules of the NASDAQ Stock Market, Inc. The 2021 Inducement Plan is administered by the board of directors or the compensation committee of the board, which determines the types of awards to be granted, including the number of shares subject to the awards, the exercise price and the vesting schedule. Awards granted under the 2021 Inducement Plan expire no later than ten years from the date of grant. As of December 31, 2021, 766,949 shares were available for issuance under the 2021 Inducement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July 2021, the Company’s board of directors approved the 2021 Employee Stock Purchase Plan (“2021 ESPP”). The first offering period under the 2021 ESPP began on December 1, 2021. The Company has not yet issued any shares under the 2021 ESPP. The Company recorded $16 thousand of stock-based compensation expense related to the 2021 ESPP during the year ended December 31, 2021. As of December 31, 2021, 430,551 shares remained available for future issuance under the 2021 ESPP. The number of shares of common stock reserved for issuance under the 2021 ESPP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430,551 shares of common stock, or (c) such number of shares determined by the Company’s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i w:val="1"/>
          <w:iCs w:val="1"/>
          <w:color w:val="auto"/>
        </w:rPr>
        <w:t>Option valuation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that the Company used to determine the fair value of the stock options granted to employees and non-employees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Pr>
          <w:p>
            <w:pPr>
              <w:spacing w:after="0"/>
              <w:rPr>
                <w:sz w:val="18"/>
                <w:szCs w:val="18"/>
                <w:color w:val="auto"/>
              </w:rPr>
            </w:pPr>
          </w:p>
        </w:tc>
        <w:tc>
          <w:tcPr>
            <w:tcW w:w="3600" w:type="dxa"/>
            <w:vAlign w:val="bottom"/>
            <w:gridSpan w:val="4"/>
          </w:tcPr>
          <w:p>
            <w:pPr>
              <w:jc w:val="right"/>
              <w:ind w:right="960"/>
              <w:spacing w:after="0"/>
              <w:rPr>
                <w:sz w:val="20"/>
                <w:szCs w:val="20"/>
                <w:color w:val="auto"/>
              </w:rPr>
            </w:pPr>
            <w:r>
              <w:rPr>
                <w:rFonts w:ascii="Arial" w:cs="Arial" w:eastAsia="Arial" w:hAnsi="Arial"/>
                <w:sz w:val="18"/>
                <w:szCs w:val="18"/>
                <w:color w:val="auto"/>
              </w:rPr>
              <w:t>Year Ended December 31,</w:t>
            </w:r>
          </w:p>
        </w:tc>
      </w:tr>
      <w:tr>
        <w:trPr>
          <w:trHeight w:val="196"/>
        </w:trPr>
        <w:tc>
          <w:tcPr>
            <w:tcW w:w="764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2021</w:t>
            </w:r>
          </w:p>
        </w:tc>
        <w:tc>
          <w:tcPr>
            <w:tcW w:w="42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ind w:left="540"/>
              <w:spacing w:after="0" w:line="196"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0.6% - 1.4%</w:t>
            </w:r>
          </w:p>
        </w:tc>
        <w:tc>
          <w:tcPr>
            <w:tcW w:w="420" w:type="dxa"/>
            <w:vAlign w:val="bottom"/>
            <w:shd w:val="clear" w:color="auto" w:fill="CFF0FC"/>
          </w:tcPr>
          <w:p>
            <w:pPr>
              <w:spacing w:after="0"/>
              <w:rPr>
                <w:sz w:val="17"/>
                <w:szCs w:val="17"/>
                <w:color w:val="auto"/>
              </w:rPr>
            </w:pPr>
          </w:p>
        </w:tc>
        <w:tc>
          <w:tcPr>
            <w:tcW w:w="1460" w:type="dxa"/>
            <w:vAlign w:val="bottom"/>
            <w:shd w:val="clear" w:color="auto" w:fill="CFF0FC"/>
          </w:tcPr>
          <w:p>
            <w:pPr>
              <w:ind w:left="540"/>
              <w:spacing w:after="0" w:line="196" w:lineRule="exact"/>
              <w:rPr>
                <w:sz w:val="20"/>
                <w:szCs w:val="20"/>
                <w:color w:val="auto"/>
              </w:rPr>
            </w:pPr>
            <w:r>
              <w:rPr>
                <w:rFonts w:ascii="Arial" w:cs="Arial" w:eastAsia="Arial" w:hAnsi="Arial"/>
                <w:sz w:val="18"/>
                <w:szCs w:val="18"/>
                <w:color w:val="auto"/>
                <w:w w:val="91"/>
              </w:rPr>
              <w:t>0.4% - 0.7%</w:t>
            </w:r>
          </w:p>
        </w:tc>
        <w:tc>
          <w:tcPr>
            <w:tcW w:w="22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Expected term</w:t>
            </w:r>
          </w:p>
        </w:tc>
        <w:tc>
          <w:tcPr>
            <w:tcW w:w="1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5.3 - 6.1 years</w:t>
            </w:r>
          </w:p>
        </w:tc>
        <w:tc>
          <w:tcPr>
            <w:tcW w:w="16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5.5 - 6.1 years</w:t>
            </w: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9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79 %</w:t>
            </w: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79 %</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1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Through December 31, 2021, all options granted by the Company are for the purchase of shares of common stock. The following table summarizes option activity since December 31,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72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Number of</w:t>
            </w:r>
          </w:p>
        </w:tc>
        <w:tc>
          <w:tcPr>
            <w:tcW w:w="180" w:type="dxa"/>
            <w:vAlign w:val="bottom"/>
          </w:tcPr>
          <w:p>
            <w:pPr>
              <w:spacing w:after="0"/>
              <w:rPr>
                <w:sz w:val="15"/>
                <w:szCs w:val="15"/>
                <w:color w:val="auto"/>
              </w:rPr>
            </w:pPr>
          </w:p>
        </w:tc>
        <w:tc>
          <w:tcPr>
            <w:tcW w:w="13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1"/>
              </w:rPr>
              <w:t>remaining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ind w:right="270"/>
              <w:spacing w:after="0"/>
              <w:rPr>
                <w:sz w:val="20"/>
                <w:szCs w:val="20"/>
                <w:color w:val="auto"/>
              </w:rPr>
            </w:pPr>
            <w:r>
              <w:rPr>
                <w:rFonts w:ascii="Arial" w:cs="Arial" w:eastAsia="Arial" w:hAnsi="Arial"/>
                <w:sz w:val="18"/>
                <w:szCs w:val="18"/>
                <w:color w:val="auto"/>
              </w:rPr>
              <w:t>Aggregate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exercise price</w:t>
            </w:r>
          </w:p>
        </w:tc>
        <w:tc>
          <w:tcPr>
            <w:tcW w:w="2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0"/>
              </w:rPr>
              <w:t>contractual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86"/>
              </w:rPr>
              <w:t>per share</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term</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7"/>
              </w:rPr>
              <w:t>intrinsic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(in years)</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2"/>
              </w:rPr>
              <w:t>(in thousands)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Outstanding at December 31, 2020</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2,316,899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5,057,146</w:t>
            </w:r>
          </w:p>
        </w:tc>
        <w:tc>
          <w:tcPr>
            <w:tcW w:w="2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11.99</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(208,890 )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0"/>
              <w:spacing w:after="0" w:line="202" w:lineRule="exact"/>
              <w:rPr>
                <w:sz w:val="20"/>
                <w:szCs w:val="20"/>
                <w:color w:val="auto"/>
              </w:rPr>
            </w:pPr>
            <w:r>
              <w:rPr>
                <w:rFonts w:ascii="Arial" w:cs="Arial" w:eastAsia="Arial" w:hAnsi="Arial"/>
                <w:sz w:val="18"/>
                <w:szCs w:val="18"/>
                <w:color w:val="auto"/>
              </w:rPr>
              <w:t>Forfeited and expired</w:t>
            </w:r>
          </w:p>
        </w:tc>
        <w:tc>
          <w:tcPr>
            <w:tcW w:w="1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(2,095,996 )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10.20</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December 31, 2021</w:t>
            </w:r>
          </w:p>
        </w:tc>
        <w:tc>
          <w:tcPr>
            <w:tcW w:w="1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5,069,159</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9.52</w:t>
            </w:r>
          </w:p>
        </w:tc>
        <w:tc>
          <w:tcPr>
            <w:tcW w:w="16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8.9</w:t>
            </w:r>
          </w:p>
        </w:tc>
        <w:tc>
          <w:tcPr>
            <w:tcW w:w="38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734</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line="182" w:lineRule="exact"/>
              <w:rPr>
                <w:sz w:val="20"/>
                <w:szCs w:val="20"/>
                <w:color w:val="auto"/>
              </w:rPr>
            </w:pPr>
            <w:r>
              <w:rPr>
                <w:rFonts w:ascii="Arial" w:cs="Arial" w:eastAsia="Arial" w:hAnsi="Arial"/>
                <w:sz w:val="18"/>
                <w:szCs w:val="18"/>
                <w:color w:val="auto"/>
                <w:w w:val="96"/>
              </w:rPr>
              <w:t>Options vested and expected to vest at December 31, 2021</w:t>
            </w: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5,069,159</w:t>
            </w:r>
          </w:p>
        </w:tc>
        <w:tc>
          <w:tcPr>
            <w:tcW w:w="2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9.52</w:t>
            </w:r>
          </w:p>
        </w:tc>
        <w:tc>
          <w:tcPr>
            <w:tcW w:w="16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8.9</w:t>
            </w:r>
          </w:p>
        </w:tc>
        <w:tc>
          <w:tcPr>
            <w:tcW w:w="38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734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Options vested and exercisable at December 31, 2021</w:t>
            </w: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750,918</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3.88</w:t>
            </w:r>
          </w:p>
        </w:tc>
        <w:tc>
          <w:tcPr>
            <w:tcW w:w="16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7.7</w:t>
            </w:r>
          </w:p>
        </w:tc>
        <w:tc>
          <w:tcPr>
            <w:tcW w:w="38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-334010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-316865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-25400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during the years ended December 31, 2021 and 2020 was $0.9 million and $1.9 million, respectively.</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weighted average grant date fair value per share of options granted during the years ended December 31, 2021 and 2020 was $8.13 and $4.40,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vested during the years ended December 31, 2021 and 2020 was $1.7 million and $0.6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terms of the restricted stock units agreements covering the common stock, shares of common stock related to restricted stock units are subject to time-based and performance-based vesting. The restricted stock units will immediately be forfeited to the Company if the relationship between the recipient and the Company ceases.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color w:val="auto"/>
                <w:w w:val="98"/>
              </w:rPr>
              <w:t>The following table summarizes the Company’s restricted stock activity since December 31, 2020:</w:t>
            </w: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680" w:type="dxa"/>
            <w:vAlign w:val="bottom"/>
          </w:tcPr>
          <w:p>
            <w:pPr>
              <w:spacing w:after="0"/>
              <w:rPr>
                <w:sz w:val="24"/>
                <w:szCs w:val="24"/>
                <w:color w:val="auto"/>
              </w:rPr>
            </w:pPr>
          </w:p>
        </w:tc>
        <w:tc>
          <w:tcPr>
            <w:tcW w:w="188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Number of</w:t>
            </w:r>
          </w:p>
        </w:tc>
        <w:tc>
          <w:tcPr>
            <w:tcW w:w="200" w:type="dxa"/>
            <w:vAlign w:val="bottom"/>
          </w:tcPr>
          <w:p>
            <w:pPr>
              <w:spacing w:after="0"/>
              <w:rPr>
                <w:sz w:val="24"/>
                <w:szCs w:val="24"/>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89"/>
              </w:rPr>
              <w:t>Weighted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6"/>
              </w:rPr>
              <w:t>average grant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91"/>
              </w:rPr>
              <w:t>date fair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at December 31, 2020</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35,568</w:t>
            </w: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1,333,762</w:t>
            </w:r>
          </w:p>
        </w:tc>
        <w:tc>
          <w:tcPr>
            <w:tcW w:w="2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w:t>
            </w:r>
          </w:p>
        </w:tc>
        <w:tc>
          <w:tcPr>
            <w:tcW w:w="18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(85,680 )</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Vested</w:t>
            </w:r>
          </w:p>
        </w:tc>
        <w:tc>
          <w:tcPr>
            <w:tcW w:w="1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(35,568 )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Unvested at December 31, 2021</w:t>
            </w:r>
          </w:p>
        </w:tc>
        <w:tc>
          <w:tcPr>
            <w:tcW w:w="16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1,248,082</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3.56</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aggregate fair value of restricted stock units that vested during the years ended December 31, 2021 and 2020 was $31 thousand and $0.4 million, respectively.</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recorded stock-based compensation expense for restricted stock of $38 thousand and $30 thousand during the years ended December 31, 2021 and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consolidated statements of operations and comprehensive loss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8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Year Ended December 31,</w:t>
            </w:r>
          </w:p>
        </w:tc>
        <w:tc>
          <w:tcPr>
            <w:tcW w:w="4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7680" w:type="dxa"/>
            <w:vAlign w:val="bottom"/>
          </w:tcPr>
          <w:p>
            <w:pPr>
              <w:spacing w:after="0"/>
              <w:rPr>
                <w:sz w:val="17"/>
                <w:szCs w:val="17"/>
                <w:color w:val="auto"/>
              </w:rPr>
            </w:pPr>
          </w:p>
        </w:tc>
        <w:tc>
          <w:tcPr>
            <w:tcW w:w="11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2021</w:t>
            </w:r>
          </w:p>
        </w:tc>
        <w:tc>
          <w:tcPr>
            <w:tcW w:w="520" w:type="dxa"/>
            <w:vAlign w:val="bottom"/>
          </w:tcPr>
          <w:p>
            <w:pPr>
              <w:spacing w:after="0"/>
              <w:rPr>
                <w:sz w:val="17"/>
                <w:szCs w:val="17"/>
                <w:color w:val="auto"/>
              </w:rPr>
            </w:pPr>
          </w:p>
        </w:tc>
        <w:tc>
          <w:tcPr>
            <w:tcW w:w="14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2020</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100" w:type="dxa"/>
            <w:vAlign w:val="bottom"/>
            <w:tcBorders>
              <w:top w:val="single" w:sz="8" w:color="auto"/>
            </w:tcBorders>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2,575</w:t>
            </w:r>
          </w:p>
        </w:tc>
        <w:tc>
          <w:tcPr>
            <w:tcW w:w="26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ind w:right="97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306</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5,212</w:t>
            </w:r>
          </w:p>
        </w:tc>
        <w:tc>
          <w:tcPr>
            <w:tcW w:w="2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677</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7,787</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7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total unrecognized compensation cost related to the unvested stock-based awards was $24.7 million, which is expected to be recognized over a weighted average period of 3.0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16"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For the years ended December 31, 2021 and 2020, the Company recorded no income tax benefit for the net operating losses incurred in each year, due to the uncertainty of realizing a benefit from those items and recorded a full valuation allowance on its net deferred tax assets.</w:t>
      </w:r>
    </w:p>
    <w:p>
      <w:pPr>
        <w:spacing w:after="0" w:line="1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reconciliation of income taxes computed using the statutory federal tax rate to the Company’s effective income tax rate as of December 31, 2021 and 2020 are as follows:</w:t>
      </w:r>
    </w:p>
    <w:p>
      <w:pPr>
        <w:spacing w:after="0" w:line="142"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Year Ended</w:t>
      </w:r>
    </w:p>
    <w:p>
      <w:pPr>
        <w:jc w:val="center"/>
        <w:ind w:left="7280"/>
        <w:spacing w:after="0" w:line="232" w:lineRule="auto"/>
        <w:rPr>
          <w:sz w:val="20"/>
          <w:szCs w:val="20"/>
          <w:color w:val="auto"/>
        </w:rPr>
      </w:pPr>
      <w:r>
        <w:rPr>
          <w:rFonts w:ascii="Arial" w:cs="Arial" w:eastAsia="Arial" w:hAnsi="Arial"/>
          <w:sz w:val="18"/>
          <w:szCs w:val="18"/>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4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2020</w:t>
            </w:r>
          </w:p>
        </w:tc>
        <w:tc>
          <w:tcPr>
            <w:tcW w:w="320" w:type="dxa"/>
            <w:vAlign w:val="bottom"/>
          </w:tcPr>
          <w:p>
            <w:pPr>
              <w:spacing w:after="0"/>
              <w:rPr>
                <w:sz w:val="17"/>
                <w:szCs w:val="17"/>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federal statutory income tax rate</w:t>
            </w:r>
          </w:p>
        </w:tc>
        <w:tc>
          <w:tcPr>
            <w:tcW w:w="9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52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87"/>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2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8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State and local taxes, net of federal benefit</w:t>
            </w:r>
          </w:p>
        </w:tc>
        <w:tc>
          <w:tcPr>
            <w:tcW w:w="96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4.8 %</w:t>
            </w:r>
          </w:p>
        </w:tc>
        <w:tc>
          <w:tcPr>
            <w:tcW w:w="17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5.4 %</w:t>
            </w:r>
          </w:p>
        </w:tc>
      </w:tr>
      <w:tr>
        <w:trPr>
          <w:trHeight w:val="203"/>
        </w:trPr>
        <w:tc>
          <w:tcPr>
            <w:tcW w:w="85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 credits</w:t>
            </w:r>
          </w:p>
        </w:tc>
        <w:tc>
          <w:tcPr>
            <w:tcW w:w="96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2.9 %</w:t>
            </w:r>
          </w:p>
        </w:tc>
        <w:tc>
          <w:tcPr>
            <w:tcW w:w="17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3.0 %</w:t>
            </w:r>
          </w:p>
        </w:tc>
      </w:tr>
      <w:tr>
        <w:trPr>
          <w:trHeight w:val="203"/>
        </w:trPr>
        <w:tc>
          <w:tcPr>
            <w:tcW w:w="8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w:t>
            </w:r>
          </w:p>
        </w:tc>
        <w:tc>
          <w:tcPr>
            <w:tcW w:w="96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0.3 %</w:t>
            </w:r>
          </w:p>
        </w:tc>
        <w:tc>
          <w:tcPr>
            <w:tcW w:w="17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0.3 %</w:t>
            </w:r>
          </w:p>
        </w:tc>
      </w:tr>
      <w:tr>
        <w:trPr>
          <w:trHeight w:val="203"/>
        </w:trPr>
        <w:tc>
          <w:tcPr>
            <w:tcW w:w="7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94"/>
              </w:rPr>
              <w:t>(29.0 )%</w:t>
            </w:r>
          </w:p>
        </w:tc>
        <w:tc>
          <w:tcPr>
            <w:tcW w:w="17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(29.7 )%</w:t>
            </w:r>
          </w:p>
        </w:tc>
      </w:tr>
      <w:tr>
        <w:trPr>
          <w:trHeight w:val="20"/>
        </w:trPr>
        <w:tc>
          <w:tcPr>
            <w:tcW w:w="76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96"/>
        </w:trPr>
        <w:tc>
          <w:tcPr>
            <w:tcW w:w="7620" w:type="dxa"/>
            <w:vAlign w:val="bottom"/>
          </w:tcPr>
          <w:p>
            <w:pPr>
              <w:ind w:left="20"/>
              <w:spacing w:after="0" w:line="196" w:lineRule="exact"/>
              <w:rPr>
                <w:sz w:val="20"/>
                <w:szCs w:val="20"/>
                <w:color w:val="auto"/>
              </w:rPr>
            </w:pPr>
            <w:r>
              <w:rPr>
                <w:rFonts w:ascii="Arial" w:cs="Arial" w:eastAsia="Arial" w:hAnsi="Arial"/>
                <w:sz w:val="18"/>
                <w:szCs w:val="18"/>
                <w:color w:val="auto"/>
              </w:rPr>
              <w:t>Effective income tax rate</w:t>
            </w:r>
          </w:p>
        </w:tc>
        <w:tc>
          <w:tcPr>
            <w:tcW w:w="960" w:type="dxa"/>
            <w:vAlign w:val="bottom"/>
          </w:tcPr>
          <w:p>
            <w:pPr>
              <w:spacing w:after="0"/>
              <w:rPr>
                <w:sz w:val="17"/>
                <w:szCs w:val="17"/>
                <w:color w:val="auto"/>
              </w:rPr>
            </w:pPr>
          </w:p>
        </w:tc>
        <w:tc>
          <w:tcPr>
            <w:tcW w:w="960" w:type="dxa"/>
            <w:vAlign w:val="bottom"/>
            <w:gridSpan w:val="2"/>
          </w:tcPr>
          <w:p>
            <w:pPr>
              <w:jc w:val="right"/>
              <w:ind w:right="270"/>
              <w:spacing w:after="0" w:line="196" w:lineRule="exact"/>
              <w:rPr>
                <w:sz w:val="20"/>
                <w:szCs w:val="20"/>
                <w:color w:val="auto"/>
              </w:rPr>
            </w:pPr>
            <w:r>
              <w:rPr>
                <w:rFonts w:ascii="Arial" w:cs="Arial" w:eastAsia="Arial" w:hAnsi="Arial"/>
                <w:sz w:val="18"/>
                <w:szCs w:val="18"/>
                <w:color w:val="auto"/>
              </w:rPr>
              <w:t>0.0 %</w:t>
            </w:r>
          </w:p>
        </w:tc>
        <w:tc>
          <w:tcPr>
            <w:tcW w:w="17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0.0 %</w:t>
            </w:r>
          </w:p>
        </w:tc>
      </w:tr>
      <w:tr>
        <w:trPr>
          <w:trHeight w:val="20"/>
        </w:trPr>
        <w:tc>
          <w:tcPr>
            <w:tcW w:w="7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615"/>
        </w:trPr>
        <w:tc>
          <w:tcPr>
            <w:tcW w:w="8580" w:type="dxa"/>
            <w:vAlign w:val="bottom"/>
            <w:gridSpan w:val="2"/>
          </w:tcPr>
          <w:p>
            <w:pPr>
              <w:ind w:left="5460"/>
              <w:spacing w:after="0"/>
              <w:rPr>
                <w:sz w:val="20"/>
                <w:szCs w:val="20"/>
                <w:color w:val="auto"/>
              </w:rPr>
            </w:pPr>
            <w:r>
              <w:rPr>
                <w:rFonts w:ascii="Arial" w:cs="Arial" w:eastAsia="Arial" w:hAnsi="Arial"/>
                <w:sz w:val="18"/>
                <w:szCs w:val="18"/>
                <w:color w:val="auto"/>
              </w:rPr>
              <w:t>F-24</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88"/>
        </w:trPr>
        <w:tc>
          <w:tcPr>
            <w:tcW w:w="76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-630555</wp:posOffset>
            </wp:positionV>
            <wp:extent cx="21463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-630555</wp:posOffset>
            </wp:positionV>
            <wp:extent cx="20574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The tax effects of temporary differences that gave rise to significant portions of the deferred tax assets were as follows (in thousands):</w:t>
      </w:r>
    </w:p>
    <w:p>
      <w:pPr>
        <w:spacing w:after="0" w:line="18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Year Ended</w:t>
      </w:r>
    </w:p>
    <w:p>
      <w:pPr>
        <w:jc w:val="center"/>
        <w:ind w:left="7540"/>
        <w:spacing w:after="0" w:line="232" w:lineRule="auto"/>
        <w:rPr>
          <w:sz w:val="20"/>
          <w:szCs w:val="20"/>
          <w:color w:val="auto"/>
        </w:rPr>
      </w:pPr>
      <w:r>
        <w:rPr>
          <w:rFonts w:ascii="Arial" w:cs="Arial" w:eastAsia="Arial" w:hAnsi="Arial"/>
          <w:sz w:val="18"/>
          <w:szCs w:val="18"/>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6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1020" w:type="dxa"/>
            <w:vAlign w:val="bottom"/>
          </w:tcPr>
          <w:p>
            <w:pPr>
              <w:jc w:val="right"/>
              <w:ind w:right="83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43,542</w:t>
            </w:r>
          </w:p>
        </w:tc>
        <w:tc>
          <w:tcPr>
            <w:tcW w:w="28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27,469</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 credits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5,938</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3,866</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Other temporary differences</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2,772</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681</w:t>
            </w:r>
          </w:p>
        </w:tc>
        <w:tc>
          <w:tcPr>
            <w:tcW w:w="100" w:type="dxa"/>
            <w:vAlign w:val="bottom"/>
          </w:tcPr>
          <w:p>
            <w:pPr>
              <w:spacing w:after="0"/>
              <w:rPr>
                <w:sz w:val="17"/>
                <w:szCs w:val="17"/>
                <w:color w:val="auto"/>
              </w:rPr>
            </w:pPr>
          </w:p>
        </w:tc>
      </w:tr>
      <w:tr>
        <w:trPr>
          <w:trHeight w:val="19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deferred tax assets</w:t>
            </w: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52,252</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32,016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w:t>
            </w:r>
          </w:p>
        </w:tc>
        <w:tc>
          <w:tcPr>
            <w:tcW w:w="10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7"/>
                <w:szCs w:val="17"/>
                <w:color w:val="auto"/>
              </w:rPr>
            </w:pPr>
          </w:p>
        </w:tc>
        <w:tc>
          <w:tcPr>
            <w:tcW w:w="8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Debt discount</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(609 )</w:t>
            </w:r>
          </w:p>
        </w:tc>
      </w:tr>
      <w:tr>
        <w:trPr>
          <w:trHeight w:val="20"/>
        </w:trPr>
        <w:tc>
          <w:tcPr>
            <w:tcW w:w="76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Gross deferred tax liabilities</w:t>
            </w:r>
          </w:p>
        </w:tc>
        <w:tc>
          <w:tcPr>
            <w:tcW w:w="10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(609 )</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tax assets</w:t>
            </w:r>
          </w:p>
        </w:tc>
        <w:tc>
          <w:tcPr>
            <w:tcW w:w="10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52,252</w:t>
            </w:r>
          </w:p>
        </w:tc>
        <w:tc>
          <w:tcPr>
            <w:tcW w:w="2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31,407</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102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1"/>
              </w:rPr>
              <w:t>(52,252 )</w:t>
            </w:r>
          </w:p>
        </w:tc>
        <w:tc>
          <w:tcPr>
            <w:tcW w:w="36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(31,407 )</w:t>
            </w: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tax assets</w:t>
            </w:r>
          </w:p>
        </w:tc>
        <w:tc>
          <w:tcPr>
            <w:tcW w:w="1020" w:type="dxa"/>
            <w:vAlign w:val="bottom"/>
            <w:tcBorders>
              <w:top w:val="single" w:sz="8" w:color="auto"/>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-1085215</wp:posOffset>
            </wp:positionV>
            <wp:extent cx="6032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-1085215</wp:posOffset>
            </wp:positionV>
            <wp:extent cx="5969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-561975</wp:posOffset>
            </wp:positionV>
            <wp:extent cx="6032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-561975</wp:posOffset>
            </wp:positionV>
            <wp:extent cx="5969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03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net deferred income tax assets will not be realized. As such, there is a full valuation allowance against the net deferred tax assets as of December 31, 2021 and 2020. The valuation allowance increased by $20.8 million during the year ended December 31, 2021 and $9.9 million during the year ended December 31, 2020 primarily as a result of net operating losses generated during the periods. The Company reevaluates the positive and negative evidence at each reporting period.</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2021, the Company had federal net operating loss carryforwards of $7.6 million that are subject to expire at various dates through 2037, and net operating loss carryforwards of $156.5 million, which have no expiration date, can be carried forward indefinitely, and are limited to a deduction to 80% of annual taxable income. The Company has state tax net operating loss carryforwards of $143.1 million, which may be available to offset future income tax liabilities and expire at various dates through 2041 and net operating loss carryforwards of $1.0 million, which have no expiration date, can be carried forward indefinitely. The Company also has federal and state research and development tax credit carryforwards of $5.0 million and $1.2 million, respectively, which expire at various dates through 2041.</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of 1986, as amended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conducted a study to determine if any such changes have occurred that could limit its ability to use the net operating loss and tax credit carryforwards.</w:t>
      </w:r>
    </w:p>
    <w:p>
      <w:pPr>
        <w:spacing w:after="0" w:line="19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 study of research and development credit carryforwards, once undertaken by the Company, may result in an adjustment to its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consolidated balance sheet or consolidated statement of operations and comprehensive loss if an adjustment is required.</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not recorded any liabilities for unrecognized tax benefits as of December 31, 2021 and 2020. The Company will recognize interest and penalties related to uncertain tax positions in income tax expense. As of December 31, 2021 and 2020, the Company had no accrued interest or penalties related to uncertain tax positions.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2" w:name="page133"/>
    <w:bookmarkEnd w:id="132"/>
    <w:p>
      <w:pPr>
        <w:jc w:val="both"/>
        <w:spacing w:after="0" w:line="241" w:lineRule="auto"/>
        <w:rPr>
          <w:sz w:val="20"/>
          <w:szCs w:val="20"/>
          <w:color w:val="auto"/>
        </w:rPr>
      </w:pPr>
      <w:r>
        <w:rPr>
          <w:rFonts w:ascii="Arial" w:cs="Arial" w:eastAsia="Arial" w:hAnsi="Arial"/>
          <w:sz w:val="18"/>
          <w:szCs w:val="18"/>
          <w:color w:val="auto"/>
        </w:rPr>
        <w:t>The Company is subject to U.S. federal income tax and Massachusetts state income tax. The statute of limitations for assessment by the IRS and state tax authorities is open for the tax years since 2018; currently, no federal or state income tax returns are under examination by the respective taxing authorities. However, the federal and state tax returns are subject to tax examination from the year of formation to the present.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March 2020, the Coronavirus Aid, Relief and Economic Security Act (“CARES Act”) was passed by the U.S. Congress and signed into law by the President of the United States. The CARES Act, among other things, includes certain provisions for individuals and corporations; however, these benefits do not impact the company’s income tax provision.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a result of the Business Combination, the Company has retroactively restated the weighted average shares outstanding prior to February 5, 2021 to give effect to the Conversion Ratio.</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62"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(71,869</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(40,837</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Weighted average common shares outstanding, basic and diluted</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40,362,303</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15,115,129</w:t>
            </w:r>
          </w:p>
        </w:tc>
        <w:tc>
          <w:tcPr>
            <w:tcW w:w="10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-296545</wp:posOffset>
            </wp:positionV>
            <wp:extent cx="6032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unvested restricted common shares have been excluded from the computation of basic net loss per share attributable to common stockholders.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potentially dilutive securities, which include unvested restricted stock, common stock options outstanding and warrants to purchase shares of Series A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from the computation of diluted net loss per share attributable to common stockholders for the periods indicated because including them would have had an anti-dilutive effect:</w:t>
      </w:r>
    </w:p>
    <w:p>
      <w:pPr>
        <w:spacing w:after="0" w:line="181"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640" w:type="dxa"/>
            <w:vAlign w:val="bottom"/>
            <w:tcBorders>
              <w:top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860" w:type="dxa"/>
            <w:vAlign w:val="bottom"/>
            <w:tcBorders>
              <w:top w:val="single" w:sz="8" w:color="auto"/>
            </w:tcBorders>
            <w:gridSpan w:val="2"/>
          </w:tcPr>
          <w:p>
            <w:pPr>
              <w:jc w:val="right"/>
              <w:ind w:right="57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restricted stock</w:t>
            </w:r>
          </w:p>
        </w:tc>
        <w:tc>
          <w:tcPr>
            <w:tcW w:w="1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1,248,082</w:t>
            </w:r>
          </w:p>
        </w:tc>
        <w:tc>
          <w:tcPr>
            <w:tcW w:w="24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35,568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Common stock options outstanding</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5,069,159</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2,316,899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Warrants to purchase shares of Series A preferred stock (as converted to</w:t>
            </w:r>
          </w:p>
        </w:tc>
        <w:tc>
          <w:tcPr>
            <w:tcW w:w="1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14"/>
                <w:szCs w:val="14"/>
                <w:color w:val="auto"/>
              </w:rPr>
            </w:pPr>
          </w:p>
        </w:tc>
        <w:tc>
          <w:tcPr>
            <w:tcW w:w="1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common stock)</w:t>
            </w:r>
          </w:p>
        </w:tc>
        <w:tc>
          <w:tcPr>
            <w:tcW w:w="164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vMerge w:val="continue"/>
            <w:shd w:val="clear" w:color="auto" w:fill="CFF0FC"/>
          </w:tcPr>
          <w:p>
            <w:pPr>
              <w:spacing w:after="0"/>
              <w:rPr>
                <w:sz w:val="17"/>
                <w:szCs w:val="17"/>
                <w:color w:val="auto"/>
              </w:rPr>
            </w:pPr>
          </w:p>
        </w:tc>
        <w:tc>
          <w:tcPr>
            <w:tcW w:w="1620" w:type="dxa"/>
            <w:vAlign w:val="bottom"/>
            <w:tcBorders>
              <w:bottom w:val="single" w:sz="8" w:color="auto"/>
            </w:tcBorders>
            <w:vMerge w:val="continue"/>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6,317,241</w:t>
            </w:r>
          </w:p>
        </w:tc>
        <w:tc>
          <w:tcPr>
            <w:tcW w:w="1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2,367,724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-159385</wp:posOffset>
            </wp:positionV>
            <wp:extent cx="431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0" w:lineRule="exact"/>
        <w:rPr>
          <w:sz w:val="20"/>
          <w:szCs w:val="20"/>
          <w:color w:val="auto"/>
        </w:rPr>
      </w:pPr>
    </w:p>
    <w:p>
      <w:pPr>
        <w:ind w:right="8460" w:firstLine="8"/>
        <w:spacing w:after="0" w:line="487" w:lineRule="auto"/>
        <w:tabs>
          <w:tab w:leader="none" w:pos="27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Company’s long-term contractual obligations include commitments entered into in the normal course of business. The Company’s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 The Company also has commitments related to debt obligations, license agreements and other purchase obligations.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i w:val="1"/>
          <w:iCs w:val="1"/>
          <w:color w:val="auto"/>
        </w:rPr>
        <w:t>Lease agreements</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terminated its lease agreement on December 31, 2021 for its office and laboratory space. The lease required the Company to provide a security deposit in the amount of $0.2 million. The Company provided the landlord an irrevocable standby letter of credit in the name of the landlord for its security deposit and collateralized that letter of credit through its bank, which was included on the consolidated balance sheets as restricted cash as of December 31, 2021 and 2020. The Company was also required to pay certain operating costs. Rent expense for each of the years ended December 31, 2021 and 2020 was $1.0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April 2017, the Company entered into a Research Collaboration and License Agreement with Sanquin Blood Supply Foundation (“Sanquin”) (the “2017 License Agreement”) to develop antibodies that bind and enhance the activity of CFH. As consideration for the license, the Company paid a one-time, non-refundable upfront payment of $0.1 million.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On March 7, 2022, the Company entered into an amendment to the 2017 License Agreement (the “2022 Amendment”) to clarify that certain patent rights directed to CFH potentiating antibodies are jointly owned by the Company and Sanquin. Under the 2022 Amendment, Sanquin granted the Company an exclusive (even as to Sanquin) royalty-bearing license, with the right to sublicense through multiple tiers, to the portion of these patent rights owned by Sanquin. The consolidated financial statements as of December 31, 2021 and 2020 do not include liabilities with respect to this agreement as the Company has not yet generated revenue and the achievement of certain milestones is not deemed probable.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$0.1 million. In addition, an annual non-refundable, non-creditable development fee of $0.1 million is due on each anniversary date. The 2018 License Agreement includes additional consideration of $0.3 million contingent upon future commercialization of each licensed product. The consolidated financial statements as of December 31, 2021 and 2020 do not include a liability with respect to the additional consideration under this agreement as the Company has not yet generated revenue.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In October 2021, the Company terminated the 2019 License Agreement. As consideration for the license, the Company paid a one-time, non-refundable, non-creditable initial license fee of $0.1 million. In addition, an annual non-refundable, non-creditable development fee of $0.1 million is due on each anniversary date, beginning on the second anniversary date. The 2019 License Agreement included additional consideration of $0.4 million contingent upon future commercialization of each licensed product. The consolidated financial statements as of December 31, 2021 and 2020 do not include a liability with respect to the additional consideration under this agreement as the Company has not yet generated revenue.</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October 2018, the Company entered into a Master License Agreement with Avitide, Inc. (the “2018 Master License Agreement”) to license, on an exclusive basis, certain of Avitide’s affinity chromatography resins comprised of proprietary ligands for affinity purification of biopharmaceuticals. As consideration for the license, the Company paid an upfront license fee of $0.2 million. In addition, an annual license fee of $0.1 million is due on each anniversary date. The 2018 Master License Agreement includes additional consideration upon the achievement of certain development, commercial and sales milestones totaling up to $0.7 million, $2.2 million and $7.0 million, respectively. Finally, the Company is required to make royalty payments of 1.25% of net product sales if commercialization is achieved. The consolidated financial statements as of December 31, 2021 and 2020 do not include liabilities with respect to additional consideration under this agreement as the Company has not yet generated revenue and the achievement of certain milestones is not deemed probable.</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$0.1 million, whichever is greater) and other fees after certain milestones are reached. Certain milestone payments may be waived if Catalent manufactures &gt;50% of the total product required for the relevant clinical trial. The consolidated financial statements as of December 31, 2021 and 2020 do not include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color w:val="auto"/>
        </w:rPr>
        <w:t>liabilities with respect to this agreement as the Company has not yet generated revenue and the achievement of certain milestones is not deemed probable.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consolidated financial statements as of December 31, 2021 and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December 31, 2021 and 2020, the Company was not a party to any material legal matters or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Benefit plans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established a defined contribution savings plan under Section 401(k) of the Code. This plan covers substantially all employees who meet minimum age and service requirements and allows participants to defer a portion of their annual compensation on a pre-tax basis. Prior to 2019, matching contributions to the plan were made at the discretion of the Company’s management. Beginning in 2019, the Company provides matching contributions equal to fifty percent (50%) up to six percent (6%) of each participant’s salary. Employees are immediately and fully vested in the Company’s contribution. During the years ended December 31, 2021 and 2020, the Company contributed $0.2 million and $0.1 million to the plan,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engaged a firm managed by an executive of the Company for professional services related to accounting, finance and other administrative functions. For the year ended December 31, 2021, the costs incurred under this arrangement totaled $0.6 million, of which $0.1 million was recorded in stockholders’ equity (deficit) as a reduction to additional paid-in capital as a result of the Business Combination and $0.5 million was recorded as general and administrative expense in the consolidated statements of operations and comprehensive loss. For the year ended December 31, 2020, the costs incurred under this arrangement totaled $0.7 million, of which $0.7 million was capitalized as deferred offering costs associated with the business combination with FSDC and $44 thousand was recorded as general and administrative expense in the accompanying consolidated statements of operations and comprehensive loss. As of December 31, 2021 and 2020, amounts owed under this arrangement totaled $0 and $0.3 million, respectively, and is included in accounts payable in the accompanying consolidated balance sheet. The executive of the Company associated with this firm resigned from the Company in February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has evaluated subsequent events through the date of this Annual Report on Form 10-K to ensure that these consolidated financial statements include appropriate disclosure of events both recognized in the consolidated financial statements as of December 31, 2021, and events which occurred subsequently but were not recognized in the consolidated financial statements. The Company has concluded that no events or transactions have occurred that require disclosure in the accompanying consolidated financial statements, except as follows: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February 28, 2022, the Company announced a restructuring plan to reduce the Company's operations to preserve financial resources, resulting in a reduction of the Company’s workforce by up to 24 positions, or approximately 80%, by the end of the second quarter of 2022. As a result, the Company estimates that in total it will incur costs within the range of $1.6 million to $1.9 million, which are expected to consist of severance benefits for the affected employees, limited reimbursement of medical insurance premiums, outplacement services and other restructuring costs and expenses. Each affected employee’s eligibility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5" w:name="page136"/>
    <w:bookmarkEnd w:id="135"/>
    <w:p>
      <w:pPr>
        <w:jc w:val="both"/>
        <w:spacing w:after="0" w:line="324" w:lineRule="auto"/>
        <w:rPr>
          <w:sz w:val="20"/>
          <w:szCs w:val="20"/>
          <w:color w:val="auto"/>
        </w:rPr>
      </w:pPr>
      <w:r>
        <w:rPr>
          <w:rFonts w:ascii="Arial" w:cs="Arial" w:eastAsia="Arial" w:hAnsi="Arial"/>
          <w:sz w:val="16"/>
          <w:szCs w:val="16"/>
          <w:color w:val="auto"/>
        </w:rPr>
        <w:t>for the severance benefits is contingent upon such employee’s execution (without revocation, as applicable) of a separation agreement, which includes a general release of claims against the Company. The restructuring plan is expected to be completed by the end of the second quarter of 2022.</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Additionally, the Company has initiated a process to evaluate strategic alternatives in order to maximize shareholder value. There can be no assurance that this strategic review process will result in the Company pursuing any transaction or that any transaction, if pursued, will be completed on attractive terms or at all.</w:t>
      </w:r>
    </w:p>
    <w:p>
      <w:pPr>
        <w:spacing w:after="0" w:line="18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Furthermore, effective as of February 28, 2022, Georges Gemayel, Ph.D., the Company's current Executive Chair, was appointed as interim President and Chief Executive Officer to succeed Jason Meyenburg, who has transitioned from his roles as President, CEO and Director and will continue to serve as an advisor to the Company. Dr. Gemayel will continue to serve as the Chair of the Board.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6" w:name="page137"/>
    <w:bookmarkEnd w:id="136"/>
    <w:p>
      <w:pPr>
        <w:ind w:left="10400"/>
        <w:spacing w:after="0"/>
        <w:rPr>
          <w:sz w:val="20"/>
          <w:szCs w:val="20"/>
          <w:color w:val="auto"/>
        </w:rPr>
      </w:pPr>
      <w:r>
        <w:rPr>
          <w:rFonts w:ascii="Arial" w:cs="Arial" w:eastAsia="Arial" w:hAnsi="Arial"/>
          <w:sz w:val="16"/>
          <w:szCs w:val="16"/>
          <w:b w:val="1"/>
          <w:bCs w:val="1"/>
          <w:color w:val="auto"/>
        </w:rPr>
        <w:t>Exhibit 4.4</w:t>
      </w:r>
    </w:p>
    <w:p>
      <w:pPr>
        <w:spacing w:after="0" w:line="262"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DESCRIPTION OF REGISTRANT’S SECURITIES REGISTERED PURSUANT TO SECTION 12 OF THE SECURITIES EXCHANGE ACT OF 1934</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common stock, par value $0.0001 per share (the “Common Stock”), of Gemini Therapeutics, Inc. (“Gemini”, “we”, or “our”) is registered under Section 12 of the Securities Exchange Act of 1934, as amended. The following description of our Common Stock is a summary and does not purport to be complete. It is subject to and qualified in its entirety by reference to our Amended and Restated Articles of Incorporation (the “Charter”), our Amended and Restated Bylaws (the “Bylaws”) and the provisions of applicable law. The Charter and the Bylaws are incorporated by reference as an Exhibit 3.1 and 3.2, respectively, to the Annual Report on Form 10-K of which this Exhibit 4.4 is a part.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Charter authorizes the issuance of 260,000,000 shares, consisting of 250,000,000 shares of Common Stock, $0.0001 par value per share, and 10,000,000 shares of preferred stock, $0.0001 par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Charter provides the following with respect to the rights, powers, preferences and privileges of the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Common Stock possess all voting power for the election of Gemini’s directors and all other matters requiring stockholder action. Holders of Common Stock are entitled to one vote per share on matters to be voted on by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Holders of Common Stock will be entitled to receive such dividends, if any, as may be declared from time to time by the Board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event of Gemini’s voluntary or involuntary liquidation, dissolution, distribution of assets or winding-up, the holders of the Common Stock will be entitled to receive an equal amount per share of all of Gemini’s assets of whatever kind available for distribution to stockholders, after the rights of the holders of the preferred stock have been satisfied.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sinking fund provisions applicable to the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General Corporation Law of Delaware (the “DGCL”). The issuance of preferred stock could have the effect of decreasing the trading price of Common Stock, restricting dividends on the capital stock of Gemini, diluting the voting power of the Common Stock, impairing the liquidation rights of the capital stock of Gemini, or delaying or preventing a change in control of Gemini.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i w:val="1"/>
          <w:iCs w:val="1"/>
          <w:color w:val="auto"/>
        </w:rPr>
        <w:t>Election of Directors and Vacancies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Subject to the rights of the holders of any series of preferred stock to elect additional directors under specified circumstances and the terms and conditions of the Voting Agreement, dated February 5, 2021, by and among us and the other parties thereto (the “Voting Agreement”), the number of directors of the Board shall be fixed solely and exclusively by resolution duly adopted from time to time by the Board.</w:t>
      </w:r>
    </w:p>
    <w:p>
      <w:pPr>
        <w:spacing w:after="0" w:line="16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Under the Bylaws, at all meetings of stockholders called for the election of directors, a plurality of the votes properly cast is sufficient to elect such directors to the Board.</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Except as the DGCL or the Voting Agreement may otherwise require and subject to the rights, if any, of the holders of any series of preferred stock, in the interim between annual meetings of stockholders or special meetings of stockholders called for the election of directors and/or the removal of one or more directors and the filling of any vacancy in that connection, newly created directorships and any vacancies on the Board, including unfilled vacancies resulting from the removal of directors, may be filled only by the affirmative vote of a majority of the remaining directors then in office, although less than a quorum, or by the sole remaining director. All directors will hold office until the expiration of their respective terms of office and until their successors will have been elected and qualified.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Subject to the rights, if any, of any series of preferred stock, any director may be removed from office only with cause and only by the affirmative vote of the holders of not less than two-thirds of the outstanding voting stock (as defined below) of Gemini then entitled to vote at an election of directors. Any such director proposed to be removed from office is entitled to advance written notice as described in the Charter. Subject to the terms and conditions of the Voting Agreement, in case the Board or any one or more directors should be so removed, new directors may be elected at the same time for the unexpired portion of the full term of the director or directors so removed.</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to the powers and authorities hereinbefore or by statute expressly conferred upon them, the directors are empowered to exercise all such powers and do all such acts and things as may be exercised or done by Gemini, subject, nevertheless, to the provisions of the DGCL, the Charter and to any Bylaws adopted and in effect from time to time; provided, however, that no Bylaw so adopted will invalidate any prior act of the directors which would have been valid if such Bylaw had not been adopted.</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Notwithstanding the foregoing provisions, any director elected pursuant to the right, if any, of the holders of preferred stock to elect additional directors under specified circumstances will serve for such term or terms and pursuant to such other provisions as specified in the relevant certificate of designations related to the preferred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holders of a majority of the voting power of the capital stock issued and outstanding and entitled to vote thereat, present in person or represented by proxy, will constitute a quorum at all meetings of the stockholders for the transaction of business except as otherwise required by law or provided by the Charter.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Pursuant to the terms of our Registration Rights Agreement, dated February 5, 2021, with certain of our stockholders (the “Registration Rights Agreement”), certain of our stockholders are entitled to rights with respect to the registration of their shares (which we refer to herein a “Registrable Securities”) under the Securities Act of 1933, as amended (the “Securities Act”), including demand registration rights, shelf-registration rights and piggyback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8" w:name="page139"/>
    <w:bookmarkEnd w:id="138"/>
    <w:p>
      <w:pPr>
        <w:jc w:val="both"/>
        <w:ind w:left="460" w:hanging="338"/>
        <w:spacing w:after="0" w:line="210" w:lineRule="auto"/>
        <w:tabs>
          <w:tab w:leader="none" w:pos="460" w:val="left"/>
        </w:tabs>
        <w:numPr>
          <w:ilvl w:val="1"/>
          <w:numId w:val="79"/>
        </w:numPr>
        <w:rPr>
          <w:rFonts w:ascii="Arial" w:cs="Arial" w:eastAsia="Arial" w:hAnsi="Arial"/>
          <w:sz w:val="18"/>
          <w:szCs w:val="18"/>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At any time after February 5, 2021, and following the expiration of any lock- up to which a holder of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may have been subject, we are required, upon the written request of either (i) FS Development Holdings, LLC, Robert Carey, Daniel Dubin and Deepka Pakianathan (collectively, the “FSDC Investors”) holding a majority of the Registrable Securities held by all FSDC Investors or (ii) Atlas Venture Fund X, L.P., Atlas Venture Opportunity Fund I, L.P., Lightstone Singapore L.P., Lightstone Ventures (A), L.P., Lightstone Ventures, L.P., OrbiMed Private Investments VI, LP and Wu Capital Investment LLC (collectively, “Major Gemini Investors” and together with the FSDC Investors, the “Investors”) holding a majority of the Registrable Securities held by all Major Gemini Investors, to file a registration statement under the Securities Act on Form S- 1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165" w:lineRule="exact"/>
        <w:rPr>
          <w:rFonts w:ascii="Arial" w:cs="Arial" w:eastAsia="Arial" w:hAnsi="Arial"/>
          <w:sz w:val="18"/>
          <w:szCs w:val="18"/>
          <w:color w:val="auto"/>
        </w:rPr>
      </w:pPr>
    </w:p>
    <w:p>
      <w:pPr>
        <w:jc w:val="both"/>
        <w:ind w:left="460" w:hanging="460"/>
        <w:spacing w:after="0" w:line="249"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Shelf registration rights</w:t>
      </w:r>
      <w:r>
        <w:rPr>
          <w:rFonts w:ascii="Arial" w:cs="Arial" w:eastAsia="Arial" w:hAnsi="Arial"/>
          <w:sz w:val="16"/>
          <w:szCs w:val="16"/>
          <w:color w:val="auto"/>
        </w:rPr>
        <w:t>. We were required to file a shelf registration statement pursuant to Rule 415 of Securities Act, which was filed on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17, 2021 and became effective on April 28, 2021. At any time we have an effective shelf registration statement, if we shall receive a request from Investors holding registrable securities with an estimated market value of at least $5,000,000, to effect an underwritten shelf takedown, we shall use our reasonable best efforts to as expeditiously as possible to effect the underwritten shelf takedown.</w:t>
      </w:r>
    </w:p>
    <w:p>
      <w:pPr>
        <w:spacing w:after="0" w:line="139" w:lineRule="exact"/>
        <w:rPr>
          <w:sz w:val="20"/>
          <w:szCs w:val="20"/>
          <w:color w:val="auto"/>
        </w:rPr>
      </w:pPr>
    </w:p>
    <w:p>
      <w:pPr>
        <w:spacing w:after="0"/>
        <w:tabs>
          <w:tab w:leader="none" w:pos="340" w:val="left"/>
          <w:tab w:leader="none" w:pos="5440" w:val="left"/>
          <w:tab w:leader="none" w:pos="8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Limits on demand registration rights and shelf registration rights.</w:t>
      </w:r>
      <w:r>
        <w:rPr>
          <w:sz w:val="20"/>
          <w:szCs w:val="20"/>
          <w:color w:val="auto"/>
        </w:rPr>
        <w:tab/>
      </w:r>
      <w:r>
        <w:rPr>
          <w:rFonts w:ascii="Arial" w:cs="Arial" w:eastAsia="Arial" w:hAnsi="Arial"/>
          <w:sz w:val="18"/>
          <w:szCs w:val="18"/>
          <w:color w:val="auto"/>
        </w:rPr>
        <w:t>We shall not be obligated to effect: (a)</w:t>
      </w:r>
      <w:r>
        <w:rPr>
          <w:sz w:val="20"/>
          <w:szCs w:val="20"/>
          <w:color w:val="auto"/>
        </w:rPr>
        <w:tab/>
      </w:r>
      <w:r>
        <w:rPr>
          <w:rFonts w:ascii="Arial" w:cs="Arial" w:eastAsia="Arial" w:hAnsi="Arial"/>
          <w:sz w:val="17"/>
          <w:szCs w:val="17"/>
          <w:color w:val="auto"/>
        </w:rPr>
        <w:t>more than one (1) demand</w:t>
      </w:r>
    </w:p>
    <w:p>
      <w:pPr>
        <w:jc w:val="both"/>
        <w:ind w:left="360"/>
        <w:spacing w:after="0" w:line="212" w:lineRule="auto"/>
        <w:rPr>
          <w:sz w:val="20"/>
          <w:szCs w:val="20"/>
          <w:color w:val="auto"/>
        </w:rPr>
      </w:pPr>
      <w:r>
        <w:rPr>
          <w:rFonts w:ascii="Arial" w:cs="Arial" w:eastAsia="Arial" w:hAnsi="Arial"/>
          <w:sz w:val="18"/>
          <w:szCs w:val="18"/>
          <w:color w:val="auto"/>
        </w:rPr>
        <w:t>registration or underwritten shelf takedown during any six-month period; (b) any demand registration at any time there is an effective resale shelf registration statement on file with the United States Securities and Exchange Commission;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Gemini Investors, including those made under a shelf registration statement.</w:t>
      </w:r>
    </w:p>
    <w:p>
      <w:pPr>
        <w:spacing w:after="0" w:line="163" w:lineRule="exact"/>
        <w:rPr>
          <w:sz w:val="20"/>
          <w:szCs w:val="20"/>
          <w:color w:val="auto"/>
        </w:rPr>
      </w:pPr>
    </w:p>
    <w:p>
      <w:pPr>
        <w:jc w:val="both"/>
        <w:ind w:left="460" w:hanging="460"/>
        <w:spacing w:after="0" w:line="219"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At any time after February 5, 2022, if Gemini proposes to file a registration statement to register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equity securities under the Securities Act or to conduct a public offering, either for its own account or for the account of any other person, subject to certain exceptions, the Investors are entitled to include their registrable securities in such registration statement, subject to customary cut-back rights.</w:t>
      </w:r>
    </w:p>
    <w:p>
      <w:pPr>
        <w:spacing w:after="0" w:line="162" w:lineRule="exact"/>
        <w:rPr>
          <w:rFonts w:ascii="Arial" w:cs="Arial" w:eastAsia="Arial" w:hAnsi="Arial"/>
          <w:sz w:val="18"/>
          <w:szCs w:val="18"/>
          <w:color w:val="auto"/>
        </w:rPr>
      </w:pPr>
    </w:p>
    <w:p>
      <w:pPr>
        <w:jc w:val="both"/>
        <w:ind w:left="460" w:hanging="460"/>
        <w:spacing w:after="0" w:line="216"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All fees, costs and expenses of underwritten registrations will be borne by us and underwriting discounts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commissions will be borne by the holders of the shares being registered. The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62" w:lineRule="exact"/>
        <w:rPr>
          <w:rFonts w:ascii="Arial" w:cs="Arial" w:eastAsia="Arial" w:hAnsi="Arial"/>
          <w:sz w:val="18"/>
          <w:szCs w:val="18"/>
          <w:color w:val="auto"/>
        </w:rPr>
      </w:pPr>
    </w:p>
    <w:p>
      <w:pPr>
        <w:jc w:val="both"/>
        <w:ind w:left="560" w:hanging="452"/>
        <w:spacing w:after="0" w:line="236" w:lineRule="auto"/>
        <w:tabs>
          <w:tab w:leader="none" w:pos="560" w:val="left"/>
        </w:tabs>
        <w:numPr>
          <w:ilvl w:val="1"/>
          <w:numId w:val="80"/>
        </w:numPr>
        <w:rPr>
          <w:rFonts w:ascii="Arial" w:cs="Arial" w:eastAsia="Arial" w:hAnsi="Arial"/>
          <w:sz w:val="16"/>
          <w:szCs w:val="16"/>
          <w:color w:val="auto"/>
        </w:rPr>
      </w:pPr>
      <w:r>
        <w:rPr>
          <w:rFonts w:ascii="Arial" w:cs="Arial" w:eastAsia="Arial" w:hAnsi="Arial"/>
          <w:sz w:val="16"/>
          <w:szCs w:val="16"/>
          <w:i w:val="1"/>
          <w:iCs w:val="1"/>
          <w:color w:val="auto"/>
        </w:rPr>
        <w:t>Registrable securities</w:t>
      </w:r>
      <w:r>
        <w:rPr>
          <w:rFonts w:ascii="Arial" w:cs="Arial" w:eastAsia="Arial" w:hAnsi="Arial"/>
          <w:sz w:val="16"/>
          <w:szCs w:val="16"/>
          <w:color w:val="auto"/>
        </w:rPr>
        <w:t>. Securities of the Company shall cease to be registrable securities upon the earlier of (i) tenth anniversary of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5, 2021 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the Company or FS Development Corp. as of immediately prior to the consummation of the business combination pursuant to the Merger Agreement, dated October 15, 2020, by and among us and the parties named therein, the date when such Investor is permitted to sell the Registrable Securities under Rule 144 (or any similar provision) under the Securities Act without limitation on the amount of securities sold or the manner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462915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00" w:top="773"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and Bylaws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the Charter and Bylaws:</w:t>
      </w:r>
    </w:p>
    <w:p>
      <w:pPr>
        <w:spacing w:after="0" w:line="198" w:lineRule="exact"/>
        <w:rPr>
          <w:sz w:val="20"/>
          <w:szCs w:val="20"/>
          <w:color w:val="auto"/>
        </w:rPr>
      </w:pPr>
    </w:p>
    <w:p>
      <w:pPr>
        <w:ind w:left="880" w:right="20" w:hanging="427"/>
        <w:spacing w:after="0" w:line="235"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permit the Board to issue up to 10,000,000 shares of preferred stock, with any rights, preferences and privileges as they may designate, including the right to approve an acquisition or other change of control;</w:t>
      </w:r>
    </w:p>
    <w:p>
      <w:pPr>
        <w:spacing w:after="0" w:line="377" w:lineRule="exact"/>
        <w:rPr>
          <w:rFonts w:ascii="Arial" w:cs="Arial" w:eastAsia="Arial" w:hAnsi="Arial"/>
          <w:sz w:val="18"/>
          <w:szCs w:val="18"/>
          <w:color w:val="auto"/>
        </w:rPr>
      </w:pPr>
    </w:p>
    <w:p>
      <w:pPr>
        <w:ind w:left="880" w:hanging="427"/>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80" w:right="20" w:hanging="427"/>
        <w:spacing w:after="0" w:line="247" w:lineRule="auto"/>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provide that, subject to the rights of any series of preferred stock to elect directors, directors may be removed only with cause by the holders of at least 66</w:t>
      </w:r>
      <w:r>
        <w:rPr>
          <w:rFonts w:ascii="Arial" w:cs="Arial" w:eastAsia="Arial" w:hAnsi="Arial"/>
          <w:sz w:val="23"/>
          <w:szCs w:val="23"/>
          <w:color w:val="auto"/>
          <w:vertAlign w:val="superscript"/>
        </w:rPr>
        <w:t>2/3</w:t>
      </w:r>
      <w:r>
        <w:rPr>
          <w:rFonts w:ascii="Arial" w:cs="Arial" w:eastAsia="Arial" w:hAnsi="Arial"/>
          <w:sz w:val="17"/>
          <w:szCs w:val="17"/>
          <w:color w:val="auto"/>
        </w:rPr>
        <w:t>% of all of our then-outstanding shares of the capital stock entitled to vote generally at an election of directors;</w:t>
      </w:r>
    </w:p>
    <w:p>
      <w:pPr>
        <w:spacing w:after="0" w:line="309" w:lineRule="exact"/>
        <w:rPr>
          <w:rFonts w:ascii="Arial" w:cs="Arial" w:eastAsia="Arial" w:hAnsi="Arial"/>
          <w:sz w:val="17"/>
          <w:szCs w:val="17"/>
          <w:color w:val="auto"/>
        </w:rPr>
      </w:pPr>
    </w:p>
    <w:p>
      <w:pPr>
        <w:ind w:left="880" w:right="20" w:hanging="427"/>
        <w:spacing w:after="0" w:line="235"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377" w:lineRule="exact"/>
        <w:rPr>
          <w:rFonts w:ascii="Arial" w:cs="Arial" w:eastAsia="Arial" w:hAnsi="Arial"/>
          <w:sz w:val="18"/>
          <w:szCs w:val="18"/>
          <w:color w:val="auto"/>
        </w:rPr>
      </w:pPr>
    </w:p>
    <w:p>
      <w:pPr>
        <w:jc w:val="both"/>
        <w:ind w:left="880" w:right="20" w:hanging="427"/>
        <w:spacing w:after="0" w:line="224"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378" w:lineRule="exact"/>
        <w:rPr>
          <w:rFonts w:ascii="Arial" w:cs="Arial" w:eastAsia="Arial" w:hAnsi="Arial"/>
          <w:sz w:val="18"/>
          <w:szCs w:val="18"/>
          <w:color w:val="auto"/>
        </w:rPr>
      </w:pPr>
    </w:p>
    <w:p>
      <w:pPr>
        <w:ind w:left="880" w:right="20" w:hanging="427"/>
        <w:spacing w:after="0" w:line="235"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that Special Meetings of Gemini’s stockholders may be called by the Board pursuant to a resolution adopted by a majority of the total number of authorized directors;</w:t>
      </w:r>
    </w:p>
    <w:p>
      <w:pPr>
        <w:spacing w:after="0" w:line="377" w:lineRule="exact"/>
        <w:rPr>
          <w:rFonts w:ascii="Arial" w:cs="Arial" w:eastAsia="Arial" w:hAnsi="Arial"/>
          <w:sz w:val="18"/>
          <w:szCs w:val="18"/>
          <w:color w:val="auto"/>
        </w:rPr>
      </w:pPr>
    </w:p>
    <w:p>
      <w:pPr>
        <w:ind w:left="880" w:right="20" w:hanging="427"/>
        <w:spacing w:after="0" w:line="235"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that the Board is divided into three classes of directors, with the classes to be as nearly equal as possible, and with the directors serving three-year terms, therefore making it more difficult for stockholders to change the composition of our Board; and</w:t>
      </w:r>
    </w:p>
    <w:p>
      <w:pPr>
        <w:spacing w:after="0" w:line="377" w:lineRule="exact"/>
        <w:rPr>
          <w:rFonts w:ascii="Arial" w:cs="Arial" w:eastAsia="Arial" w:hAnsi="Arial"/>
          <w:sz w:val="18"/>
          <w:szCs w:val="18"/>
          <w:color w:val="auto"/>
        </w:rPr>
      </w:pPr>
    </w:p>
    <w:p>
      <w:pPr>
        <w:ind w:left="880" w:right="20" w:hanging="427"/>
        <w:spacing w:after="0" w:line="235"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combination of these provisions will make it more difficult for the existing stockholders to replace the Board as well as for another party to obtain control of Gemini by replacing the Board. Because the Board has the power to retain and discharge its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our control.</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the Board and its policies and to discourage coercive takeover practices and inadequate takeover bids. These provisions are also designed to reduce Gemini’s vulnerability to hostile takeovers and to discourage certain tactics that may be used in proxy fights. However, such provisions could have the effect of discouraging others from making tender offers for Gemini’s shares and may have the effect of delaying changes in our control or management. As a consequence, these provisions may also inhibit fluctuations in the market price of our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0" w:name="page141"/>
    <w:bookmarkEnd w:id="140"/>
    <w:p>
      <w:pPr>
        <w:jc w:val="both"/>
        <w:spacing w:after="0" w:line="248" w:lineRule="auto"/>
        <w:rPr>
          <w:sz w:val="20"/>
          <w:szCs w:val="20"/>
          <w:color w:val="auto"/>
        </w:rPr>
      </w:pPr>
      <w:r>
        <w:rPr>
          <w:rFonts w:ascii="Arial" w:cs="Arial" w:eastAsia="Arial" w:hAnsi="Arial"/>
          <w:sz w:val="18"/>
          <w:szCs w:val="18"/>
          <w:color w:val="auto"/>
        </w:rPr>
        <w:t>We have opted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Certificate of Incorporation limits the liability of the directors of Gemini to the fullest extent permitted by the DGCL, and the Bylaws provide that we will indemnify them to the fullest extent permitted by such law. We have entered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Gemini or any of its subsidiaries or was serving at Gemini’s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10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Bylaws require, to the fullest extent permitted by law, unless Gemini consents in writing to the selection of an alternative forum, that derivative actions brought in the name of Gemini, actions against directors, officers and employees for breach of fiduciary duty, actions asserting a claim arising pursuant to any provision of the DGCL or the Certificate of Incorporation or the Bylaws, actions to interpret, apply, enforce or determine the validity of the Certificate of Incorporation or the Bylaws and actions asserting a claim against Gemini governed by the internal affairs doctrine may be brought only in the Court of Chancery in the State of Delaware and, if brought outside of Delaware, the stockholder bringing the suit will be deemed to have consented to service of process on such stockholder’s counsel. Although we believe this provision benefits Gemini by providing increased consistency in the application of Delaware law in the types of lawsuits to which it applies, the provision may have the effect of discouraging lawsuits against our directors and officers.</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Bylaws require that, unless Gemini consents in writing to the selection of an alternative forum, the United States District Court for the District of Massachusetts shall be the sole and exclusive forum for resolving any action asserting a claim arising under the Securities Act. Gemini has chosen the United States District Court for the District of Massachusetts as the exclusive forum for such Securities Act causes of action.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9"/>
          <w:szCs w:val="19"/>
          <w:b w:val="1"/>
          <w:bCs w:val="1"/>
          <w:color w:val="auto"/>
        </w:rPr>
        <w:t>Exhibit 10.13</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THIS SECOND AMENDMENT AGREEMENT </w:t>
      </w:r>
      <w:r>
        <w:rPr>
          <w:rFonts w:ascii="Arial" w:cs="Arial" w:eastAsia="Arial" w:hAnsi="Arial"/>
          <w:sz w:val="19"/>
          <w:szCs w:val="19"/>
          <w:color w:val="auto"/>
        </w:rPr>
        <w:t>(the "</w:t>
      </w:r>
      <w:r>
        <w:rPr>
          <w:rFonts w:ascii="Arial" w:cs="Arial" w:eastAsia="Arial" w:hAnsi="Arial"/>
          <w:sz w:val="19"/>
          <w:szCs w:val="19"/>
          <w:b w:val="1"/>
          <w:bCs w:val="1"/>
          <w:color w:val="auto"/>
        </w:rPr>
        <w:t>Amendment</w:t>
      </w:r>
      <w:r>
        <w:rPr>
          <w:rFonts w:ascii="Arial" w:cs="Arial" w:eastAsia="Arial" w:hAnsi="Arial"/>
          <w:sz w:val="19"/>
          <w:szCs w:val="19"/>
          <w:color w:val="auto"/>
        </w:rPr>
        <w:t>") is made on March 7, 2022 (the "</w:t>
      </w:r>
      <w:r>
        <w:rPr>
          <w:rFonts w:ascii="Arial" w:cs="Arial" w:eastAsia="Arial" w:hAnsi="Arial"/>
          <w:sz w:val="19"/>
          <w:szCs w:val="19"/>
          <w:b w:val="1"/>
          <w:bCs w:val="1"/>
          <w:color w:val="auto"/>
        </w:rPr>
        <w:t>Amendment Date</w:t>
      </w:r>
      <w:r>
        <w:rPr>
          <w:rFonts w:ascii="Arial" w:cs="Arial" w:eastAsia="Arial" w:hAnsi="Arial"/>
          <w:sz w:val="19"/>
          <w:szCs w:val="19"/>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BETWEEN</w:t>
      </w:r>
    </w:p>
    <w:p>
      <w:pPr>
        <w:spacing w:after="0" w:line="200" w:lineRule="exact"/>
        <w:rPr>
          <w:sz w:val="20"/>
          <w:szCs w:val="20"/>
          <w:color w:val="auto"/>
        </w:rPr>
      </w:pPr>
    </w:p>
    <w:p>
      <w:pPr>
        <w:spacing w:after="0" w:line="230" w:lineRule="exact"/>
        <w:rPr>
          <w:sz w:val="20"/>
          <w:szCs w:val="20"/>
          <w:color w:val="auto"/>
        </w:rPr>
      </w:pPr>
    </w:p>
    <w:p>
      <w:pPr>
        <w:ind w:left="760" w:hanging="752"/>
        <w:spacing w:after="0" w:line="287" w:lineRule="auto"/>
        <w:tabs>
          <w:tab w:leader="none" w:pos="760" w:val="left"/>
        </w:tabs>
        <w:numPr>
          <w:ilvl w:val="0"/>
          <w:numId w:val="82"/>
        </w:numPr>
        <w:rPr>
          <w:rFonts w:ascii="Arial" w:cs="Arial" w:eastAsia="Arial" w:hAnsi="Arial"/>
          <w:sz w:val="19"/>
          <w:szCs w:val="19"/>
          <w:color w:val="auto"/>
        </w:rPr>
      </w:pPr>
      <w:r>
        <w:rPr>
          <w:rFonts w:ascii="Arial" w:cs="Arial" w:eastAsia="Arial" w:hAnsi="Arial"/>
          <w:sz w:val="19"/>
          <w:szCs w:val="19"/>
          <w:b w:val="1"/>
          <w:bCs w:val="1"/>
          <w:color w:val="auto"/>
        </w:rPr>
        <w:t>Sanquin Blood Supply Foundation</w:t>
      </w:r>
      <w:r>
        <w:rPr>
          <w:rFonts w:ascii="Arial" w:cs="Arial" w:eastAsia="Arial" w:hAnsi="Arial"/>
          <w:sz w:val="19"/>
          <w:szCs w:val="19"/>
          <w:color w:val="auto"/>
        </w:rPr>
        <w:t>, a non-profit organization, with offices located at Plesmanlaan 125, 1066 CX</w:t>
      </w:r>
      <w:r>
        <w:rPr>
          <w:rFonts w:ascii="Arial" w:cs="Arial" w:eastAsia="Arial" w:hAnsi="Arial"/>
          <w:sz w:val="19"/>
          <w:szCs w:val="19"/>
          <w:b w:val="1"/>
          <w:bCs w:val="1"/>
          <w:color w:val="auto"/>
        </w:rPr>
        <w:t xml:space="preserve"> </w:t>
      </w:r>
      <w:r>
        <w:rPr>
          <w:rFonts w:ascii="Arial" w:cs="Arial" w:eastAsia="Arial" w:hAnsi="Arial"/>
          <w:sz w:val="19"/>
          <w:szCs w:val="19"/>
          <w:color w:val="auto"/>
        </w:rPr>
        <w:t>Amsterdam, the Netherlands ("</w:t>
      </w:r>
      <w:r>
        <w:rPr>
          <w:rFonts w:ascii="Arial" w:cs="Arial" w:eastAsia="Arial" w:hAnsi="Arial"/>
          <w:sz w:val="19"/>
          <w:szCs w:val="19"/>
          <w:b w:val="1"/>
          <w:bCs w:val="1"/>
          <w:color w:val="auto"/>
        </w:rPr>
        <w:t>Sanquin</w:t>
      </w:r>
      <w:r>
        <w:rPr>
          <w:rFonts w:ascii="Arial" w:cs="Arial" w:eastAsia="Arial" w:hAnsi="Arial"/>
          <w:sz w:val="19"/>
          <w:szCs w:val="19"/>
          <w:color w:val="auto"/>
        </w:rPr>
        <w:t>"); and</w:t>
      </w:r>
    </w:p>
    <w:p>
      <w:pPr>
        <w:spacing w:after="0" w:line="152" w:lineRule="exact"/>
        <w:rPr>
          <w:rFonts w:ascii="Arial" w:cs="Arial" w:eastAsia="Arial" w:hAnsi="Arial"/>
          <w:sz w:val="19"/>
          <w:szCs w:val="19"/>
          <w:color w:val="auto"/>
        </w:rPr>
      </w:pPr>
    </w:p>
    <w:p>
      <w:pPr>
        <w:ind w:left="760" w:hanging="752"/>
        <w:spacing w:after="0" w:line="287" w:lineRule="auto"/>
        <w:tabs>
          <w:tab w:leader="none" w:pos="760" w:val="left"/>
        </w:tabs>
        <w:numPr>
          <w:ilvl w:val="0"/>
          <w:numId w:val="82"/>
        </w:numPr>
        <w:rPr>
          <w:rFonts w:ascii="Arial" w:cs="Arial" w:eastAsia="Arial" w:hAnsi="Arial"/>
          <w:sz w:val="19"/>
          <w:szCs w:val="19"/>
          <w:color w:val="auto"/>
        </w:rPr>
      </w:pPr>
      <w:r>
        <w:rPr>
          <w:rFonts w:ascii="Arial" w:cs="Arial" w:eastAsia="Arial" w:hAnsi="Arial"/>
          <w:sz w:val="19"/>
          <w:szCs w:val="19"/>
          <w:b w:val="1"/>
          <w:bCs w:val="1"/>
          <w:color w:val="auto"/>
        </w:rPr>
        <w:t>Gemini Therapeutics Sub, Inc.</w:t>
      </w:r>
      <w:r>
        <w:rPr>
          <w:rFonts w:ascii="Arial" w:cs="Arial" w:eastAsia="Arial" w:hAnsi="Arial"/>
          <w:sz w:val="19"/>
          <w:szCs w:val="19"/>
          <w:color w:val="auto"/>
        </w:rPr>
        <w:t>, formerly Gemini Therapeutics Inc., a corporation organized under the laws of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having a place of business at One Kendall Square, Building 300, Floor 3,. Cambridge MA 02139 ("</w:t>
      </w:r>
      <w:r>
        <w:rPr>
          <w:rFonts w:ascii="Arial" w:cs="Arial" w:eastAsia="Arial" w:hAnsi="Arial"/>
          <w:sz w:val="19"/>
          <w:szCs w:val="19"/>
          <w:b w:val="1"/>
          <w:bCs w:val="1"/>
          <w:color w:val="auto"/>
        </w:rPr>
        <w:t>Gemini</w:t>
      </w:r>
      <w:r>
        <w:rPr>
          <w:rFonts w:ascii="Arial" w:cs="Arial" w:eastAsia="Arial" w:hAnsi="Arial"/>
          <w:sz w:val="19"/>
          <w:szCs w:val="19"/>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Sanquin and Gemini are hereinafter jointly also referred to as the “</w:t>
      </w:r>
      <w:r>
        <w:rPr>
          <w:rFonts w:ascii="Arial" w:cs="Arial" w:eastAsia="Arial" w:hAnsi="Arial"/>
          <w:sz w:val="19"/>
          <w:szCs w:val="19"/>
          <w:b w:val="1"/>
          <w:bCs w:val="1"/>
          <w:color w:val="auto"/>
        </w:rPr>
        <w:t>Parties</w:t>
      </w:r>
      <w:r>
        <w:rPr>
          <w:rFonts w:ascii="Arial" w:cs="Arial" w:eastAsia="Arial" w:hAnsi="Arial"/>
          <w:sz w:val="19"/>
          <w:szCs w:val="19"/>
          <w:color w:val="auto"/>
        </w:rPr>
        <w:t>” and individually as a “</w:t>
      </w:r>
      <w:r>
        <w:rPr>
          <w:rFonts w:ascii="Arial" w:cs="Arial" w:eastAsia="Arial" w:hAnsi="Arial"/>
          <w:sz w:val="19"/>
          <w:szCs w:val="19"/>
          <w:b w:val="1"/>
          <w:bCs w:val="1"/>
          <w:color w:val="auto"/>
        </w:rPr>
        <w:t>Party</w:t>
      </w:r>
      <w:r>
        <w:rPr>
          <w:rFonts w:ascii="Arial" w:cs="Arial" w:eastAsia="Arial" w:hAnsi="Arial"/>
          <w:sz w:val="19"/>
          <w:szCs w:val="19"/>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RECITALS</w:t>
      </w:r>
    </w:p>
    <w:p>
      <w:pPr>
        <w:spacing w:after="0" w:line="200" w:lineRule="exact"/>
        <w:rPr>
          <w:sz w:val="20"/>
          <w:szCs w:val="20"/>
          <w:color w:val="auto"/>
        </w:rPr>
      </w:pPr>
    </w:p>
    <w:p>
      <w:pPr>
        <w:spacing w:after="0" w:line="267" w:lineRule="exact"/>
        <w:rPr>
          <w:sz w:val="20"/>
          <w:szCs w:val="20"/>
          <w:color w:val="auto"/>
        </w:rPr>
      </w:pPr>
    </w:p>
    <w:p>
      <w:pPr>
        <w:ind w:left="760" w:hanging="752"/>
        <w:spacing w:after="0" w:line="261" w:lineRule="auto"/>
        <w:tabs>
          <w:tab w:leader="none" w:pos="7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Parties entered into a Research Collaboration and License Agreement dated 1 April 2017 as subsequently amended on April 29, 2018 (the “</w:t>
      </w:r>
      <w:r>
        <w:rPr>
          <w:rFonts w:ascii="Arial" w:cs="Arial" w:eastAsia="Arial" w:hAnsi="Arial"/>
          <w:sz w:val="19"/>
          <w:szCs w:val="19"/>
          <w:b w:val="1"/>
          <w:bCs w:val="1"/>
          <w:color w:val="auto"/>
        </w:rPr>
        <w:t>Original Agreement</w:t>
      </w:r>
      <w:r>
        <w:rPr>
          <w:rFonts w:ascii="Arial" w:cs="Arial" w:eastAsia="Arial" w:hAnsi="Arial"/>
          <w:sz w:val="19"/>
          <w:szCs w:val="19"/>
          <w:color w:val="auto"/>
        </w:rPr>
        <w:t>”).</w:t>
      </w:r>
    </w:p>
    <w:p>
      <w:pPr>
        <w:spacing w:after="0" w:line="199" w:lineRule="exact"/>
        <w:rPr>
          <w:rFonts w:ascii="Arial" w:cs="Arial" w:eastAsia="Arial" w:hAnsi="Arial"/>
          <w:sz w:val="19"/>
          <w:szCs w:val="19"/>
          <w:color w:val="auto"/>
        </w:rPr>
      </w:pPr>
    </w:p>
    <w:p>
      <w:pPr>
        <w:ind w:left="760" w:hanging="752"/>
        <w:spacing w:after="0"/>
        <w:tabs>
          <w:tab w:leader="none" w:pos="7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Parties wish to amend and supplement certain provisions of the Original Agreement as set out in this Amendment.</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AGREED TERMS</w:t>
      </w:r>
    </w:p>
    <w:p>
      <w:pPr>
        <w:spacing w:after="0" w:line="200" w:lineRule="exact"/>
        <w:rPr>
          <w:sz w:val="20"/>
          <w:szCs w:val="20"/>
          <w:color w:val="auto"/>
        </w:rPr>
      </w:pPr>
    </w:p>
    <w:p>
      <w:pPr>
        <w:spacing w:after="0" w:line="243" w:lineRule="exact"/>
        <w:rPr>
          <w:sz w:val="20"/>
          <w:szCs w:val="20"/>
          <w:color w:val="auto"/>
        </w:rPr>
      </w:pPr>
    </w:p>
    <w:p>
      <w:pPr>
        <w:ind w:left="760" w:hanging="752"/>
        <w:spacing w:after="0"/>
        <w:tabs>
          <w:tab w:leader="none" w:pos="76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 and Interpretation</w:t>
      </w:r>
    </w:p>
    <w:p>
      <w:pPr>
        <w:spacing w:after="0" w:line="251" w:lineRule="exact"/>
        <w:rPr>
          <w:sz w:val="20"/>
          <w:szCs w:val="20"/>
          <w:color w:val="auto"/>
        </w:rPr>
      </w:pPr>
    </w:p>
    <w:p>
      <w:pPr>
        <w:ind w:left="760" w:hanging="748"/>
        <w:spacing w:after="0" w:line="261" w:lineRule="auto"/>
        <w:tabs>
          <w:tab w:leader="none" w:pos="74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In this Amendment, including the Recitals, terms defined in the Original Agreement will have the same meaning when used in this Amendment. In addition, in this Amendment:</w:t>
      </w:r>
    </w:p>
    <w:p>
      <w:pPr>
        <w:spacing w:after="0" w:line="176" w:lineRule="exact"/>
        <w:rPr>
          <w:sz w:val="20"/>
          <w:szCs w:val="20"/>
          <w:color w:val="auto"/>
        </w:rPr>
      </w:pPr>
    </w:p>
    <w:p>
      <w:pPr>
        <w:jc w:val="both"/>
        <w:ind w:left="1500" w:hanging="743"/>
        <w:spacing w:after="0" w:line="259" w:lineRule="auto"/>
        <w:tabs>
          <w:tab w:leader="none" w:pos="15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Patent Application</w:t>
      </w:r>
      <w:r>
        <w:rPr>
          <w:rFonts w:ascii="Arial" w:cs="Arial" w:eastAsia="Arial" w:hAnsi="Arial"/>
          <w:sz w:val="19"/>
          <w:szCs w:val="19"/>
          <w:color w:val="auto"/>
        </w:rPr>
        <w:t>” shall mean International Application No. PCT/NL2019/050018 filed on January 15, 2019, together with (i) all patents which may be granted pursuant to the foregoing, (ii) all reissues, extensions (including patent term adjustments and supplementary protection certificates (or the equivalent thereof)), renewals, substitutions, confirmations, registrations, re-registrations, restorations, re-examinations, continuations, continuations-in-part, divisions, and patents of addition, with respect to the foregoing; and (iii) all patent applications and patents which claim priority from or common priority with the foregoing; and</w:t>
      </w:r>
    </w:p>
    <w:p>
      <w:pPr>
        <w:spacing w:after="0" w:line="178" w:lineRule="exact"/>
        <w:rPr>
          <w:rFonts w:ascii="Arial" w:cs="Arial" w:eastAsia="Arial" w:hAnsi="Arial"/>
          <w:sz w:val="19"/>
          <w:szCs w:val="19"/>
          <w:color w:val="auto"/>
        </w:rPr>
      </w:pPr>
    </w:p>
    <w:p>
      <w:pPr>
        <w:jc w:val="both"/>
        <w:ind w:left="1500" w:hanging="743"/>
        <w:spacing w:after="0" w:line="261" w:lineRule="auto"/>
        <w:tabs>
          <w:tab w:leader="none" w:pos="15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Patent Application</w:t>
      </w:r>
      <w:r>
        <w:rPr>
          <w:rFonts w:ascii="Arial" w:cs="Arial" w:eastAsia="Arial" w:hAnsi="Arial"/>
          <w:sz w:val="19"/>
          <w:szCs w:val="19"/>
          <w:color w:val="auto"/>
        </w:rPr>
        <w:t>” shall mean International Application No. PCT/US2020/042627 filed on July 17, 2020, together with (i) all patents which may be granted pursuant to the foregoing, (ii) all reissues, extensions (including patent term adjustments and supplementary protection certificates (or the equivalent thereof)), renewals, substitutions, confirmations, registrations, re-registrations, restorations, re-examinations, continuations, continuations-in-part, divisions,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2" w:name="page143"/>
    <w:bookmarkEnd w:id="142"/>
    <w:p>
      <w:pPr>
        <w:ind w:left="1500"/>
        <w:spacing w:after="0" w:line="261" w:lineRule="auto"/>
        <w:rPr>
          <w:sz w:val="20"/>
          <w:szCs w:val="20"/>
          <w:color w:val="auto"/>
        </w:rPr>
      </w:pPr>
      <w:r>
        <w:rPr>
          <w:rFonts w:ascii="Arial" w:cs="Arial" w:eastAsia="Arial" w:hAnsi="Arial"/>
          <w:sz w:val="19"/>
          <w:szCs w:val="19"/>
          <w:color w:val="auto"/>
        </w:rPr>
        <w:t>patents of addition, with respect to the foregoing; and (iii) all patent applications and patents which claim priority from or common priority with the foregoing.</w:t>
      </w:r>
    </w:p>
    <w:p>
      <w:pPr>
        <w:spacing w:after="0" w:line="200"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Except as otherwise provided in this Amendment, the terms of the Original Agreement shall remain in full force and effect provided that in the event of a conflict or ambiguity between the terms of the Original Agreement and the terms of this Amendment, the terms of this Amendment shall prevail.</w:t>
      </w:r>
    </w:p>
    <w:p>
      <w:pPr>
        <w:spacing w:after="0" w:line="181" w:lineRule="exact"/>
        <w:rPr>
          <w:sz w:val="20"/>
          <w:szCs w:val="20"/>
          <w:color w:val="auto"/>
        </w:rPr>
      </w:pPr>
    </w:p>
    <w:p>
      <w:pPr>
        <w:ind w:left="760" w:hanging="752"/>
        <w:spacing w:after="0"/>
        <w:tabs>
          <w:tab w:leader="none" w:pos="760"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Supplement to Original Agreement</w:t>
      </w:r>
    </w:p>
    <w:p>
      <w:pPr>
        <w:spacing w:after="0" w:line="251"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8"/>
          <w:szCs w:val="18"/>
          <w:color w:val="auto"/>
        </w:rPr>
        <w:t>The Parties hereby acknowledge and agree, notwithstanding any provision of the Original Agreement:</w:t>
      </w:r>
    </w:p>
    <w:p>
      <w:pPr>
        <w:spacing w:after="0" w:line="227" w:lineRule="exact"/>
        <w:rPr>
          <w:sz w:val="20"/>
          <w:szCs w:val="20"/>
          <w:color w:val="auto"/>
        </w:rPr>
      </w:pPr>
    </w:p>
    <w:p>
      <w:pPr>
        <w:ind w:left="1500" w:hanging="743"/>
        <w:spacing w:after="0"/>
        <w:tabs>
          <w:tab w:leader="none" w:pos="15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Third Patent Application shall be jointly owned by the Parties;</w:t>
      </w:r>
    </w:p>
    <w:p>
      <w:pPr>
        <w:spacing w:after="0" w:line="227" w:lineRule="exact"/>
        <w:rPr>
          <w:rFonts w:ascii="Arial" w:cs="Arial" w:eastAsia="Arial" w:hAnsi="Arial"/>
          <w:sz w:val="19"/>
          <w:szCs w:val="19"/>
          <w:color w:val="auto"/>
        </w:rPr>
      </w:pPr>
    </w:p>
    <w:p>
      <w:pPr>
        <w:ind w:left="1500" w:hanging="743"/>
        <w:spacing w:after="0" w:line="261" w:lineRule="auto"/>
        <w:tabs>
          <w:tab w:leader="none" w:pos="15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Gemini shall have the exclusive right to prepare and file the Third Patent Application at Gemini’s discretion and expense (and Sanquin shall not take any action in connection with the same);</w:t>
      </w:r>
    </w:p>
    <w:p>
      <w:pPr>
        <w:spacing w:after="0" w:line="199" w:lineRule="exact"/>
        <w:rPr>
          <w:rFonts w:ascii="Arial" w:cs="Arial" w:eastAsia="Arial" w:hAnsi="Arial"/>
          <w:sz w:val="19"/>
          <w:szCs w:val="19"/>
          <w:color w:val="auto"/>
        </w:rPr>
      </w:pPr>
    </w:p>
    <w:p>
      <w:pPr>
        <w:jc w:val="both"/>
        <w:ind w:left="1500" w:hanging="743"/>
        <w:spacing w:after="0" w:line="252" w:lineRule="auto"/>
        <w:tabs>
          <w:tab w:leader="none" w:pos="15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Gemini will have the first right (but not the obligation) to prosecute and maintain the Third Patent Application and shall use counsel reasonably acceptable to Sanquin for such activities. Gemini will provide to Sanquin all patent office papers promptly upon receipt, and drafts of responses to office actions from and other substantive filings with any patent office regarding the Third Patent Application sufficiently in advance before their submission to enable review and comment by Sanquin, and Gemini will consider in good faith all comments made by Sanquin. If Gemini chooses not to continue with the prosecution and maintenance of any patent right within the Third Patent Application, Gemini will notify Sanquin of such decision at least ninety (90) days before any such patent right would become forfeited or abandoned, and Sanquin will have the right (but not the obligation) to prosecute and maintain the relevant patent right(s) within the Third Patent Application provided that Sanquin will provide to Gemini all patent office papers promptly upon receipt, and drafts of responses to office actions from and other substantive filings with any patent office regarding the relevant patent right(s) sufficiently in advance before their submission to enable review and comment by Gemini, and Sanquin will consider in good faith all comments made by Gemini;</w:t>
      </w:r>
    </w:p>
    <w:p>
      <w:pPr>
        <w:spacing w:after="0" w:line="217" w:lineRule="exact"/>
        <w:rPr>
          <w:rFonts w:ascii="Arial" w:cs="Arial" w:eastAsia="Arial" w:hAnsi="Arial"/>
          <w:sz w:val="19"/>
          <w:szCs w:val="19"/>
          <w:color w:val="auto"/>
        </w:rPr>
      </w:pPr>
    </w:p>
    <w:p>
      <w:pPr>
        <w:ind w:left="1500" w:right="20" w:hanging="743"/>
        <w:spacing w:after="0" w:line="261" w:lineRule="auto"/>
        <w:tabs>
          <w:tab w:leader="none" w:pos="15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provisions of clauses 7.2 and 7.3 of the Original Agreement shall apply equally to the Third Patent Application (including following termination of the Original Agreement).</w:t>
      </w:r>
    </w:p>
    <w:p>
      <w:pPr>
        <w:spacing w:after="0" w:line="199" w:lineRule="exact"/>
        <w:rPr>
          <w:rFonts w:ascii="Arial" w:cs="Arial" w:eastAsia="Arial" w:hAnsi="Arial"/>
          <w:sz w:val="19"/>
          <w:szCs w:val="19"/>
          <w:color w:val="auto"/>
        </w:rPr>
      </w:pPr>
    </w:p>
    <w:p>
      <w:pPr>
        <w:jc w:val="both"/>
        <w:ind w:left="1500" w:hanging="743"/>
        <w:spacing w:after="0" w:line="255" w:lineRule="auto"/>
        <w:tabs>
          <w:tab w:leader="none" w:pos="15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Subject to clause 2.1(f) of this Amendment, Sanquin hereby grants to Gemini and its Affiliates an exclusive (even as to Sanquin however with the exception under clause 2.1(f)) worldwide license, with the right to sublicense through multiple tiers, under the Third Patent Application for all purposes in all fields, provided that such sub-licences will honour and follow provisions in this Amendment.</w:t>
      </w:r>
    </w:p>
    <w:p>
      <w:pPr>
        <w:spacing w:after="0" w:line="205" w:lineRule="exact"/>
        <w:rPr>
          <w:rFonts w:ascii="Arial" w:cs="Arial" w:eastAsia="Arial" w:hAnsi="Arial"/>
          <w:sz w:val="19"/>
          <w:szCs w:val="19"/>
          <w:color w:val="auto"/>
        </w:rPr>
      </w:pPr>
    </w:p>
    <w:p>
      <w:pPr>
        <w:ind w:left="1500" w:hanging="743"/>
        <w:spacing w:after="0"/>
        <w:tabs>
          <w:tab w:leader="none" w:pos="15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Gemini hereby grants to Sanquin a non-exclusive, fully paid-up, non-transferable: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3" w:name="page144"/>
    <w:bookmarkEnd w:id="143"/>
    <w:p>
      <w:pPr>
        <w:ind w:left="2960" w:right="20" w:hanging="740"/>
        <w:spacing w:after="0" w:line="261" w:lineRule="auto"/>
        <w:tabs>
          <w:tab w:leader="none" w:pos="2960" w:val="left"/>
        </w:tabs>
        <w:numPr>
          <w:ilvl w:val="1"/>
          <w:numId w:val="88"/>
        </w:numPr>
        <w:rPr>
          <w:rFonts w:ascii="Arial" w:cs="Arial" w:eastAsia="Arial" w:hAnsi="Arial"/>
          <w:sz w:val="19"/>
          <w:szCs w:val="19"/>
          <w:color w:val="auto"/>
        </w:rPr>
      </w:pPr>
      <w:r>
        <w:rPr>
          <w:rFonts w:ascii="Arial" w:cs="Arial" w:eastAsia="Arial" w:hAnsi="Arial"/>
          <w:sz w:val="19"/>
          <w:szCs w:val="19"/>
          <w:color w:val="auto"/>
        </w:rPr>
        <w:t>non-sublicensable, licence under the Third Patent Application solely for the purpose of performing its obligations under the Research Plan;</w:t>
      </w:r>
    </w:p>
    <w:p>
      <w:pPr>
        <w:spacing w:after="0" w:line="199" w:lineRule="exact"/>
        <w:rPr>
          <w:rFonts w:ascii="Arial" w:cs="Arial" w:eastAsia="Arial" w:hAnsi="Arial"/>
          <w:sz w:val="19"/>
          <w:szCs w:val="19"/>
          <w:color w:val="auto"/>
        </w:rPr>
      </w:pPr>
    </w:p>
    <w:p>
      <w:pPr>
        <w:jc w:val="both"/>
        <w:ind w:left="2960" w:hanging="740"/>
        <w:spacing w:after="0" w:line="255" w:lineRule="auto"/>
        <w:tabs>
          <w:tab w:leader="none" w:pos="2960" w:val="left"/>
        </w:tabs>
        <w:numPr>
          <w:ilvl w:val="1"/>
          <w:numId w:val="88"/>
        </w:numPr>
        <w:rPr>
          <w:rFonts w:ascii="Arial" w:cs="Arial" w:eastAsia="Arial" w:hAnsi="Arial"/>
          <w:sz w:val="19"/>
          <w:szCs w:val="19"/>
          <w:color w:val="auto"/>
        </w:rPr>
      </w:pPr>
      <w:r>
        <w:rPr>
          <w:rFonts w:ascii="Arial" w:cs="Arial" w:eastAsia="Arial" w:hAnsi="Arial"/>
          <w:sz w:val="19"/>
          <w:szCs w:val="19"/>
          <w:color w:val="auto"/>
        </w:rPr>
        <w:t>license to use and permit other non-profit research institutions to use the Third Patent Application for educational and non-clinical research purposes provided that such third parties are not granted any rights to sell or commercialize products or services within the scope of the Third Patent Application.</w:t>
      </w:r>
    </w:p>
    <w:p>
      <w:pPr>
        <w:spacing w:after="0" w:line="205" w:lineRule="exact"/>
        <w:rPr>
          <w:rFonts w:ascii="Arial" w:cs="Arial" w:eastAsia="Arial" w:hAnsi="Arial"/>
          <w:sz w:val="19"/>
          <w:szCs w:val="19"/>
          <w:color w:val="auto"/>
        </w:rPr>
      </w:pPr>
    </w:p>
    <w:p>
      <w:pPr>
        <w:ind w:left="1500" w:hanging="743"/>
        <w:spacing w:after="0"/>
        <w:tabs>
          <w:tab w:leader="none" w:pos="15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 the event of termination of the Original Agreement prior to expiry of the Third Patent Application:</w:t>
      </w:r>
    </w:p>
    <w:p>
      <w:pPr>
        <w:spacing w:after="0" w:line="227" w:lineRule="exact"/>
        <w:rPr>
          <w:rFonts w:ascii="Arial" w:cs="Arial" w:eastAsia="Arial" w:hAnsi="Arial"/>
          <w:sz w:val="19"/>
          <w:szCs w:val="19"/>
          <w:color w:val="auto"/>
        </w:rPr>
      </w:pPr>
    </w:p>
    <w:p>
      <w:pPr>
        <w:ind w:left="2960" w:hanging="740"/>
        <w:spacing w:after="0" w:line="261" w:lineRule="auto"/>
        <w:tabs>
          <w:tab w:leader="none" w:pos="2960"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provisions of clauses 2.1(a) to 2.1(d)of this Amendment shall continue to apply until expiry of the Third Patent Application (unless otherwise mutually agreed by the Parties in writing);</w:t>
      </w:r>
    </w:p>
    <w:p>
      <w:pPr>
        <w:spacing w:after="0" w:line="199" w:lineRule="exact"/>
        <w:rPr>
          <w:rFonts w:ascii="Arial" w:cs="Arial" w:eastAsia="Arial" w:hAnsi="Arial"/>
          <w:sz w:val="19"/>
          <w:szCs w:val="19"/>
          <w:color w:val="auto"/>
        </w:rPr>
      </w:pPr>
    </w:p>
    <w:p>
      <w:pPr>
        <w:jc w:val="both"/>
        <w:ind w:left="2960" w:hanging="740"/>
        <w:spacing w:after="0" w:line="254" w:lineRule="auto"/>
        <w:tabs>
          <w:tab w:leader="none" w:pos="2960"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provisions of clauses 2.1(e) and 2.1(f) of this Amendment shall terminate and each Party shall have (and to the extent necessary hereby grants and agrees to grant to the other) a fully paid-up, non-exclusive, worldwide, perpetual, irrevocable, transferable license, with the right to sublicense through multiple tiers, under the Third Patent Application for all purposes in all fields; in all cases without any obligation to account to the other Party.</w:t>
      </w:r>
    </w:p>
    <w:p>
      <w:pPr>
        <w:spacing w:after="0" w:line="207" w:lineRule="exact"/>
        <w:rPr>
          <w:rFonts w:ascii="Arial" w:cs="Arial" w:eastAsia="Arial" w:hAnsi="Arial"/>
          <w:sz w:val="19"/>
          <w:szCs w:val="19"/>
          <w:color w:val="auto"/>
        </w:rPr>
      </w:pPr>
    </w:p>
    <w:p>
      <w:pPr>
        <w:jc w:val="both"/>
        <w:ind w:left="1500" w:hanging="743"/>
        <w:spacing w:after="0" w:line="252" w:lineRule="auto"/>
        <w:tabs>
          <w:tab w:leader="none" w:pos="15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Third Patent Application shall be deemed to be included within “Research Program Patent Right” and “Research Program Intellectual Property” for the purposes of the following clauses of the Original Agreement: 3,</w:t>
      </w:r>
    </w:p>
    <w:p>
      <w:pPr>
        <w:ind w:left="1500"/>
        <w:spacing w:after="0"/>
        <w:rPr>
          <w:rFonts w:ascii="Arial" w:cs="Arial" w:eastAsia="Arial" w:hAnsi="Arial"/>
          <w:sz w:val="19"/>
          <w:szCs w:val="19"/>
          <w:color w:val="auto"/>
        </w:rPr>
      </w:pPr>
      <w:r>
        <w:rPr>
          <w:rFonts w:ascii="Arial" w:cs="Arial" w:eastAsia="Arial" w:hAnsi="Arial"/>
          <w:sz w:val="19"/>
          <w:szCs w:val="19"/>
          <w:color w:val="auto"/>
        </w:rPr>
        <w:t>4.4(c), 4.5 and 8.3 and in addition:</w:t>
      </w:r>
    </w:p>
    <w:p>
      <w:pPr>
        <w:spacing w:after="0" w:line="227" w:lineRule="exact"/>
        <w:rPr>
          <w:rFonts w:ascii="Arial" w:cs="Arial" w:eastAsia="Arial" w:hAnsi="Arial"/>
          <w:sz w:val="19"/>
          <w:szCs w:val="19"/>
          <w:color w:val="auto"/>
        </w:rPr>
      </w:pPr>
    </w:p>
    <w:p>
      <w:pPr>
        <w:ind w:left="2960" w:hanging="740"/>
        <w:spacing w:after="0" w:line="261" w:lineRule="auto"/>
        <w:tabs>
          <w:tab w:leader="none" w:pos="2960" w:val="left"/>
        </w:tabs>
        <w:numPr>
          <w:ilvl w:val="1"/>
          <w:numId w:val="89"/>
        </w:numPr>
        <w:rPr>
          <w:rFonts w:ascii="Arial" w:cs="Arial" w:eastAsia="Arial" w:hAnsi="Arial"/>
          <w:sz w:val="19"/>
          <w:szCs w:val="19"/>
          <w:color w:val="auto"/>
        </w:rPr>
      </w:pPr>
      <w:r>
        <w:rPr>
          <w:rFonts w:ascii="Arial" w:cs="Arial" w:eastAsia="Arial" w:hAnsi="Arial"/>
          <w:sz w:val="19"/>
          <w:szCs w:val="19"/>
          <w:color w:val="auto"/>
        </w:rPr>
        <w:t>1.16 (definition of “Licensed Product”) and all instances in which such defined term is used in the Original Agreement;</w:t>
      </w:r>
    </w:p>
    <w:p>
      <w:pPr>
        <w:spacing w:after="0" w:line="199" w:lineRule="exact"/>
        <w:rPr>
          <w:rFonts w:ascii="Arial" w:cs="Arial" w:eastAsia="Arial" w:hAnsi="Arial"/>
          <w:sz w:val="19"/>
          <w:szCs w:val="19"/>
          <w:color w:val="auto"/>
        </w:rPr>
      </w:pPr>
    </w:p>
    <w:p>
      <w:pPr>
        <w:ind w:left="2960" w:hanging="740"/>
        <w:spacing w:after="0" w:line="261" w:lineRule="auto"/>
        <w:tabs>
          <w:tab w:leader="none" w:pos="2960" w:val="left"/>
        </w:tabs>
        <w:numPr>
          <w:ilvl w:val="1"/>
          <w:numId w:val="89"/>
        </w:numPr>
        <w:rPr>
          <w:rFonts w:ascii="Arial" w:cs="Arial" w:eastAsia="Arial" w:hAnsi="Arial"/>
          <w:sz w:val="19"/>
          <w:szCs w:val="19"/>
          <w:color w:val="auto"/>
        </w:rPr>
      </w:pPr>
      <w:r>
        <w:rPr>
          <w:rFonts w:ascii="Arial" w:cs="Arial" w:eastAsia="Arial" w:hAnsi="Arial"/>
          <w:sz w:val="19"/>
          <w:szCs w:val="19"/>
          <w:color w:val="auto"/>
        </w:rPr>
        <w:t>1.19 (definition of “Non-Royalty Sublicense Income”) and all instances in which such defined term is used in the Original Agreement;</w:t>
      </w:r>
    </w:p>
    <w:p>
      <w:pPr>
        <w:spacing w:after="0" w:line="199" w:lineRule="exact"/>
        <w:rPr>
          <w:rFonts w:ascii="Arial" w:cs="Arial" w:eastAsia="Arial" w:hAnsi="Arial"/>
          <w:sz w:val="19"/>
          <w:szCs w:val="19"/>
          <w:color w:val="auto"/>
        </w:rPr>
      </w:pPr>
    </w:p>
    <w:p>
      <w:pPr>
        <w:ind w:left="2960" w:hanging="740"/>
        <w:spacing w:after="0" w:line="261" w:lineRule="auto"/>
        <w:tabs>
          <w:tab w:leader="none" w:pos="2960" w:val="left"/>
        </w:tabs>
        <w:numPr>
          <w:ilvl w:val="1"/>
          <w:numId w:val="89"/>
        </w:numPr>
        <w:rPr>
          <w:rFonts w:ascii="Arial" w:cs="Arial" w:eastAsia="Arial" w:hAnsi="Arial"/>
          <w:sz w:val="19"/>
          <w:szCs w:val="19"/>
          <w:color w:val="auto"/>
        </w:rPr>
      </w:pPr>
      <w:r>
        <w:rPr>
          <w:rFonts w:ascii="Arial" w:cs="Arial" w:eastAsia="Arial" w:hAnsi="Arial"/>
          <w:sz w:val="19"/>
          <w:szCs w:val="19"/>
          <w:color w:val="auto"/>
        </w:rPr>
        <w:t>1.32 (definition of “Sanquin Intellectual Property”) and all instances in which such defined term is used in the Original Agreement; and</w:t>
      </w:r>
    </w:p>
    <w:p>
      <w:pPr>
        <w:spacing w:after="0" w:line="199" w:lineRule="exact"/>
        <w:rPr>
          <w:rFonts w:ascii="Arial" w:cs="Arial" w:eastAsia="Arial" w:hAnsi="Arial"/>
          <w:sz w:val="19"/>
          <w:szCs w:val="19"/>
          <w:color w:val="auto"/>
        </w:rPr>
      </w:pPr>
    </w:p>
    <w:p>
      <w:pPr>
        <w:ind w:left="2960" w:hanging="740"/>
        <w:spacing w:after="0" w:line="261" w:lineRule="auto"/>
        <w:tabs>
          <w:tab w:leader="none" w:pos="2960" w:val="left"/>
        </w:tabs>
        <w:numPr>
          <w:ilvl w:val="1"/>
          <w:numId w:val="89"/>
        </w:numPr>
        <w:rPr>
          <w:rFonts w:ascii="Arial" w:cs="Arial" w:eastAsia="Arial" w:hAnsi="Arial"/>
          <w:sz w:val="19"/>
          <w:szCs w:val="19"/>
          <w:color w:val="auto"/>
        </w:rPr>
      </w:pPr>
      <w:r>
        <w:rPr>
          <w:rFonts w:ascii="Arial" w:cs="Arial" w:eastAsia="Arial" w:hAnsi="Arial"/>
          <w:sz w:val="19"/>
          <w:szCs w:val="19"/>
          <w:color w:val="auto"/>
        </w:rPr>
        <w:t>1.36 (definition of “Valid Claim”) and all instances in which such defined term is used in the Original Agreement; and</w:t>
      </w:r>
    </w:p>
    <w:p>
      <w:pPr>
        <w:spacing w:after="0" w:line="199" w:lineRule="exact"/>
        <w:rPr>
          <w:rFonts w:ascii="Arial" w:cs="Arial" w:eastAsia="Arial" w:hAnsi="Arial"/>
          <w:sz w:val="19"/>
          <w:szCs w:val="19"/>
          <w:color w:val="auto"/>
        </w:rPr>
      </w:pPr>
    </w:p>
    <w:p>
      <w:pPr>
        <w:jc w:val="both"/>
        <w:ind w:left="1500" w:hanging="743"/>
        <w:spacing w:after="0" w:line="256" w:lineRule="auto"/>
        <w:tabs>
          <w:tab w:leader="none" w:pos="15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Third Patent Application shall be deemed not to be included within “Research Program Patent Right” or “Research Program Intellectual Property” for the purposes of the following clauses of the Original Agreement: 2.1(b), 4.3(b), 7.1, 8.1, 8.4, and 10.3.</w:t>
      </w:r>
    </w:p>
    <w:p>
      <w:pPr>
        <w:spacing w:after="0" w:line="205" w:lineRule="exact"/>
        <w:rPr>
          <w:sz w:val="20"/>
          <w:szCs w:val="20"/>
          <w:color w:val="auto"/>
        </w:rPr>
      </w:pPr>
    </w:p>
    <w:p>
      <w:pPr>
        <w:ind w:left="760" w:right="20" w:hanging="748"/>
        <w:spacing w:after="0" w:line="261" w:lineRule="auto"/>
        <w:tabs>
          <w:tab w:leader="none" w:pos="74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With effect from 1 April 2017 clause 10.4 of the Original Agreement shall be deemed to be deleted and replaced with the following: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4" w:name="page145"/>
    <w:bookmarkEnd w:id="144"/>
    <w:p>
      <w:pPr>
        <w:jc w:val="both"/>
        <w:ind w:left="1500"/>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Termination or expiration of this Agreement will not affect the rights and obligations of the Parties accrued prior to</w:t>
      </w:r>
      <w:r>
        <w:rPr>
          <w:rFonts w:ascii="Arial" w:cs="Arial" w:eastAsia="Arial" w:hAnsi="Arial"/>
          <w:sz w:val="19"/>
          <w:szCs w:val="19"/>
          <w:color w:val="auto"/>
        </w:rPr>
        <w:t xml:space="preserve"> </w:t>
      </w:r>
      <w:r>
        <w:rPr>
          <w:rFonts w:ascii="Arial" w:cs="Arial" w:eastAsia="Arial" w:hAnsi="Arial"/>
          <w:sz w:val="19"/>
          <w:szCs w:val="19"/>
          <w:i w:val="1"/>
          <w:iCs w:val="1"/>
          <w:color w:val="auto"/>
        </w:rPr>
        <w:t>termination hereof. The provisions of Section 4.9 Section 10.2 and this Section 10.4, Article 1, entitled Definitions; Article 3, entitled Term of Agreement; Article 7, entitled Intellectual Property; Article 8.2(b) entitled Sublicensing Terms and Article 8.5, entitled No Implied Rights; Article 9, entitled Confidentiality, Publication, Use of Name; Article 11, entitled Warranties, Indemnification; Article 12, entitled Dispute Resolution; and Article 13, entitled Additional Provisions will survive any such termination or expiration.</w:t>
      </w:r>
      <w:r>
        <w:rPr>
          <w:rFonts w:ascii="Arial" w:cs="Arial" w:eastAsia="Arial" w:hAnsi="Arial"/>
          <w:sz w:val="19"/>
          <w:szCs w:val="19"/>
          <w:color w:val="auto"/>
        </w:rPr>
        <w:t>”</w:t>
      </w:r>
    </w:p>
    <w:p>
      <w:pPr>
        <w:spacing w:after="0" w:line="204"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With effect from April 29, 2018, the definition of “Research Program Patent Rights” shall be deemed to include, without limitation, the Second Patent Application.</w:t>
      </w:r>
    </w:p>
    <w:p>
      <w:pPr>
        <w:spacing w:after="0" w:line="200"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The Parties acknowledge and agree that, at all times prior to the Amendment Date, Gemini has complied with all of its obligations under clause 6.1 of the Original Agreement and Sanquin does not have any right to terminate the Original Agreement for any breach of clause 6.1 of the Original Agreement prior to the Amendment Date.</w:t>
      </w:r>
    </w:p>
    <w:p>
      <w:pPr>
        <w:spacing w:after="0" w:line="181" w:lineRule="exact"/>
        <w:rPr>
          <w:sz w:val="20"/>
          <w:szCs w:val="20"/>
          <w:color w:val="auto"/>
        </w:rPr>
      </w:pPr>
    </w:p>
    <w:p>
      <w:pPr>
        <w:ind w:left="760" w:hanging="752"/>
        <w:spacing w:after="0"/>
        <w:tabs>
          <w:tab w:leader="none" w:pos="760"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p>
    <w:p>
      <w:pPr>
        <w:spacing w:after="0" w:line="251" w:lineRule="exact"/>
        <w:rPr>
          <w:sz w:val="20"/>
          <w:szCs w:val="20"/>
          <w:color w:val="auto"/>
        </w:rPr>
      </w:pPr>
    </w:p>
    <w:p>
      <w:pPr>
        <w:ind w:left="760" w:right="20" w:hanging="748"/>
        <w:spacing w:after="0" w:line="261" w:lineRule="auto"/>
        <w:tabs>
          <w:tab w:leader="none" w:pos="74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provisions of clause 12 of the Original Agreement shall apply equally to disputes of any nature arising under, relating to, or in connection with this Amendment.</w:t>
      </w:r>
    </w:p>
    <w:p>
      <w:pPr>
        <w:spacing w:after="0" w:line="200" w:lineRule="exact"/>
        <w:rPr>
          <w:sz w:val="20"/>
          <w:szCs w:val="20"/>
          <w:color w:val="auto"/>
        </w:rPr>
      </w:pPr>
    </w:p>
    <w:p>
      <w:pPr>
        <w:ind w:left="760" w:right="20" w:hanging="748"/>
        <w:spacing w:after="0" w:line="261" w:lineRule="auto"/>
        <w:tabs>
          <w:tab w:leader="none" w:pos="74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The provisions of clause 13 of the Original Agreement shall apply equally to this Amendment (and references to ‘hereunder’ or ‘this Agreement’ or similar shall include a reference to this Amendment and its provisions).</w:t>
      </w:r>
    </w:p>
    <w:p>
      <w:pPr>
        <w:spacing w:after="0" w:line="200" w:lineRule="exact"/>
        <w:rPr>
          <w:sz w:val="20"/>
          <w:szCs w:val="20"/>
          <w:color w:val="auto"/>
        </w:rPr>
      </w:pPr>
    </w:p>
    <w:p>
      <w:pPr>
        <w:ind w:left="760" w:hanging="748"/>
        <w:spacing w:after="0" w:line="261" w:lineRule="auto"/>
        <w:tabs>
          <w:tab w:leader="none" w:pos="7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9"/>
          <w:szCs w:val="19"/>
          <w:color w:val="auto"/>
        </w:rPr>
        <w:t>Each Party agrees to execute, acknowledge, and deliver all such further instruments, and do all such further similar acts, as may be necessary or appropriate to carry out the purpose and intent of this Amendment.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Agreed by the Parties through their authorized signatories:</w:t>
      </w:r>
    </w:p>
    <w:p>
      <w:pPr>
        <w:spacing w:after="0" w:line="227" w:lineRule="exact"/>
        <w:rPr>
          <w:sz w:val="20"/>
          <w:szCs w:val="20"/>
          <w:color w:val="auto"/>
        </w:rPr>
      </w:pPr>
    </w:p>
    <w:p>
      <w:pPr>
        <w:spacing w:after="0"/>
        <w:tabs>
          <w:tab w:leader="none" w:pos="3340" w:val="left"/>
        </w:tabs>
        <w:rPr>
          <w:sz w:val="20"/>
          <w:szCs w:val="20"/>
          <w:color w:val="auto"/>
        </w:rPr>
      </w:pPr>
      <w:r>
        <w:rPr>
          <w:rFonts w:ascii="Arial" w:cs="Arial" w:eastAsia="Arial" w:hAnsi="Arial"/>
          <w:sz w:val="19"/>
          <w:szCs w:val="19"/>
          <w:b w:val="1"/>
          <w:bCs w:val="1"/>
          <w:color w:val="auto"/>
        </w:rPr>
        <w:t>Sanquin Blood Supply Foundation</w:t>
      </w:r>
      <w:r>
        <w:rPr>
          <w:sz w:val="20"/>
          <w:szCs w:val="20"/>
          <w:color w:val="auto"/>
        </w:rPr>
        <w:tab/>
      </w:r>
      <w:r>
        <w:rPr>
          <w:rFonts w:ascii="Arial" w:cs="Arial" w:eastAsia="Arial" w:hAnsi="Arial"/>
          <w:sz w:val="18"/>
          <w:szCs w:val="18"/>
          <w:b w:val="1"/>
          <w:bCs w:val="1"/>
          <w:color w:val="auto"/>
        </w:rPr>
        <w:t>Gemini Therapeutics Sub,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60" w:type="dxa"/>
            <w:vAlign w:val="bottom"/>
            <w:gridSpan w:val="2"/>
          </w:tcPr>
          <w:p>
            <w:pPr>
              <w:spacing w:after="0"/>
              <w:rPr>
                <w:sz w:val="20"/>
                <w:szCs w:val="20"/>
                <w:color w:val="auto"/>
              </w:rPr>
            </w:pPr>
            <w:r>
              <w:rPr>
                <w:rFonts w:ascii="Arial" w:cs="Arial" w:eastAsia="Arial" w:hAnsi="Arial"/>
                <w:sz w:val="19"/>
                <w:szCs w:val="19"/>
                <w:color w:val="auto"/>
              </w:rPr>
              <w:t>Signature:</w:t>
            </w:r>
          </w:p>
        </w:tc>
        <w:tc>
          <w:tcPr>
            <w:tcW w:w="2940" w:type="dxa"/>
            <w:vAlign w:val="bottom"/>
            <w:gridSpan w:val="4"/>
          </w:tcPr>
          <w:p>
            <w:pPr>
              <w:spacing w:after="0"/>
              <w:rPr>
                <w:sz w:val="20"/>
                <w:szCs w:val="20"/>
                <w:color w:val="auto"/>
              </w:rPr>
            </w:pPr>
            <w:r>
              <w:rPr>
                <w:rFonts w:ascii="Arial" w:cs="Arial" w:eastAsia="Arial" w:hAnsi="Arial"/>
                <w:sz w:val="19"/>
                <w:szCs w:val="19"/>
                <w:color w:val="auto"/>
              </w:rPr>
              <w:t>/s/ Gerald de Haan Signature:</w:t>
            </w:r>
          </w:p>
        </w:tc>
        <w:tc>
          <w:tcPr>
            <w:tcW w:w="1320" w:type="dxa"/>
            <w:vAlign w:val="bottom"/>
          </w:tcPr>
          <w:p>
            <w:pPr>
              <w:spacing w:after="0"/>
              <w:rPr>
                <w:sz w:val="20"/>
                <w:szCs w:val="20"/>
                <w:color w:val="auto"/>
              </w:rPr>
            </w:pPr>
            <w:r>
              <w:rPr>
                <w:rFonts w:ascii="Arial" w:cs="Arial" w:eastAsia="Arial" w:hAnsi="Arial"/>
                <w:sz w:val="19"/>
                <w:szCs w:val="19"/>
                <w:color w:val="auto"/>
                <w:w w:val="98"/>
              </w:rPr>
              <w:t>/s/ Brian Piekos</w:t>
            </w:r>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468"/>
        </w:trPr>
        <w:tc>
          <w:tcPr>
            <w:tcW w:w="700" w:type="dxa"/>
            <w:vAlign w:val="bottom"/>
          </w:tcPr>
          <w:p>
            <w:pPr>
              <w:spacing w:after="0"/>
              <w:rPr>
                <w:sz w:val="20"/>
                <w:szCs w:val="20"/>
                <w:color w:val="auto"/>
              </w:rPr>
            </w:pPr>
            <w:r>
              <w:rPr>
                <w:rFonts w:ascii="Arial" w:cs="Arial" w:eastAsia="Arial" w:hAnsi="Arial"/>
                <w:sz w:val="19"/>
                <w:szCs w:val="19"/>
                <w:color w:val="auto"/>
              </w:rPr>
              <w:t>Name:</w:t>
            </w:r>
          </w:p>
        </w:tc>
        <w:tc>
          <w:tcPr>
            <w:tcW w:w="1740" w:type="dxa"/>
            <w:vAlign w:val="bottom"/>
            <w:gridSpan w:val="2"/>
          </w:tcPr>
          <w:p>
            <w:pPr>
              <w:ind w:left="140"/>
              <w:spacing w:after="0"/>
              <w:rPr>
                <w:sz w:val="20"/>
                <w:szCs w:val="20"/>
                <w:color w:val="auto"/>
              </w:rPr>
            </w:pPr>
            <w:r>
              <w:rPr>
                <w:rFonts w:ascii="Arial" w:cs="Arial" w:eastAsia="Arial" w:hAnsi="Arial"/>
                <w:sz w:val="19"/>
                <w:szCs w:val="19"/>
                <w:color w:val="auto"/>
              </w:rPr>
              <w:t>Gerald de Haan</w:t>
            </w:r>
          </w:p>
        </w:tc>
        <w:tc>
          <w:tcPr>
            <w:tcW w:w="780" w:type="dxa"/>
            <w:vAlign w:val="bottom"/>
            <w:gridSpan w:val="2"/>
          </w:tcPr>
          <w:p>
            <w:pPr>
              <w:ind w:left="80"/>
              <w:spacing w:after="0"/>
              <w:rPr>
                <w:sz w:val="20"/>
                <w:szCs w:val="20"/>
                <w:color w:val="auto"/>
              </w:rPr>
            </w:pPr>
            <w:r>
              <w:rPr>
                <w:rFonts w:ascii="Arial" w:cs="Arial" w:eastAsia="Arial" w:hAnsi="Arial"/>
                <w:sz w:val="19"/>
                <w:szCs w:val="19"/>
                <w:color w:val="auto"/>
              </w:rPr>
              <w:t>Name:</w:t>
            </w:r>
          </w:p>
        </w:tc>
        <w:tc>
          <w:tcPr>
            <w:tcW w:w="2300" w:type="dxa"/>
            <w:vAlign w:val="bottom"/>
            <w:gridSpan w:val="2"/>
          </w:tcPr>
          <w:p>
            <w:pPr>
              <w:ind w:left="140"/>
              <w:spacing w:after="0"/>
              <w:rPr>
                <w:sz w:val="20"/>
                <w:szCs w:val="20"/>
                <w:color w:val="auto"/>
              </w:rPr>
            </w:pPr>
            <w:r>
              <w:rPr>
                <w:rFonts w:ascii="Arial" w:cs="Arial" w:eastAsia="Arial" w:hAnsi="Arial"/>
                <w:sz w:val="19"/>
                <w:szCs w:val="19"/>
                <w:color w:val="auto"/>
              </w:rPr>
              <w:t>Brian Piekos</w:t>
            </w:r>
          </w:p>
        </w:tc>
      </w:tr>
      <w:tr>
        <w:trPr>
          <w:trHeight w:val="445"/>
        </w:trPr>
        <w:tc>
          <w:tcPr>
            <w:tcW w:w="700" w:type="dxa"/>
            <w:vAlign w:val="bottom"/>
          </w:tcPr>
          <w:p>
            <w:pPr>
              <w:spacing w:after="0"/>
              <w:rPr>
                <w:sz w:val="20"/>
                <w:szCs w:val="20"/>
                <w:color w:val="auto"/>
              </w:rPr>
            </w:pPr>
            <w:r>
              <w:rPr>
                <w:rFonts w:ascii="Arial" w:cs="Arial" w:eastAsia="Arial" w:hAnsi="Arial"/>
                <w:sz w:val="19"/>
                <w:szCs w:val="19"/>
                <w:color w:val="auto"/>
              </w:rPr>
              <w:t>Title:</w:t>
            </w:r>
          </w:p>
        </w:tc>
        <w:tc>
          <w:tcPr>
            <w:tcW w:w="1740" w:type="dxa"/>
            <w:vAlign w:val="bottom"/>
            <w:gridSpan w:val="2"/>
          </w:tcPr>
          <w:p>
            <w:pPr>
              <w:ind w:left="140"/>
              <w:spacing w:after="0"/>
              <w:rPr>
                <w:sz w:val="20"/>
                <w:szCs w:val="20"/>
                <w:color w:val="auto"/>
              </w:rPr>
            </w:pPr>
            <w:r>
              <w:rPr>
                <w:rFonts w:ascii="Arial" w:cs="Arial" w:eastAsia="Arial" w:hAnsi="Arial"/>
                <w:sz w:val="19"/>
                <w:szCs w:val="19"/>
                <w:color w:val="auto"/>
              </w:rPr>
              <w:t>Director Research</w:t>
            </w:r>
          </w:p>
        </w:tc>
        <w:tc>
          <w:tcPr>
            <w:tcW w:w="780" w:type="dxa"/>
            <w:vAlign w:val="bottom"/>
            <w:gridSpan w:val="2"/>
          </w:tcPr>
          <w:p>
            <w:pPr>
              <w:ind w:left="80"/>
              <w:spacing w:after="0"/>
              <w:rPr>
                <w:sz w:val="20"/>
                <w:szCs w:val="20"/>
                <w:color w:val="auto"/>
              </w:rPr>
            </w:pPr>
            <w:r>
              <w:rPr>
                <w:rFonts w:ascii="Arial" w:cs="Arial" w:eastAsia="Arial" w:hAnsi="Arial"/>
                <w:sz w:val="19"/>
                <w:szCs w:val="19"/>
                <w:color w:val="auto"/>
              </w:rPr>
              <w:t>Title:</w:t>
            </w:r>
          </w:p>
        </w:tc>
        <w:tc>
          <w:tcPr>
            <w:tcW w:w="2300" w:type="dxa"/>
            <w:vAlign w:val="bottom"/>
            <w:gridSpan w:val="2"/>
          </w:tcPr>
          <w:p>
            <w:pPr>
              <w:ind w:left="340"/>
              <w:spacing w:after="0"/>
              <w:rPr>
                <w:sz w:val="20"/>
                <w:szCs w:val="20"/>
                <w:color w:val="auto"/>
              </w:rPr>
            </w:pPr>
            <w:r>
              <w:rPr>
                <w:rFonts w:ascii="Arial" w:cs="Arial" w:eastAsia="Arial" w:hAnsi="Arial"/>
                <w:sz w:val="19"/>
                <w:szCs w:val="19"/>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98" w:lineRule="exact"/>
        <w:rPr>
          <w:sz w:val="20"/>
          <w:szCs w:val="20"/>
          <w:color w:val="auto"/>
        </w:rPr>
      </w:pPr>
    </w:p>
    <w:p>
      <w:pPr>
        <w:ind w:left="760" w:right="320" w:hanging="378"/>
        <w:spacing w:after="0" w:line="261" w:lineRule="auto"/>
        <w:tabs>
          <w:tab w:leader="none" w:pos="7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Registration Statement (Form S-8 No. 333-255194) pertaining to the 2021 Stock Option and Incentive Plan and the 2021 Inducement Plan of Gemini Therapeutics, Inc., and</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Registration Statement (Form S-8 No. 333-260243) pertaining to the 2021 Employee Stock Purchase Plan of Gemini Therapeutics, Inc.;</w:t>
      </w:r>
    </w:p>
    <w:p>
      <w:pPr>
        <w:spacing w:after="0" w:line="200" w:lineRule="exact"/>
        <w:rPr>
          <w:sz w:val="20"/>
          <w:szCs w:val="20"/>
          <w:color w:val="auto"/>
        </w:rPr>
      </w:pPr>
    </w:p>
    <w:p>
      <w:pPr>
        <w:spacing w:after="0" w:line="21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of our report dated March 10, 2022, with respect to the consolidated financial statements of Gemini Therapeutics, Inc. included in this Annual Report (Form 10-K) for the year ended December 31, 2021.</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Georges Gemayel, Ph.D., certify that:</w:t>
      </w:r>
    </w:p>
    <w:p>
      <w:pPr>
        <w:spacing w:after="0" w:line="212" w:lineRule="exact"/>
        <w:rPr>
          <w:sz w:val="20"/>
          <w:szCs w:val="20"/>
          <w:color w:val="auto"/>
        </w:rPr>
      </w:pPr>
    </w:p>
    <w:p>
      <w:pPr>
        <w:ind w:left="520" w:hanging="512"/>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Gemini Therapeutics,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60" w:hanging="479"/>
        <w:spacing w:after="0" w:line="248" w:lineRule="auto"/>
        <w:tabs>
          <w:tab w:leader="none" w:pos="895"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40" w:hanging="479"/>
        <w:spacing w:after="0" w:line="291" w:lineRule="auto"/>
        <w:tabs>
          <w:tab w:leader="none" w:pos="895"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hanging="479"/>
        <w:spacing w:after="0" w:line="261" w:lineRule="auto"/>
        <w:tabs>
          <w:tab w:leader="none" w:pos="895"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line="203" w:lineRule="auto"/>
        <w:rPr>
          <w:sz w:val="20"/>
          <w:szCs w:val="20"/>
          <w:color w:val="auto"/>
        </w:rPr>
      </w:pPr>
      <w:r>
        <w:rPr>
          <w:rFonts w:ascii="Arial" w:cs="Arial" w:eastAsia="Arial" w:hAnsi="Arial"/>
          <w:sz w:val="18"/>
          <w:szCs w:val="18"/>
          <w:b w:val="1"/>
          <w:bCs w:val="1"/>
          <w:color w:val="auto"/>
        </w:rPr>
        <w:t>Dr. Georges Gemayel</w:t>
      </w:r>
    </w:p>
    <w:p>
      <w:pPr>
        <w:jc w:val="center"/>
        <w:ind w:left="5960"/>
        <w:spacing w:after="0" w:line="203" w:lineRule="auto"/>
        <w:rPr>
          <w:sz w:val="20"/>
          <w:szCs w:val="20"/>
          <w:color w:val="auto"/>
        </w:rPr>
      </w:pPr>
      <w:r>
        <w:rPr>
          <w:rFonts w:ascii="Arial" w:cs="Arial" w:eastAsia="Arial" w:hAnsi="Arial"/>
          <w:sz w:val="18"/>
          <w:szCs w:val="18"/>
          <w:b w:val="1"/>
          <w:bCs w:val="1"/>
          <w:color w:val="auto"/>
        </w:rPr>
        <w:t>Interim President and Chief Executive Officer and Executive</w:t>
      </w:r>
    </w:p>
    <w:p>
      <w:pPr>
        <w:jc w:val="center"/>
        <w:ind w:left="6000"/>
        <w:spacing w:after="0" w:line="220" w:lineRule="auto"/>
        <w:rPr>
          <w:sz w:val="20"/>
          <w:szCs w:val="20"/>
          <w:color w:val="auto"/>
        </w:rPr>
      </w:pPr>
      <w:r>
        <w:rPr>
          <w:rFonts w:ascii="Arial" w:cs="Arial" w:eastAsia="Arial" w:hAnsi="Arial"/>
          <w:sz w:val="18"/>
          <w:szCs w:val="18"/>
          <w:b w:val="1"/>
          <w:bCs w:val="1"/>
          <w:color w:val="auto"/>
        </w:rPr>
        <w:t>Chairman</w:t>
      </w: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Brian Piekos, certify that:</w:t>
      </w:r>
    </w:p>
    <w:p>
      <w:pPr>
        <w:spacing w:after="0" w:line="212" w:lineRule="exact"/>
        <w:rPr>
          <w:sz w:val="20"/>
          <w:szCs w:val="20"/>
          <w:color w:val="auto"/>
        </w:rPr>
      </w:pPr>
    </w:p>
    <w:p>
      <w:pPr>
        <w:ind w:left="520" w:hanging="512"/>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Gemini Therapeutics,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60" w:hanging="479"/>
        <w:spacing w:after="0" w:line="248" w:lineRule="auto"/>
        <w:tabs>
          <w:tab w:leader="none" w:pos="895"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40" w:hanging="479"/>
        <w:spacing w:after="0" w:line="291" w:lineRule="auto"/>
        <w:tabs>
          <w:tab w:leader="none" w:pos="895" w:val="left"/>
        </w:tabs>
        <w:numPr>
          <w:ilvl w:val="1"/>
          <w:numId w:val="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hanging="479"/>
        <w:spacing w:after="0" w:line="261" w:lineRule="auto"/>
        <w:tabs>
          <w:tab w:leader="none" w:pos="895"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ind w:left="20"/>
        <w:spacing w:after="0"/>
        <w:tabs>
          <w:tab w:leader="none" w:pos="5680" w:val="left"/>
          <w:tab w:leader="none" w:pos="804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line="203" w:lineRule="auto"/>
        <w:rPr>
          <w:sz w:val="20"/>
          <w:szCs w:val="20"/>
          <w:color w:val="auto"/>
        </w:rPr>
      </w:pPr>
      <w:r>
        <w:rPr>
          <w:rFonts w:ascii="Arial" w:cs="Arial" w:eastAsia="Arial" w:hAnsi="Arial"/>
          <w:sz w:val="18"/>
          <w:szCs w:val="18"/>
          <w:b w:val="1"/>
          <w:bCs w:val="1"/>
          <w:color w:val="auto"/>
        </w:rPr>
        <w:t>Brian Piekos</w:t>
      </w:r>
    </w:p>
    <w:p>
      <w:pPr>
        <w:jc w:val="center"/>
        <w:ind w:left="6000"/>
        <w:spacing w:after="0" w:line="219"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Annual Report on Form 10-K of Gemini Therapeutics, Inc. (the “Company”) for the year ended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900" w:hanging="359"/>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740" w:hanging="479"/>
        <w:spacing w:after="0" w:line="261" w:lineRule="auto"/>
        <w:tabs>
          <w:tab w:leader="none" w:pos="8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2"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line="203" w:lineRule="auto"/>
        <w:rPr>
          <w:sz w:val="20"/>
          <w:szCs w:val="20"/>
          <w:color w:val="auto"/>
        </w:rPr>
      </w:pPr>
      <w:r>
        <w:rPr>
          <w:rFonts w:ascii="Arial" w:cs="Arial" w:eastAsia="Arial" w:hAnsi="Arial"/>
          <w:sz w:val="18"/>
          <w:szCs w:val="18"/>
          <w:b w:val="1"/>
          <w:bCs w:val="1"/>
          <w:color w:val="auto"/>
        </w:rPr>
        <w:t>Dr. Georges Gemayel</w:t>
      </w:r>
    </w:p>
    <w:p>
      <w:pPr>
        <w:jc w:val="center"/>
        <w:ind w:left="5960"/>
        <w:spacing w:after="0" w:line="203" w:lineRule="auto"/>
        <w:rPr>
          <w:sz w:val="20"/>
          <w:szCs w:val="20"/>
          <w:color w:val="auto"/>
        </w:rPr>
      </w:pPr>
      <w:r>
        <w:rPr>
          <w:rFonts w:ascii="Arial" w:cs="Arial" w:eastAsia="Arial" w:hAnsi="Arial"/>
          <w:sz w:val="18"/>
          <w:szCs w:val="18"/>
          <w:b w:val="1"/>
          <w:bCs w:val="1"/>
          <w:color w:val="auto"/>
        </w:rPr>
        <w:t>Interim President and Chief Executive Officer and Executive</w:t>
      </w:r>
    </w:p>
    <w:p>
      <w:pPr>
        <w:jc w:val="center"/>
        <w:ind w:left="6000"/>
        <w:spacing w:after="0" w:line="220" w:lineRule="auto"/>
        <w:rPr>
          <w:sz w:val="20"/>
          <w:szCs w:val="20"/>
          <w:color w:val="auto"/>
        </w:rPr>
      </w:pPr>
      <w:r>
        <w:rPr>
          <w:rFonts w:ascii="Arial" w:cs="Arial" w:eastAsia="Arial" w:hAnsi="Arial"/>
          <w:sz w:val="18"/>
          <w:szCs w:val="18"/>
          <w:b w:val="1"/>
          <w:bCs w:val="1"/>
          <w:color w:val="auto"/>
        </w:rPr>
        <w:t>Chairman</w:t>
      </w: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Annual Report on Form 10-K of Gemini Therapeutics, Inc. (the “Company”) for the year ended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900" w:hanging="359"/>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740" w:hanging="479"/>
        <w:spacing w:after="0" w:line="261" w:lineRule="auto"/>
        <w:tabs>
          <w:tab w:leader="none" w:pos="8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2" w:lineRule="exact"/>
        <w:rPr>
          <w:sz w:val="20"/>
          <w:szCs w:val="20"/>
          <w:color w:val="auto"/>
        </w:rPr>
      </w:pPr>
    </w:p>
    <w:p>
      <w:pPr>
        <w:ind w:left="20"/>
        <w:spacing w:after="0"/>
        <w:tabs>
          <w:tab w:leader="none" w:pos="5680" w:val="left"/>
          <w:tab w:leader="none" w:pos="804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line="203" w:lineRule="auto"/>
        <w:rPr>
          <w:sz w:val="20"/>
          <w:szCs w:val="20"/>
          <w:color w:val="auto"/>
        </w:rPr>
      </w:pPr>
      <w:r>
        <w:rPr>
          <w:rFonts w:ascii="Arial" w:cs="Arial" w:eastAsia="Arial" w:hAnsi="Arial"/>
          <w:sz w:val="18"/>
          <w:szCs w:val="18"/>
          <w:b w:val="1"/>
          <w:bCs w:val="1"/>
          <w:color w:val="auto"/>
        </w:rPr>
        <w:t>Brian Piekos</w:t>
      </w:r>
    </w:p>
    <w:p>
      <w:pPr>
        <w:jc w:val="center"/>
        <w:ind w:left="6000"/>
        <w:spacing w:after="0" w:line="219"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1)"/>
      <w:numFmt w:val="decimal"/>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lowerLetter"/>
      <w:start w:val="2"/>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lowerRoman"/>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9"/>
    </w:lvl>
  </w:abstractNum>
  <w:abstractNum w:abstractNumId="69">
    <w:nsid w:val="7FFFCA11"/>
    <w:multiLevelType w:val="hybridMultilevel"/>
    <w:lvl w:ilvl="0">
      <w:lvlJc w:val="left"/>
      <w:lvlText w:val="•"/>
      <w:numFmt w:val="bullet"/>
      <w:start w:val="1"/>
    </w:lvl>
    <w:lvl w:ilvl="1">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1"/>
    </w:lvl>
    <w:lvl w:ilvl="1">
      <w:lvlJc w:val="left"/>
      <w:lvlText w:val="•"/>
      <w:numFmt w:val="bullet"/>
      <w:start w:val="1"/>
    </w:lvl>
  </w:abstractNum>
  <w:abstractNum w:abstractNumId="74">
    <w:nsid w:val="6EB5BD4"/>
    <w:multiLevelType w:val="hybridMultilevel"/>
    <w:lvl w:ilvl="0">
      <w:lvlJc w:val="left"/>
      <w:lvlText w:val="*"/>
      <w:numFmt w:val="bullet"/>
      <w:start w:val="1"/>
    </w:lvl>
    <w:lvl w:ilvl="1">
      <w:lvlJc w:val="left"/>
      <w:lvlText w:val="%2"/>
      <w:numFmt w:val="decimal"/>
      <w:start w:val="104"/>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1."/>
      <w:numFmt w:val="decimal"/>
      <w:start w:val="3"/>
    </w:lvl>
  </w:abstractNum>
  <w:abstractNum w:abstractNumId="77">
    <w:nsid w:val="885E1B"/>
    <w:multiLevelType w:val="hybridMultilevel"/>
    <w:lvl w:ilvl="0">
      <w:lvlJc w:val="left"/>
      <w:lvlText w:val="%1."/>
      <w:numFmt w:val="decimal"/>
      <w:start w:val="14"/>
    </w:lvl>
  </w:abstractNum>
  <w:abstractNum w:abstractNumId="78">
    <w:nsid w:val="76272110"/>
    <w:multiLevelType w:val="hybridMultilevel"/>
    <w:lvl w:ilvl="0">
      <w:lvlJc w:val="left"/>
      <w:lvlText w:val="•"/>
      <w:numFmt w:val="bullet"/>
      <w:start w:val="1"/>
    </w:lvl>
    <w:lvl w:ilvl="1">
      <w:lvlJc w:val="left"/>
      <w:lvlText w:val="•"/>
      <w:numFmt w:val="bullet"/>
      <w:start w:val="1"/>
    </w:lvl>
  </w:abstractNum>
  <w:abstractNum w:abstractNumId="79">
    <w:nsid w:val="4C04A8AF"/>
    <w:multiLevelType w:val="hybridMultilevel"/>
    <w:lvl w:ilvl="0">
      <w:lvlJc w:val="left"/>
      <w:lvlText w:val="•"/>
      <w:numFmt w:val="bullet"/>
      <w:start w:val="1"/>
    </w:lvl>
    <w:lvl w:ilvl="1">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upperLetter"/>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lowerLetter"/>
      <w:start w:val="1"/>
    </w:lvl>
  </w:abstractNum>
  <w:abstractNum w:abstractNumId="85">
    <w:nsid w:val="2DF6D648"/>
    <w:multiLevelType w:val="hybridMultilevel"/>
    <w:lvl w:ilvl="0">
      <w:lvlJc w:val="left"/>
      <w:lvlText w:val="%1."/>
      <w:numFmt w:val="decimal"/>
      <w:start w:val="2"/>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lowerLetter"/>
      <w:start w:val="1"/>
    </w:lvl>
    <w:lvl w:ilvl="1">
      <w:lvlJc w:val="left"/>
      <w:lvlText w:val="(%2)"/>
      <w:numFmt w:val="lowerRoman"/>
      <w:start w:val="1"/>
    </w:lvl>
  </w:abstractNum>
  <w:abstractNum w:abstractNumId="88">
    <w:nsid w:val="39EE015C"/>
    <w:multiLevelType w:val="hybridMultilevel"/>
    <w:lvl w:ilvl="0">
      <w:lvlJc w:val="left"/>
      <w:lvlText w:val="(%1)"/>
      <w:numFmt w:val="lowerLetter"/>
      <w:start w:val="7"/>
    </w:lvl>
    <w:lvl w:ilvl="1">
      <w:lvlJc w:val="left"/>
      <w:lvlText w:val="(%2)"/>
      <w:numFmt w:val="lowerRoman"/>
      <w:start w:val="1"/>
    </w:lvl>
  </w:abstractNum>
  <w:abstractNum w:abstractNumId="89">
    <w:nsid w:val="57FC4FBB"/>
    <w:multiLevelType w:val="hybridMultilevel"/>
    <w:lvl w:ilvl="0">
      <w:lvlJc w:val="left"/>
      <w:lvlText w:val="%1."/>
      <w:numFmt w:val="decimal"/>
      <w:start w:val="3"/>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330" Type="http://schemas.openxmlformats.org/officeDocument/2006/relationships/image" Target="media/image305.pn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143" Type="http://schemas.openxmlformats.org/officeDocument/2006/relationships/hyperlink" Target="https://www.sec.gov/Archives/edgar/data/0001816736/000121390021002636/fs42021a5_fsdevelopment.htm#T52" TargetMode="External"/><Relationship Id="rId144" Type="http://schemas.openxmlformats.org/officeDocument/2006/relationships/hyperlink" Target="https://www.sec.gov/Archives/edgar/data/0001816736/000121390021002636/fs42021a5_fsdevelopment.htm#T53" TargetMode="External"/><Relationship Id="rId145" Type="http://schemas.openxmlformats.org/officeDocument/2006/relationships/hyperlink" Target="https://www.sec.gov/Archives/edgar/data/0001816736/000121390021002636/fs42021a5ex4-1_fsdevelop.htm" TargetMode="External"/><Relationship Id="rId146" Type="http://schemas.openxmlformats.org/officeDocument/2006/relationships/hyperlink" Target="https://www.sec.gov/Archives/edgar/data/0001816736/000121390021007091/ea134758ex10-1_gemini.htm" TargetMode="External"/><Relationship Id="rId147" Type="http://schemas.openxmlformats.org/officeDocument/2006/relationships/hyperlink" Target="https://www.sec.gov/Archives/edgar/data/0001816736/000121390021008478/ea135023ex10-2_gemini.htm" TargetMode="External"/><Relationship Id="rId148" Type="http://schemas.openxmlformats.org/officeDocument/2006/relationships/hyperlink" Target="https://www.sec.gov/Archives/edgar/data/0001816736/000121390021002636/fs42021a5_fsdevelopment.htm#T54" TargetMode="External"/><Relationship Id="rId149" Type="http://schemas.openxmlformats.org/officeDocument/2006/relationships/hyperlink" Target="https://www.sec.gov/Archives/edgar/data/0001816736/000121390021008478/ea135023ex10-5_gemini.htm" TargetMode="External"/><Relationship Id="rId150" Type="http://schemas.openxmlformats.org/officeDocument/2006/relationships/hyperlink" Target="https://www.sec.gov/Archives/edgar/data/0001816736/000119312521248368/d218356ddef14a.htm#tx218356_15" TargetMode="External"/><Relationship Id="rId151" Type="http://schemas.openxmlformats.org/officeDocument/2006/relationships/hyperlink" Target="https://www.sec.gov/Archives/edgar/data/0001816736/000121390021008478/ea135023ex10-6_gemini.htm" TargetMode="External"/><Relationship Id="rId152" Type="http://schemas.openxmlformats.org/officeDocument/2006/relationships/hyperlink" Target="https://www.sec.gov/Archives/edgar/data/0001816736/000121390021008478/ea135023ex10-7_gemini.htm" TargetMode="External"/><Relationship Id="rId153" Type="http://schemas.openxmlformats.org/officeDocument/2006/relationships/hyperlink" Target="https://www.sec.gov/Archives/edgar/data/0001816736/000095017021004464/gmtx-ex10_2.htm" TargetMode="External"/><Relationship Id="rId154" Type="http://schemas.openxmlformats.org/officeDocument/2006/relationships/hyperlink" Target="https://www.sec.gov/Archives/edgar/data/0001816736/000095017021004464/gmtx-ex10_1.htm" TargetMode="External"/><Relationship Id="rId155" Type="http://schemas.openxmlformats.org/officeDocument/2006/relationships/hyperlink" Target="https://www.sec.gov/Archives/edgar/data/0001816736/000156459021027214/gmtx-ex102_159.htm" TargetMode="External"/><Relationship Id="rId156" Type="http://schemas.openxmlformats.org/officeDocument/2006/relationships/hyperlink" Target="https://www.sec.gov/Archives/edgar/data/1816736/000156459021043697/gmtx-ex101_146.htm" TargetMode="External"/><Relationship Id="rId157" Type="http://schemas.openxmlformats.org/officeDocument/2006/relationships/hyperlink" Target="https://www.sec.gov/Archives/edgar/data/1816736/000121390021008478/ea135023ex10-9_gemini.htm" TargetMode="External"/><Relationship Id="rId158" Type="http://schemas.openxmlformats.org/officeDocument/2006/relationships/hyperlink" Target="https://www.sec.gov/Archives/edgar/data/1816736/000119312522055899/d29362dex101.htm" TargetMode="External"/><Relationship Id="rId162" Type="http://schemas.openxmlformats.org/officeDocument/2006/relationships/hyperlink" Target="https://www.sec.gov/Archives/edgar/data/0001816736/000121390021021222/ea139346ex99-3_gemini.htm" TargetMode="External"/><Relationship Id="rId163" Type="http://schemas.openxmlformats.org/officeDocument/2006/relationships/hyperlink" Target="https://www.sec.gov/Archives/edgar/data/0001816736/000121390021008478/ea135023ex21-1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2022-03-10T06:15:29Z</dcterms:created>
  <dcterms:modified xsi:type="dcterms:W3CDTF">2022-03-10T06:15:29Z</dcterms:modified>
</cp:coreProperties>
</file>