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Bitterman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DISC MEDICINE,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 ARSENAL STREET,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Disc Medicine, Inc.</w:t>
              </w:r>
            </w:hyperlink>
            <w:r>
              <w:rPr/>
              <w:t xml:space="preserve"> [ </w:t>
            </w:r>
            <w:r>
              <w:rPr>
                <w:rFonts w:ascii="Times;serif" w:hAnsi="Times;serif"/>
                <w:color w:val="0000FF"/>
                <w:sz w:val="24"/>
                <w:shd w:fill="FFFFFF" w:val="clear"/>
              </w:rPr>
              <w:t>IRON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70.79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6,212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6,212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r>
              <w:rPr/>
              <w:t xml:space="preserve"> </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underlying this option vest upon the first to occur of (i) the date of the Company's 2027 annual meeting of its stockholders, or (ii) the one-year anniversary of the grant date, subject to the Reporting Person's continued service on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option was granted to the Reporting Person, a director of the Issuer. The proceeds of any sale of shares of common stock issued to the Reporting Person upon exercise of this option will be transferred to Atlas Venture Life Science Advisors, LLC and as such, the Reporting Person disclaims ownership of such securities reported herein for purposes of Section 16 of the Securities Exchange Act of 1934, as amended, except to the extent of his pecuniary interest therein, if 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Ommer Chohan,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1747" TargetMode="External"/><Relationship Id="rId5" Type="http://schemas.openxmlformats.org/officeDocument/2006/relationships/hyperlink" Target="http://www.sec.gov/cgi-bin/browse-edgar?action=getcompany&amp;CIK=00018167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696</Words>
  <Characters>3723</Characters>
  <CharactersWithSpaces>4357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