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Franchi Jean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Disc Medicine,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WATERTOWN  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02472</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3"/>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06/16/2025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2,000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52.2594</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67,530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by the Reporting Person were effected pursuant to a Rule 10b5-1 trading plan adopted on March 10, 2025.</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$51.79 to $52.61,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(2)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 Rahul Khara,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06/18/2025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tcBorders>
              <w:top w:val="single" w:sz="8" w:color="auto"/>
            </w:tcBorders>
            <w:vMerge w:val="restart"/>
          </w:tcPr>
          <w:p>
            <w:pPr>
              <w:spacing w:after="0"/>
              <w:rPr>
                <w:sz w:val="7"/>
                <w:szCs w:val="7"/>
                <w:color w:val="auto"/>
              </w:rPr>
            </w:pPr>
          </w:p>
        </w:tc>
        <w:tc>
          <w:tcPr>
            <w:tcW w:w="4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3053"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2025-06-18T16:22:59Z</dcterms:created>
  <dcterms:modified xsi:type="dcterms:W3CDTF">2025-06-18T16:22:59Z</dcterms:modified>
</cp:coreProperties>
</file>