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333-253175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8</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160020</wp:posOffset>
            </wp:positionV>
            <wp:extent cx="107124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24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29,368,920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This prospectus supplement no. 8 amends and supplements the prospectus dated May 12, 2021, relating to the offering and resale by the selling stockholders identified in the prospectus of up to 29,368,920 shares of our common stock, par value $0.0001 per share (as supplemented or amended from time to time, the “Prospectus”).</w:t>
      </w:r>
    </w:p>
    <w:p>
      <w:pPr>
        <w:spacing w:after="0" w:line="1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This prospectus supplement incorporates into the Prospectus the information contained in our attached current report on Form 8-K, which was filed with the Securities and Exchange Commission on November 12, 2021.</w:t>
      </w:r>
    </w:p>
    <w:p>
      <w:pPr>
        <w:spacing w:after="0" w:line="17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the prospectus supplement supersedes the information contained in the Prospectus.</w:t>
      </w:r>
    </w:p>
    <w:p>
      <w:pPr>
        <w:spacing w:after="0" w:line="18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supplements and amendments thereto.</w:t>
      </w:r>
    </w:p>
    <w:p>
      <w:pPr>
        <w:spacing w:after="0" w:line="170"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“GMTX.” On November 11, 2021, the last reported sale price of our common stock on the NASDAQ Global Market was $3.40.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Investment in our common stock involves risks. See “Risk Factors” beginning on page 10 of the Prospectus.</w:t>
      </w:r>
    </w:p>
    <w:p>
      <w:pPr>
        <w:spacing w:after="0" w:line="225" w:lineRule="exact"/>
        <w:rPr>
          <w:sz w:val="24"/>
          <w:szCs w:val="24"/>
          <w:color w:val="auto"/>
        </w:rPr>
      </w:pPr>
    </w:p>
    <w:p>
      <w:pPr>
        <w:ind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November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403225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445770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1044"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001-39438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85-1612845</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300 One Kendall Square, 3rd Floor</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5"/>
              </w:rPr>
              <w:t>Cambridge, MA</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44" w:right="200" w:hanging="426"/>
        <w:spacing w:after="0" w:line="277" w:lineRule="auto"/>
        <w:tabs>
          <w:tab w:leader="none" w:pos="40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0" w:lineRule="exact"/>
        <w:rPr>
          <w:sz w:val="20"/>
          <w:szCs w:val="20"/>
          <w:color w:val="auto"/>
        </w:rPr>
      </w:pPr>
    </w:p>
    <w:p>
      <w:pPr>
        <w:ind w:left="444" w:right="200" w:hanging="426"/>
        <w:spacing w:after="0" w:line="277" w:lineRule="auto"/>
        <w:tabs>
          <w:tab w:leader="none" w:pos="40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7.01 Regulation FD Disclosure</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On November 12, 2021, Gemini Therapeutics, Inc. (the “Company”) issued a press release entitled “Gemini Therapeutics Announces Poster Presentation at AAO 2021.”</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Item 7.01, including Exhibit 99.1 to this Current Report on Form 8-K,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November 12, 2021, the Company announced that newly available safety data from its Phase 2a ReGAtta study of GEM103 in patients with geographic atrophy (“GA”) secondary to dry age-related macular degeneration (“AMD”) is being presented at the American Academy of Ophthalmology (AAO). ReGAtta is a dose escalation trial of GEM103, which is intravitreally administered recombinant human complement factor H (“CFH”), in dry AMD patients.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summary, based on newly available data that updates the May 2021 initial data from the Company’s ongoing ReGAtta Phase 2a study of GEM103, GEM103 continues to be generally well-tolerated:</w:t>
      </w:r>
    </w:p>
    <w:p>
      <w:pPr>
        <w:spacing w:after="0" w:line="76" w:lineRule="exact"/>
        <w:rPr>
          <w:sz w:val="20"/>
          <w:szCs w:val="20"/>
          <w:color w:val="auto"/>
        </w:rPr>
      </w:pPr>
    </w:p>
    <w:p>
      <w:pPr>
        <w:ind w:left="960" w:right="1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510 intravitreal administrations of GEM 103, no ocular serious adverse events related to study drug reported, no ocular adverse events leading to study discontinuation, and no anti-GEM103 antibodies detected in plasma.</w:t>
      </w:r>
    </w:p>
    <w:p>
      <w:pPr>
        <w:spacing w:after="0" w:line="75" w:lineRule="exact"/>
        <w:rPr>
          <w:rFonts w:ascii="Arial" w:cs="Arial" w:eastAsia="Arial" w:hAnsi="Arial"/>
          <w:sz w:val="18"/>
          <w:szCs w:val="18"/>
          <w:color w:val="auto"/>
        </w:rPr>
      </w:pPr>
    </w:p>
    <w:p>
      <w:pPr>
        <w:ind w:left="960" w:right="280" w:hanging="424"/>
        <w:spacing w:after="0" w:line="286"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17 patients (27.4%) experienced mild to moderate ocular adverse events in the study eye including two (2) intraocular inflammation adverse events. Inflammation was mild or moderate and the patients recovered without recurrence and no study drug interruption. The moderate case was unrelated to GEM103 and the patient had a history of autoimmune disease.</w:t>
      </w:r>
    </w:p>
    <w:p>
      <w:pPr>
        <w:spacing w:after="0" w:line="70" w:lineRule="exact"/>
        <w:rPr>
          <w:rFonts w:ascii="Arial" w:cs="Arial" w:eastAsia="Arial" w:hAnsi="Arial"/>
          <w:sz w:val="17"/>
          <w:szCs w:val="17"/>
          <w:color w:val="auto"/>
        </w:rPr>
      </w:pPr>
    </w:p>
    <w:p>
      <w:pPr>
        <w:ind w:left="960" w:right="8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increased risk observed for Choroidal Neovascularization (CNV). Two (2) adverse events of neovascular AMD in the study eye occurred; in both cases, there were no definitive evidence of CNV by independent reading center’s analysis of the retinal imaging. These events were determined to be unrelated to GEM103 and there was no impact on vision.</w:t>
      </w:r>
    </w:p>
    <w:p>
      <w:pPr>
        <w:sectPr>
          <w:pgSz w:w="11900" w:h="16838" w:orient="portrait"/>
          <w:cols w:equalWidth="0" w:num="1">
            <w:col w:w="10900"/>
          </w:cols>
          <w:pgMar w:left="440" w:top="270" w:right="5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Gemini’s Forward-Looking Statements</w:t>
      </w:r>
    </w:p>
    <w:p>
      <w:pPr>
        <w:spacing w:after="0" w:line="121" w:lineRule="exact"/>
        <w:rPr>
          <w:sz w:val="20"/>
          <w:szCs w:val="20"/>
          <w:color w:val="auto"/>
        </w:rPr>
      </w:pPr>
    </w:p>
    <w:p>
      <w:pPr>
        <w:ind w:left="4"/>
        <w:spacing w:after="0" w:line="284" w:lineRule="auto"/>
        <w:rPr>
          <w:sz w:val="20"/>
          <w:szCs w:val="20"/>
          <w:color w:val="auto"/>
        </w:rPr>
      </w:pPr>
      <w:r>
        <w:rPr>
          <w:rFonts w:ascii="Arial" w:cs="Arial" w:eastAsia="Arial" w:hAnsi="Arial"/>
          <w:sz w:val="16"/>
          <w:szCs w:val="16"/>
          <w:i w:val="1"/>
          <w:iCs w:val="1"/>
          <w:color w:val="auto"/>
        </w:rPr>
        <w:t>Certain statements in this press release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timing of and costs associated with our restructuring, and the benefits we expect to receive from the restructuring, the success, cost and timing of our product development activities and clinical trials, whether such data, when final, will be consistent with interim reported data, the timing to commence future clinical trials, the potential attributes and benefits of our product candidates, including GEM103, the reliability of the interim or final results of studies relating to safety and possible adverse effects, including serious adverse events, resulting from the administration of our product candidates, our ability to obtain and maintain regulatory approval for our product candidates, our projected cash runway and our ability to obtain funding for our operations when needed.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5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Press Release by Gemini Therapeutics, Inc., dated November 12, 2021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2021</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2021-11-12T10:33:58Z</dcterms:created>
  <dcterms:modified xsi:type="dcterms:W3CDTF">2021-11-12T10:33:58Z</dcterms:modified>
</cp:coreProperties>
</file>