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3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4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9"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80" w:type="dxa"/>
            <w:vAlign w:val="bottom"/>
          </w:tcPr>
          <w:p>
            <w:pPr>
              <w:jc w:val="center"/>
              <w:ind w:left="155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8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5"/>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3"/>
                <w:szCs w:val="23"/>
                <w:color w:val="auto"/>
              </w:rPr>
            </w:pPr>
          </w:p>
        </w:tc>
        <w:tc>
          <w:tcPr>
            <w:tcW w:w="22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1"/>
                <w:szCs w:val="21"/>
                <w:color w:val="auto"/>
              </w:rPr>
            </w:pPr>
          </w:p>
        </w:tc>
        <w:tc>
          <w:tcPr>
            <w:tcW w:w="33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3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980" w:type="dxa"/>
            <w:vAlign w:val="bottom"/>
            <w:vMerge w:val="restart"/>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80" w:type="dxa"/>
            <w:vAlign w:val="bottom"/>
            <w:tcBorders>
              <w:top w:val="single" w:sz="8" w:color="auto"/>
            </w:tcBorders>
          </w:tcPr>
          <w:p>
            <w:pPr>
              <w:jc w:val="center"/>
              <w:ind w:left="23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2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60" w:firstLine="599"/>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6"/>
        </w:trPr>
        <w:tc>
          <w:tcPr>
            <w:tcW w:w="19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Large accelerated filer</w:t>
            </w:r>
          </w:p>
        </w:tc>
        <w:tc>
          <w:tcPr>
            <w:tcW w:w="36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line="176" w:lineRule="exact"/>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7" w:lineRule="exact"/>
        <w:rPr>
          <w:sz w:val="24"/>
          <w:szCs w:val="24"/>
          <w:color w:val="auto"/>
        </w:rPr>
      </w:pPr>
    </w:p>
    <w:p>
      <w:pPr>
        <w:ind w:right="12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6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5, 2024 there were 29,725,763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4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FORWARD LOOKING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4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RISK FACTOR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0" w:type="dxa"/>
            <w:vAlign w:val="bottom"/>
            <w:tcBorders>
              <w:bottom w:val="single" w:sz="8" w:color="0000EE"/>
            </w:tcBorders>
          </w:tcPr>
          <w:p>
            <w:pPr>
              <w:spacing w:after="0"/>
              <w:rPr>
                <w:sz w:val="24"/>
                <w:szCs w:val="24"/>
                <w:color w:val="auto"/>
              </w:rPr>
            </w:pPr>
          </w:p>
        </w:tc>
        <w:tc>
          <w:tcPr>
            <w:tcW w:w="68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20" w:type="dxa"/>
            <w:vAlign w:val="bottom"/>
            <w:tcBorders>
              <w:bottom w:val="single" w:sz="8" w:color="0000EE"/>
            </w:tcBorders>
          </w:tcPr>
          <w:p>
            <w:pPr>
              <w:spacing w:after="0"/>
              <w:rPr>
                <w:sz w:val="19"/>
                <w:szCs w:val="19"/>
                <w:color w:val="auto"/>
              </w:rPr>
            </w:pPr>
          </w:p>
        </w:tc>
        <w:tc>
          <w:tcPr>
            <w:tcW w:w="37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Preferred Stock and Stockholders’ Equity (Deficit)</w:t>
            </w:r>
          </w:p>
        </w:tc>
        <w:tc>
          <w:tcPr>
            <w:tcW w:w="2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9"/>
                <w:szCs w:val="19"/>
                <w:color w:val="auto"/>
              </w:rPr>
            </w:pPr>
          </w:p>
        </w:tc>
        <w:tc>
          <w:tcPr>
            <w:tcW w:w="44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9"/>
                <w:szCs w:val="19"/>
                <w:color w:val="auto"/>
              </w:rPr>
            </w:pPr>
          </w:p>
        </w:tc>
        <w:tc>
          <w:tcPr>
            <w:tcW w:w="750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8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3"/>
          </w:tcPr>
          <w:p>
            <w:pPr>
              <w:spacing w:after="0"/>
              <w:rPr>
                <w:sz w:val="19"/>
                <w:szCs w:val="19"/>
                <w:color w:val="auto"/>
              </w:rPr>
            </w:pPr>
          </w:p>
        </w:tc>
        <w:tc>
          <w:tcPr>
            <w:tcW w:w="796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6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economy and the possibility of rapid change in the highly competitive industry in which we operate;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need to raise additional capital to execute our business plan, which may not be available on acceptable terms or at all;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Phase 2 clinical trials of bitopertin, Phase 1b/2 clinical trials of DISC-0974 and Phase 1 clinical trial of DISC-3405 (formerly MWTX-003) and expect to rely on third parties to conduct other clinical trials for our product candidates, as well as potential investigator-sponsored clinical trials of our product candidates. If these third parties do not successfully carry out their contractual</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duties, comply with regulatory requirements, meet expected deadlines, or if the prior work conducted by these third parties is incomplete, we may not be able to obtain regulatory approval for or commercialize our product candidates and our business could be substantially harmed.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or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280,663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360,382</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508,241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510,217</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r>
      <w:tr>
        <w:trPr>
          <w:trHeight w:val="24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shd w:val="clear" w:color="auto" w:fill="CFF0FC"/>
          </w:tcPr>
          <w:p>
            <w:pPr>
              <w:spacing w:after="0"/>
              <w:rPr>
                <w:sz w:val="20"/>
                <w:szCs w:val="20"/>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r>
      <w:tr>
        <w:trPr>
          <w:trHeight w:val="24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00" w:type="dxa"/>
            <w:vAlign w:val="bottom"/>
            <w:shd w:val="clear" w:color="auto" w:fill="CFF0FC"/>
          </w:tcPr>
          <w:p>
            <w:pPr>
              <w:spacing w:after="0"/>
              <w:rPr>
                <w:sz w:val="20"/>
                <w:szCs w:val="20"/>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100,000,000 shares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as of June 30, 2024 and December 31, 2023;</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29,707,997 and 24,360,233 shares issued and outstanding</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June 30, 2024 and December 31, 2023, respectively</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5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730,832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533,764</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(241,946 )</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(188,645 )</w:t>
            </w:r>
          </w:p>
        </w:tc>
      </w:tr>
      <w:tr>
        <w:trPr>
          <w:trHeight w:val="236"/>
        </w:trPr>
        <w:tc>
          <w:tcPr>
            <w:tcW w:w="75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488,829</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345,121</w:t>
            </w:r>
          </w:p>
        </w:tc>
        <w:tc>
          <w:tcPr>
            <w:tcW w:w="100" w:type="dxa"/>
            <w:vAlign w:val="bottom"/>
            <w:tcBorders>
              <w:top w:val="single" w:sz="8" w:color="CFF0FC"/>
            </w:tcBorders>
          </w:tcPr>
          <w:p>
            <w:pPr>
              <w:spacing w:after="0"/>
              <w:rPr>
                <w:sz w:val="20"/>
                <w:szCs w:val="20"/>
                <w:color w:val="auto"/>
              </w:rPr>
            </w:pPr>
          </w:p>
        </w:tc>
      </w:tr>
      <w:tr>
        <w:trPr>
          <w:trHeight w:val="27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510,217</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-3908425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-3282315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-350520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47,189</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(30,852 )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(17,328 )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(62,314 )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(42,453 )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value right liability</w:t>
            </w: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(1,500 )</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(26,292 )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(15,923 )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(53,236 )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(38,681 )</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(26,352 )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(15,947 )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(53,301 )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(38,728 )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(26,352 )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(15,947 )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(53,301 )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(38,728 )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25,649,043</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21,484,955</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25,229,456</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20,226,923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(1.03 )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(0.74 )</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(2.11 )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7"/>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(26,352 )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(15,947 )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(53,301 )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(38,728 )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(26,412 )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(15,947 )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(53,361 )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(38,728 )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-3539490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-3539490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-3539490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-2596515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-2596515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-2596515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-1953895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-1936750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-1953895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-1953895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-1593850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-1576705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-1576705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-1576705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350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3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60" w:type="dxa"/>
            <w:vAlign w:val="bottom"/>
          </w:tcPr>
          <w:p>
            <w:pPr>
              <w:spacing w:after="0"/>
              <w:rPr>
                <w:sz w:val="11"/>
                <w:szCs w:val="11"/>
                <w:color w:val="auto"/>
              </w:rPr>
            </w:pPr>
          </w:p>
        </w:tc>
        <w:tc>
          <w:tcPr>
            <w:tcW w:w="1020" w:type="dxa"/>
            <w:vAlign w:val="bottom"/>
          </w:tcPr>
          <w:p>
            <w:pPr>
              <w:jc w:val="center"/>
              <w:ind w:left="217"/>
              <w:spacing w:after="0" w:line="128"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tcBorders>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$0.0001 Par Value</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7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2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5" w:lineRule="exact"/>
        <w:rPr>
          <w:sz w:val="20"/>
          <w:szCs w:val="20"/>
          <w:color w:val="auto"/>
        </w:rPr>
      </w:pPr>
    </w:p>
    <w:p>
      <w:pPr>
        <w:ind w:left="120" w:right="540" w:hanging="107"/>
        <w:spacing w:after="0" w:line="241"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$518</w:t>
      </w:r>
    </w:p>
    <w:p>
      <w:pPr>
        <w:spacing w:after="0" w:line="1"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28"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4"/>
          <w:szCs w:val="14"/>
          <w:color w:val="auto"/>
        </w:rPr>
        <w:t>Issuance of common stock upon exercise of stock options Stock-based compensation expense</w:t>
      </w:r>
    </w:p>
    <w:p>
      <w:pPr>
        <w:spacing w:after="0" w:line="1" w:lineRule="exact"/>
        <w:rPr>
          <w:sz w:val="20"/>
          <w:szCs w:val="20"/>
          <w:color w:val="auto"/>
        </w:rPr>
      </w:pPr>
    </w:p>
    <w:p>
      <w:pPr>
        <w:ind w:left="120" w:right="440" w:hanging="107"/>
        <w:spacing w:after="0" w:line="238" w:lineRule="auto"/>
        <w:rPr>
          <w:sz w:val="20"/>
          <w:szCs w:val="20"/>
          <w:color w:val="auto"/>
        </w:rPr>
      </w:pPr>
      <w:r>
        <w:rPr>
          <w:rFonts w:ascii="Times New Roman" w:cs="Times New Roman" w:eastAsia="Times New Roman" w:hAnsi="Times New Roman"/>
          <w:sz w:val="14"/>
          <w:szCs w:val="14"/>
          <w:color w:val="auto"/>
        </w:rPr>
        <w:t>Sale of common stock in registered direct offering, net of issuance costs of $5,472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2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24,360,233</w:t>
            </w:r>
          </w:p>
        </w:tc>
        <w:tc>
          <w:tcPr>
            <w:tcW w:w="1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533,764</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(188,645 )</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345,121</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7"/>
        </w:trPr>
        <w:tc>
          <w:tcPr>
            <w:tcW w:w="124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95,467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806</w:t>
            </w:r>
          </w:p>
        </w:tc>
      </w:tr>
      <w:tr>
        <w:trPr>
          <w:trHeight w:val="188"/>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w:t>
            </w:r>
          </w:p>
        </w:tc>
      </w:tr>
      <w:tr>
        <w:trPr>
          <w:trHeight w:val="243"/>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234,449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14,790</w:t>
            </w:r>
          </w:p>
        </w:tc>
      </w:tr>
      <w:tr>
        <w:trPr>
          <w:trHeight w:val="324"/>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5,736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r>
      <w:tr>
        <w:trPr>
          <w:trHeight w:val="253"/>
        </w:trPr>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(26,949 )</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(26,949 )</w:t>
            </w:r>
          </w:p>
        </w:tc>
      </w:tr>
      <w:tr>
        <w:trPr>
          <w:trHeight w:val="160"/>
        </w:trPr>
        <w:tc>
          <w:tcPr>
            <w:tcW w:w="124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24,695,885</w:t>
            </w:r>
          </w:p>
        </w:tc>
        <w:tc>
          <w:tcPr>
            <w:tcW w:w="120" w:type="dxa"/>
            <w:vAlign w:val="bottom"/>
          </w:tcPr>
          <w:p>
            <w:pPr>
              <w:spacing w:after="0"/>
              <w:rPr>
                <w:sz w:val="13"/>
                <w:szCs w:val="13"/>
                <w:color w:val="auto"/>
              </w:rPr>
            </w:pPr>
          </w:p>
        </w:tc>
        <w:tc>
          <w:tcPr>
            <w:tcW w:w="520" w:type="dxa"/>
            <w:vAlign w:val="bottom"/>
          </w:tcPr>
          <w:p>
            <w:pPr>
              <w:jc w:val="right"/>
              <w:ind w:right="348"/>
              <w:spacing w:after="0" w:line="16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3"/>
                <w:szCs w:val="13"/>
                <w:color w:val="auto"/>
              </w:rPr>
            </w:pPr>
          </w:p>
        </w:tc>
        <w:tc>
          <w:tcPr>
            <w:tcW w:w="3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553,663</w:t>
            </w:r>
          </w:p>
        </w:tc>
        <w:tc>
          <w:tcPr>
            <w:tcW w:w="100" w:type="dxa"/>
            <w:vAlign w:val="bottom"/>
          </w:tcPr>
          <w:p>
            <w:pPr>
              <w:spacing w:after="0"/>
              <w:rPr>
                <w:sz w:val="13"/>
                <w:szCs w:val="13"/>
                <w:color w:val="auto"/>
              </w:rPr>
            </w:pPr>
          </w:p>
        </w:tc>
        <w:tc>
          <w:tcPr>
            <w:tcW w:w="500" w:type="dxa"/>
            <w:vAlign w:val="bottom"/>
          </w:tcPr>
          <w:p>
            <w:pPr>
              <w:jc w:val="right"/>
              <w:ind w:right="34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ind w:left="400"/>
              <w:spacing w:after="0" w:line="16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30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(215,594 )</w:t>
            </w:r>
          </w:p>
        </w:tc>
        <w:tc>
          <w:tcPr>
            <w:tcW w:w="120" w:type="dxa"/>
            <w:vAlign w:val="bottom"/>
          </w:tcPr>
          <w:p>
            <w:pPr>
              <w:spacing w:after="0"/>
              <w:rPr>
                <w:sz w:val="13"/>
                <w:szCs w:val="13"/>
                <w:color w:val="auto"/>
              </w:rPr>
            </w:pPr>
          </w:p>
        </w:tc>
        <w:tc>
          <w:tcPr>
            <w:tcW w:w="36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338,071</w:t>
            </w:r>
          </w:p>
        </w:tc>
      </w:tr>
      <w:tr>
        <w:trPr>
          <w:trHeight w:val="175"/>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68,112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r>
      <w:tr>
        <w:trPr>
          <w:trHeight w:val="188"/>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4,091</w:t>
            </w:r>
          </w:p>
        </w:tc>
      </w:tr>
      <w:tr>
        <w:trPr>
          <w:trHeight w:val="243"/>
        </w:trPr>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4,944,000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-1133475</wp:posOffset>
            </wp:positionV>
            <wp:extent cx="7132320"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-815975</wp:posOffset>
            </wp:positionV>
            <wp:extent cx="713232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-490220</wp:posOffset>
            </wp:positionV>
            <wp:extent cx="7132320" cy="111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-267335</wp:posOffset>
            </wp:positionV>
            <wp:extent cx="7132320"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-1381760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3400" w:space="100"/>
            <w:col w:w="77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4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r>
      <w:tr>
        <w:trPr>
          <w:trHeight w:val="17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75"/>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(26,352 )</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(26,352 )</w:t>
            </w:r>
          </w:p>
        </w:tc>
      </w:tr>
      <w:tr>
        <w:trPr>
          <w:trHeight w:val="16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29,707,997</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730,832</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(60 )  $</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(241,946 )  $</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488,829</w:t>
            </w:r>
          </w:p>
        </w:tc>
      </w:tr>
      <w:tr>
        <w:trPr>
          <w:trHeight w:val="20"/>
        </w:trPr>
        <w:tc>
          <w:tcPr>
            <w:tcW w:w="35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-145415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-145415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-145415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-145415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of restricted common stock</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5" w:lineRule="exact"/>
        <w:rPr>
          <w:sz w:val="20"/>
          <w:szCs w:val="20"/>
          <w:color w:val="auto"/>
        </w:rPr>
      </w:pPr>
    </w:p>
    <w:p>
      <w:pPr>
        <w:ind w:left="120" w:right="380" w:hanging="107"/>
        <w:spacing w:after="0" w:line="241" w:lineRule="auto"/>
        <w:rPr>
          <w:sz w:val="20"/>
          <w:szCs w:val="20"/>
          <w:color w:val="auto"/>
        </w:rPr>
      </w:pPr>
      <w:r>
        <w:rPr>
          <w:rFonts w:ascii="Times New Roman" w:cs="Times New Roman" w:eastAsia="Times New Roman" w:hAnsi="Times New Roman"/>
          <w:sz w:val="14"/>
          <w:szCs w:val="14"/>
          <w:color w:val="auto"/>
        </w:rPr>
        <w:t>Sale of common stock in registered direct offering, net of issuance costs of $80</w:t>
      </w:r>
    </w:p>
    <w:p>
      <w:pPr>
        <w:spacing w:after="0" w:line="1" w:lineRule="exact"/>
        <w:rPr>
          <w:sz w:val="20"/>
          <w:szCs w:val="20"/>
          <w:color w:val="auto"/>
        </w:rPr>
      </w:pPr>
    </w:p>
    <w:p>
      <w:pPr>
        <w:ind w:left="120" w:right="60" w:hanging="107"/>
        <w:spacing w:after="0" w:line="241" w:lineRule="auto"/>
        <w:rPr>
          <w:sz w:val="20"/>
          <w:szCs w:val="20"/>
          <w:color w:val="auto"/>
        </w:rPr>
      </w:pPr>
      <w:r>
        <w:rPr>
          <w:rFonts w:ascii="Times New Roman" w:cs="Times New Roman" w:eastAsia="Times New Roman" w:hAnsi="Times New Roman"/>
          <w:sz w:val="14"/>
          <w:szCs w:val="14"/>
          <w:color w:val="auto"/>
        </w:rPr>
        <w:t>Sale of pre-funded warrants in registered direct offering, net of issuance costs of $66</w:t>
      </w:r>
    </w:p>
    <w:p>
      <w:pPr>
        <w:spacing w:after="0" w:line="1" w:lineRule="exact"/>
        <w:rPr>
          <w:sz w:val="20"/>
          <w:szCs w:val="20"/>
          <w:color w:val="auto"/>
        </w:rPr>
      </w:pPr>
    </w:p>
    <w:p>
      <w:pPr>
        <w:ind w:left="120" w:right="480" w:hanging="107"/>
        <w:spacing w:after="0" w:line="241"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$408</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of restricted common stock</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5" w:lineRule="exact"/>
        <w:rPr>
          <w:sz w:val="20"/>
          <w:szCs w:val="20"/>
          <w:color w:val="auto"/>
        </w:rPr>
      </w:pPr>
    </w:p>
    <w:p>
      <w:pPr>
        <w:ind w:left="120" w:right="360" w:hanging="107"/>
        <w:spacing w:after="0" w:line="241" w:lineRule="auto"/>
        <w:rPr>
          <w:sz w:val="20"/>
          <w:szCs w:val="20"/>
          <w:color w:val="auto"/>
        </w:rPr>
      </w:pPr>
      <w:r>
        <w:rPr>
          <w:rFonts w:ascii="Times New Roman" w:cs="Times New Roman" w:eastAsia="Times New Roman" w:hAnsi="Times New Roman"/>
          <w:sz w:val="14"/>
          <w:szCs w:val="14"/>
          <w:color w:val="auto"/>
        </w:rPr>
        <w:t>Sale of common stock in follow-on public offering, net of issuance costs of $9,272</w:t>
      </w:r>
    </w:p>
    <w:p>
      <w:pPr>
        <w:spacing w:after="0" w:line="1" w:lineRule="exact"/>
        <w:rPr>
          <w:sz w:val="20"/>
          <w:szCs w:val="20"/>
          <w:color w:val="auto"/>
        </w:rPr>
      </w:pPr>
    </w:p>
    <w:p>
      <w:pPr>
        <w:ind w:left="120" w:right="40" w:hanging="107"/>
        <w:spacing w:after="0" w:line="241" w:lineRule="auto"/>
        <w:rPr>
          <w:sz w:val="20"/>
          <w:szCs w:val="20"/>
          <w:color w:val="auto"/>
        </w:rPr>
      </w:pPr>
      <w:r>
        <w:rPr>
          <w:rFonts w:ascii="Times New Roman" w:cs="Times New Roman" w:eastAsia="Times New Roman" w:hAnsi="Times New Roman"/>
          <w:sz w:val="14"/>
          <w:szCs w:val="14"/>
          <w:color w:val="auto"/>
        </w:rPr>
        <w:t>Sale of pre-funded warrants in follow-on public offering, net of issuance costs of $627</w:t>
      </w:r>
    </w:p>
    <w:p>
      <w:pPr>
        <w:spacing w:after="0" w:line="1" w:lineRule="exact"/>
        <w:rPr>
          <w:sz w:val="20"/>
          <w:szCs w:val="20"/>
          <w:color w:val="auto"/>
        </w:rPr>
      </w:pPr>
    </w:p>
    <w:p>
      <w:pPr>
        <w:ind w:left="120" w:right="480" w:hanging="107"/>
        <w:spacing w:after="0" w:line="241"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$119</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309"/>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13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69"/>
              <w:spacing w:after="0" w:line="128"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60" w:type="dxa"/>
            <w:vAlign w:val="bottom"/>
            <w:tcBorders>
              <w:bottom w:val="single" w:sz="8" w:color="auto"/>
            </w:tcBorders>
          </w:tcPr>
          <w:p>
            <w:pPr>
              <w:spacing w:after="0"/>
              <w:rPr>
                <w:sz w:val="14"/>
                <w:szCs w:val="14"/>
                <w:color w:val="auto"/>
              </w:rPr>
            </w:pP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6"/>
        </w:trPr>
        <w:tc>
          <w:tcPr>
            <w:tcW w:w="1240" w:type="dxa"/>
            <w:vAlign w:val="bottom"/>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b w:val="1"/>
                <w:bCs w:val="1"/>
                <w:color w:val="auto"/>
                <w:w w:val="96"/>
              </w:rPr>
              <w:t>Amount</w:t>
            </w:r>
          </w:p>
        </w:tc>
        <w:tc>
          <w:tcPr>
            <w:tcW w:w="360" w:type="dxa"/>
            <w:vAlign w:val="bottom"/>
          </w:tcPr>
          <w:p>
            <w:pPr>
              <w:spacing w:after="0"/>
              <w:rPr>
                <w:sz w:val="13"/>
                <w:szCs w:val="13"/>
                <w:color w:val="auto"/>
              </w:rPr>
            </w:pP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12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17,403,315</w:t>
            </w: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288,814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(112,216 )</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176,600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74,753</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ind w:left="8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175"/>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43"/>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1,488,166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34,148</w:t>
            </w:r>
          </w:p>
        </w:tc>
        <w:tc>
          <w:tcPr>
            <w:tcW w:w="0" w:type="dxa"/>
            <w:vAlign w:val="bottom"/>
          </w:tcPr>
          <w:p>
            <w:pPr>
              <w:spacing w:after="0"/>
              <w:rPr>
                <w:sz w:val="1"/>
                <w:szCs w:val="1"/>
                <w:color w:val="auto"/>
              </w:rPr>
            </w:pPr>
          </w:p>
        </w:tc>
      </w:tr>
      <w:tr>
        <w:trPr>
          <w:trHeight w:val="324"/>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28,206</w:t>
            </w:r>
          </w:p>
        </w:tc>
        <w:tc>
          <w:tcPr>
            <w:tcW w:w="0" w:type="dxa"/>
            <w:vAlign w:val="bottom"/>
          </w:tcPr>
          <w:p>
            <w:pPr>
              <w:spacing w:after="0"/>
              <w:rPr>
                <w:sz w:val="1"/>
                <w:szCs w:val="1"/>
                <w:color w:val="auto"/>
              </w:rPr>
            </w:pPr>
          </w:p>
        </w:tc>
      </w:tr>
      <w:tr>
        <w:trPr>
          <w:trHeight w:val="324"/>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608,050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14,591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14,591</w:t>
            </w:r>
          </w:p>
        </w:tc>
        <w:tc>
          <w:tcPr>
            <w:tcW w:w="0" w:type="dxa"/>
            <w:vAlign w:val="bottom"/>
          </w:tcPr>
          <w:p>
            <w:pPr>
              <w:spacing w:after="0"/>
              <w:rPr>
                <w:sz w:val="1"/>
                <w:szCs w:val="1"/>
                <w:color w:val="auto"/>
              </w:rPr>
            </w:pPr>
          </w:p>
        </w:tc>
      </w:tr>
      <w:tr>
        <w:trPr>
          <w:trHeight w:val="253"/>
        </w:trPr>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(22,781 )</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(22,781 )</w:t>
            </w:r>
          </w:p>
        </w:tc>
        <w:tc>
          <w:tcPr>
            <w:tcW w:w="0" w:type="dxa"/>
            <w:vAlign w:val="bottom"/>
          </w:tcPr>
          <w:p>
            <w:pPr>
              <w:spacing w:after="0"/>
              <w:rPr>
                <w:sz w:val="1"/>
                <w:szCs w:val="1"/>
                <w:color w:val="auto"/>
              </w:rPr>
            </w:pPr>
          </w:p>
        </w:tc>
      </w:tr>
      <w:tr>
        <w:trPr>
          <w:trHeight w:val="160"/>
        </w:trPr>
        <w:tc>
          <w:tcPr>
            <w:tcW w:w="1240" w:type="dxa"/>
            <w:vAlign w:val="bottom"/>
          </w:tcPr>
          <w:p>
            <w:pPr>
              <w:jc w:val="right"/>
              <w:ind w:right="49"/>
              <w:spacing w:after="0" w:line="160" w:lineRule="exact"/>
              <w:rPr>
                <w:sz w:val="20"/>
                <w:szCs w:val="20"/>
                <w:color w:val="auto"/>
              </w:rPr>
            </w:pPr>
            <w:r>
              <w:rPr>
                <w:rFonts w:ascii="Times New Roman" w:cs="Times New Roman" w:eastAsia="Times New Roman" w:hAnsi="Times New Roman"/>
                <w:sz w:val="14"/>
                <w:szCs w:val="14"/>
                <w:color w:val="auto"/>
              </w:rPr>
              <w:t>19,575,242</w:t>
            </w:r>
          </w:p>
        </w:tc>
        <w:tc>
          <w:tcPr>
            <w:tcW w:w="120" w:type="dxa"/>
            <w:vAlign w:val="bottom"/>
          </w:tcPr>
          <w:p>
            <w:pPr>
              <w:spacing w:after="0"/>
              <w:rPr>
                <w:sz w:val="13"/>
                <w:szCs w:val="13"/>
                <w:color w:val="auto"/>
              </w:rPr>
            </w:pPr>
          </w:p>
        </w:tc>
        <w:tc>
          <w:tcPr>
            <w:tcW w:w="840" w:type="dxa"/>
            <w:vAlign w:val="bottom"/>
          </w:tcPr>
          <w:p>
            <w:pPr>
              <w:jc w:val="right"/>
              <w:ind w:right="668"/>
              <w:spacing w:after="0" w:line="160"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3"/>
                <w:szCs w:val="13"/>
                <w:color w:val="auto"/>
              </w:rPr>
            </w:pP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line="160" w:lineRule="exact"/>
              <w:rPr>
                <w:sz w:val="20"/>
                <w:szCs w:val="20"/>
                <w:color w:val="auto"/>
              </w:rPr>
            </w:pPr>
            <w:r>
              <w:rPr>
                <w:rFonts w:ascii="Times New Roman" w:cs="Times New Roman" w:eastAsia="Times New Roman" w:hAnsi="Times New Roman"/>
                <w:sz w:val="14"/>
                <w:szCs w:val="14"/>
                <w:color w:val="auto"/>
              </w:rPr>
              <w:t>367,850</w:t>
            </w:r>
          </w:p>
        </w:tc>
        <w:tc>
          <w:tcPr>
            <w:tcW w:w="100" w:type="dxa"/>
            <w:vAlign w:val="bottom"/>
          </w:tcPr>
          <w:p>
            <w:pPr>
              <w:spacing w:after="0"/>
              <w:rPr>
                <w:sz w:val="13"/>
                <w:szCs w:val="13"/>
                <w:color w:val="auto"/>
              </w:rPr>
            </w:pP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00"/>
              <w:spacing w:after="0" w:line="16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(134,997 )</w:t>
            </w:r>
          </w:p>
        </w:tc>
        <w:tc>
          <w:tcPr>
            <w:tcW w:w="120" w:type="dxa"/>
            <w:vAlign w:val="bottom"/>
          </w:tcPr>
          <w:p>
            <w:pPr>
              <w:spacing w:after="0"/>
              <w:rPr>
                <w:sz w:val="13"/>
                <w:szCs w:val="13"/>
                <w:color w:val="auto"/>
              </w:rPr>
            </w:pP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9"/>
              <w:spacing w:after="0" w:line="160" w:lineRule="exact"/>
              <w:rPr>
                <w:sz w:val="20"/>
                <w:szCs w:val="20"/>
                <w:color w:val="auto"/>
              </w:rPr>
            </w:pPr>
            <w:r>
              <w:rPr>
                <w:rFonts w:ascii="Times New Roman" w:cs="Times New Roman" w:eastAsia="Times New Roman" w:hAnsi="Times New Roman"/>
                <w:sz w:val="14"/>
                <w:szCs w:val="14"/>
                <w:color w:val="auto"/>
              </w:rPr>
              <w:t>232,855</w:t>
            </w:r>
          </w:p>
        </w:tc>
        <w:tc>
          <w:tcPr>
            <w:tcW w:w="0" w:type="dxa"/>
            <w:vAlign w:val="bottom"/>
          </w:tcPr>
          <w:p>
            <w:pPr>
              <w:spacing w:after="0"/>
              <w:rPr>
                <w:sz w:val="1"/>
                <w:szCs w:val="1"/>
                <w:color w:val="auto"/>
              </w:rPr>
            </w:pPr>
          </w:p>
        </w:tc>
      </w:tr>
      <w:tr>
        <w:trPr>
          <w:trHeight w:val="175"/>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41,475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76"/>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243"/>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3,015,919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138,508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138,508</w:t>
            </w:r>
          </w:p>
        </w:tc>
        <w:tc>
          <w:tcPr>
            <w:tcW w:w="0" w:type="dxa"/>
            <w:vAlign w:val="bottom"/>
          </w:tcPr>
          <w:p>
            <w:pPr>
              <w:spacing w:after="0"/>
              <w:rPr>
                <w:sz w:val="1"/>
                <w:szCs w:val="1"/>
                <w:color w:val="auto"/>
              </w:rPr>
            </w:pPr>
          </w:p>
        </w:tc>
      </w:tr>
      <w:tr>
        <w:trPr>
          <w:trHeight w:val="324"/>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9,373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9,373</w:t>
            </w:r>
          </w:p>
        </w:tc>
        <w:tc>
          <w:tcPr>
            <w:tcW w:w="0" w:type="dxa"/>
            <w:vAlign w:val="bottom"/>
          </w:tcPr>
          <w:p>
            <w:pPr>
              <w:spacing w:after="0"/>
              <w:rPr>
                <w:sz w:val="1"/>
                <w:szCs w:val="1"/>
                <w:color w:val="auto"/>
              </w:rPr>
            </w:pPr>
          </w:p>
        </w:tc>
      </w:tr>
      <w:tr>
        <w:trPr>
          <w:trHeight w:val="324"/>
        </w:trPr>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217,300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253"/>
        </w:trPr>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(15,947 )</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(15,947 )</w:t>
            </w:r>
          </w:p>
        </w:tc>
        <w:tc>
          <w:tcPr>
            <w:tcW w:w="0" w:type="dxa"/>
            <w:vAlign w:val="bottom"/>
          </w:tcPr>
          <w:p>
            <w:pPr>
              <w:spacing w:after="0"/>
              <w:rPr>
                <w:sz w:val="1"/>
                <w:szCs w:val="1"/>
                <w:color w:val="auto"/>
              </w:rPr>
            </w:pPr>
          </w:p>
        </w:tc>
      </w:tr>
      <w:tr>
        <w:trPr>
          <w:trHeight w:val="169"/>
        </w:trPr>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22,850,894</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522,161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(150,944 )</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371,219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-2279650</wp:posOffset>
            </wp:positionV>
            <wp:extent cx="7132320" cy="111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-2056765</wp:posOffset>
            </wp:positionV>
            <wp:extent cx="713232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-1645285</wp:posOffset>
            </wp:positionV>
            <wp:extent cx="71323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-1319530</wp:posOffset>
            </wp:positionV>
            <wp:extent cx="713232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-1096645</wp:posOffset>
            </wp:positionV>
            <wp:extent cx="713232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-873760</wp:posOffset>
            </wp:positionV>
            <wp:extent cx="713232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-462280</wp:posOffset>
            </wp:positionV>
            <wp:extent cx="713232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-2527935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-136525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340" w:space="160"/>
            <w:col w:w="7740"/>
          </w:cols>
          <w:pgMar w:left="320" w:top="98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(53,301 )</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(38,728 )</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8,149</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3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accretion of investment securities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value right liability</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non-cash items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9"/>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(11,476 )</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8,365</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39"/>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(1,791 )</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36"/>
        </w:trPr>
        <w:tc>
          <w:tcPr>
            <w:tcW w:w="7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(48,992 )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(48,190 )</w:t>
            </w:r>
          </w:p>
        </w:tc>
        <w:tc>
          <w:tcPr>
            <w:tcW w:w="0" w:type="dxa"/>
            <w:vAlign w:val="bottom"/>
          </w:tcPr>
          <w:p>
            <w:pPr>
              <w:spacing w:after="0"/>
              <w:rPr>
                <w:sz w:val="1"/>
                <w:szCs w:val="1"/>
                <w:color w:val="auto"/>
              </w:rPr>
            </w:pPr>
          </w:p>
        </w:tc>
      </w:tr>
      <w:tr>
        <w:trPr>
          <w:trHeight w:val="241"/>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(219,752 )</w:t>
            </w:r>
          </w:p>
        </w:tc>
        <w:tc>
          <w:tcPr>
            <w:tcW w:w="1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(219,816 )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1"/>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offerings, net of issuance costs paid</w:t>
            </w:r>
          </w:p>
        </w:tc>
        <w:tc>
          <w:tcPr>
            <w:tcW w:w="36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172,683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172,755</w:t>
            </w: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pre-funded warrants in offerings, net of issuance costs</w:t>
            </w:r>
          </w:p>
        </w:tc>
        <w:tc>
          <w:tcPr>
            <w:tcW w:w="36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37,637</w:t>
            </w:r>
          </w:p>
        </w:tc>
        <w:tc>
          <w:tcPr>
            <w:tcW w:w="0" w:type="dxa"/>
            <w:vAlign w:val="bottom"/>
          </w:tcPr>
          <w:p>
            <w:pPr>
              <w:spacing w:after="0"/>
              <w:rPr>
                <w:sz w:val="1"/>
                <w:szCs w:val="1"/>
                <w:color w:val="auto"/>
              </w:rPr>
            </w:pPr>
          </w:p>
        </w:tc>
      </w:tr>
      <w:tr>
        <w:trPr>
          <w:trHeight w:val="126"/>
        </w:trPr>
        <w:tc>
          <w:tcPr>
            <w:tcW w:w="77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paid</w:t>
            </w:r>
          </w:p>
        </w:tc>
        <w:tc>
          <w:tcPr>
            <w:tcW w:w="360" w:type="dxa"/>
            <w:vAlign w:val="bottom"/>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78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w:t>
            </w:r>
          </w:p>
        </w:tc>
        <w:tc>
          <w:tcPr>
            <w:tcW w:w="360" w:type="dxa"/>
            <w:vAlign w:val="bottom"/>
          </w:tcPr>
          <w:p>
            <w:pPr>
              <w:spacing w:after="0"/>
              <w:rPr>
                <w:sz w:val="18"/>
                <w:szCs w:val="18"/>
                <w:color w:val="auto"/>
              </w:rPr>
            </w:pPr>
          </w:p>
        </w:tc>
        <w:tc>
          <w:tcPr>
            <w:tcW w:w="13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14,790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19,471</w:t>
            </w:r>
          </w:p>
        </w:tc>
        <w:tc>
          <w:tcPr>
            <w:tcW w:w="0" w:type="dxa"/>
            <w:vAlign w:val="bottom"/>
          </w:tcPr>
          <w:p>
            <w:pPr>
              <w:spacing w:after="0"/>
              <w:rPr>
                <w:sz w:val="1"/>
                <w:szCs w:val="1"/>
                <w:color w:val="auto"/>
              </w:rPr>
            </w:pPr>
          </w:p>
        </w:tc>
      </w:tr>
      <w:tr>
        <w:trPr>
          <w:trHeight w:val="126"/>
        </w:trPr>
        <w:tc>
          <w:tcPr>
            <w:tcW w:w="77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costs paid</w:t>
            </w: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7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189,091</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231,161</w:t>
            </w: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(79,717 )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182,930</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360,616</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194,788</w:t>
            </w:r>
          </w:p>
        </w:tc>
        <w:tc>
          <w:tcPr>
            <w:tcW w:w="0" w:type="dxa"/>
            <w:vAlign w:val="bottom"/>
          </w:tcPr>
          <w:p>
            <w:pPr>
              <w:spacing w:after="0"/>
              <w:rPr>
                <w:sz w:val="1"/>
                <w:szCs w:val="1"/>
                <w:color w:val="auto"/>
              </w:rPr>
            </w:pPr>
          </w:p>
        </w:tc>
      </w:tr>
      <w:tr>
        <w:trPr>
          <w:trHeight w:val="23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280,899</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377,718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-3136900</wp:posOffset>
            </wp:positionV>
            <wp:extent cx="111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-2515235</wp:posOffset>
            </wp:positionV>
            <wp:extent cx="136525"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6525" cy="1968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-967740</wp:posOffset>
            </wp:positionV>
            <wp:extent cx="111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-650875</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p>
      <w:pPr>
        <w:spacing w:after="0" w:line="31" w:lineRule="exact"/>
        <w:rPr>
          <w:sz w:val="20"/>
          <w:szCs w:val="20"/>
          <w:color w:val="auto"/>
        </w:rPr>
      </w:pPr>
    </w:p>
    <w:p>
      <w:pPr>
        <w:ind w:left="340" w:right="1940" w:hanging="134"/>
        <w:spacing w:after="0" w:line="266" w:lineRule="auto"/>
        <w:rPr>
          <w:sz w:val="20"/>
          <w:szCs w:val="20"/>
          <w:color w:val="auto"/>
        </w:rPr>
      </w:pPr>
      <w:r>
        <w:rPr>
          <w:rFonts w:ascii="Times New Roman" w:cs="Times New Roman" w:eastAsia="Times New Roman" w:hAnsi="Times New Roman"/>
          <w:sz w:val="18"/>
          <w:szCs w:val="18"/>
          <w:color w:val="auto"/>
        </w:rPr>
        <w:t>Net decrease in right-of-use assets related to lease modifications and reassessment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340" w:right="1700" w:hanging="134"/>
        <w:spacing w:after="0" w:line="266" w:lineRule="auto"/>
        <w:rPr>
          <w:sz w:val="20"/>
          <w:szCs w:val="20"/>
          <w:color w:val="auto"/>
        </w:rPr>
      </w:pPr>
      <w:r>
        <w:rPr>
          <w:rFonts w:ascii="Times New Roman" w:cs="Times New Roman" w:eastAsia="Times New Roman" w:hAnsi="Times New Roman"/>
          <w:sz w:val="18"/>
          <w:szCs w:val="18"/>
          <w:color w:val="auto"/>
        </w:rPr>
        <w:t>Net decrease in operating lease liabilities due to lease modifications and reassessment events</w:t>
      </w:r>
    </w:p>
    <w:p>
      <w:pPr>
        <w:ind w:left="340" w:right="1500" w:hanging="134"/>
        <w:spacing w:after="0" w:line="266" w:lineRule="auto"/>
        <w:rPr>
          <w:sz w:val="20"/>
          <w:szCs w:val="20"/>
          <w:color w:val="auto"/>
        </w:rPr>
      </w:pPr>
      <w:r>
        <w:rPr>
          <w:rFonts w:ascii="Times New Roman" w:cs="Times New Roman" w:eastAsia="Times New Roman" w:hAnsi="Times New Roman"/>
          <w:sz w:val="18"/>
          <w:szCs w:val="18"/>
          <w:color w:val="auto"/>
        </w:rPr>
        <w:t>Receivable related to deferred issuance costs on sale of common stock and pre-funded warrants in offerings included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340" w:right="1340" w:hanging="134"/>
        <w:spacing w:after="0" w:line="282" w:lineRule="auto"/>
        <w:rPr>
          <w:sz w:val="20"/>
          <w:szCs w:val="20"/>
          <w:color w:val="auto"/>
        </w:rPr>
      </w:pPr>
      <w:r>
        <w:rPr>
          <w:rFonts w:ascii="Times New Roman" w:cs="Times New Roman" w:eastAsia="Times New Roman" w:hAnsi="Times New Roman"/>
          <w:sz w:val="18"/>
          <w:szCs w:val="18"/>
          <w:color w:val="auto"/>
        </w:rPr>
        <w:t>Deferred issuance costs on sale of common stock and pre-funded warrants in offerings included in accounts payable and accrued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346"/>
        </w:trPr>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459"/>
        </w:trPr>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459"/>
        </w:trPr>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459"/>
        </w:trPr>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bl>
    <w:p>
      <w:pPr>
        <w:spacing w:after="0" w:line="344" w:lineRule="exact"/>
        <w:rPr>
          <w:sz w:val="20"/>
          <w:szCs w:val="20"/>
          <w:color w:val="auto"/>
        </w:rPr>
      </w:pPr>
    </w:p>
    <w:p>
      <w:pPr>
        <w:sectPr>
          <w:pgSz w:w="11900" w:h="16838" w:orient="portrait"/>
          <w:cols w:equalWidth="0" w:num="2">
            <w:col w:w="7080" w:space="720"/>
            <w:col w:w="3440"/>
          </w:cols>
          <w:pgMar w:left="320" w:top="1197" w:right="3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cash equivalents, and marketable securities as of June 30, 2024 of $500.9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June 30, 2024, the Company had an accumulated deficit of $241.9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2023 and the notes thereto, which are included in the Company’s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June 30, 2024 and for the three and six months ended June 30, 2024 and 2023 are unaudited. The financial data and other information contained in the notes hereto as of June 30, 2024 and for the three and six months ended June 30, 2024 and 2023 are also unaudited. The condensed consolidated balance sheet data as of December 31, 2023 was derived from the Company’s audited consolidated financial statements included in the Company’s Annual Report on Form 10-K.</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June 30, 2024 and the results of its operations and cash flows for the three and six months ended June 30, 2024 and 2023. These unaudited condensed consolidated financial statements should be read in conjunction with the audited consolidated financial statements as of and for the year ended December 31, 2023, and the notes thereto, included in the Company’s Annual Report on Form 10-K.</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for the three and six months ended June 30, 2024 and 2023 are not necessarily indicative of results to be expected for the full years, or any other interim periods, or any future year 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determinations for instruments accounted for at fair value; the fair value of the contingent value right (“CVR”) (see Note 3);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of foreign currency translation adjustments and unrealized gains and losses on available-for-sale marketable securities during the three and six months ended June 30,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Marketable securities are maintained by an investment manager and consist of U.S. government securities. Marketable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underlying marketable security.</w:t>
      </w:r>
    </w:p>
    <w:p>
      <w:pPr>
        <w:spacing w:after="0" w:line="7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Although available to be sold to meet operating needs or otherwise, securities are generally held through maturity. The cost of securities sold is determined on a specific identification basis, and realized gains and losses are included in other income (expense), net within the consolidated statements of operations and comprehensive loss.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reviews its portfolio of available-for-sale securities, using both quantitative and qualitative factors, to determine if declines in fair value below cost have resulted from a credit loss or other factors. If the decline in fair value is due to credit loss factors, a loss is recognized. To date, the Company has not experienced any credit losses and does not expect it is exposed to any significant credit risk on these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 to the consolidated financial statements in the Company’s Annual Report on Form 10-K for the year ended December 31,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ind w:left="55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69"/>
        </w:trPr>
        <w:tc>
          <w:tcPr>
            <w:tcW w:w="5620" w:type="dxa"/>
            <w:vAlign w:val="bottom"/>
          </w:tcPr>
          <w:p>
            <w:pPr>
              <w:ind w:left="55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74,992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157,214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32,298</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74,992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189,512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136,743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83,539</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220,282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74,992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409,794</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376"/>
        </w:trPr>
        <w:tc>
          <w:tcPr>
            <w:tcW w:w="5620" w:type="dxa"/>
            <w:vAlign w:val="bottom"/>
            <w:tcBorders>
              <w:top w:val="single" w:sz="8" w:color="CFF0FC"/>
            </w:tcBorders>
          </w:tcPr>
          <w:p>
            <w:pPr>
              <w:ind w:left="55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top w:val="single" w:sz="8" w:color="CFF0F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r>
      <w:tr>
        <w:trPr>
          <w:trHeight w:val="169"/>
        </w:trPr>
        <w:tc>
          <w:tcPr>
            <w:tcW w:w="5620" w:type="dxa"/>
            <w:vAlign w:val="bottom"/>
          </w:tcPr>
          <w:p>
            <w:pPr>
              <w:ind w:left="55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55,001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255,419</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55,001</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255,419</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55,001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255,419</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-2331085</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-2331085</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-1696720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-1696720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-1370965</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-1353820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-1370965</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-1353820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and marketable securities, consisting of U.S. treasury and U.S. government agency securities, with original maturities of three months or less and twelve months or less, respectively, are determined through third-party pricing services. The amortized cost of the cash equivalents approximates the fair value. There have been no impairments of the Company’s assets measured and carried at fair value nor changes in valuation techniques during the three and six months ended June 30, 2024 and 2023. The Company transferred assets of $0.9 million from Level 2 to Level 1 during the three and six months ended June 30, 2024. The Company did not have any non-recurring fair value measurements on any assets or liabilities during the three and six months ended June 30, 2024 and 2023.</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As described in Note 1 to the consolidated financial statements in the Company’s Annual Report on Form 10-K for the year ended December 31, 2023, in connection with the merger, the stockholders of Gemini at the effective time of the merger received a CVR to receive consideration from the Company upon its receipt of certain proceeds, resulting from a disposition of Gemini’s pre-merger assets within one year after the closing of the merger, calculated in accordance with the CVR Agreement. The disposition period ended December 29, 2023 and no dispositions of Gemini's pre-merger assets were made during the disposition period. Therefore, the CVR obligation no longer existed as of June 30, 2024 and December 31, 2023,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changes in fair value of the CVR liability for the three and six months ended June 30,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3 Rollforward</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value right liability</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value right liability</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6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1140" w:type="dxa"/>
            <w:vAlign w:val="bottom"/>
            <w:gridSpan w:val="3"/>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633"/>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tc>
        <w:tc>
          <w:tcPr>
            <w:tcW w:w="16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Marketable securities as of June 30, 2024 consisted of the following (in thousands):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8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69"/>
        </w:trPr>
        <w:tc>
          <w:tcPr>
            <w:tcW w:w="478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16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136,782</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136,743</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83,566</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83,539</w:t>
            </w:r>
          </w:p>
        </w:tc>
        <w:tc>
          <w:tcPr>
            <w:tcW w:w="0" w:type="dxa"/>
            <w:vAlign w:val="bottom"/>
          </w:tcPr>
          <w:p>
            <w:pPr>
              <w:spacing w:after="0"/>
              <w:rPr>
                <w:sz w:val="1"/>
                <w:szCs w:val="1"/>
                <w:color w:val="auto"/>
              </w:rPr>
            </w:pPr>
          </w:p>
        </w:tc>
      </w:tr>
      <w:tr>
        <w:trPr>
          <w:trHeight w:val="237"/>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220,348</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220,282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-187960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Marketable securities as of December 31, 2023 were zero. As of June 30, 2024, all marketable securities had an original maturity date of twelve months or less. The aggregate fair value of marketable securities with unrealized losses was $220.3 million as of June 30, 2024 and zero as of December 31, 2023, respectively. As of June 30, 2024 and December 31, 2023, 26 investments and no investments, respectively, were in an unrealized loss position.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and U.S. government agency securities are subject to minimal credit risk. As a result, the Company did not record any charges for credit-related impairments for its available-for-sale securities for the three and six months ended June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280,663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360,382</w:t>
            </w: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w:t>
            </w:r>
          </w:p>
        </w:tc>
        <w:tc>
          <w:tcPr>
            <w:tcW w:w="3200" w:type="dxa"/>
            <w:vAlign w:val="bottom"/>
            <w:gridSpan w:val="2"/>
            <w:vMerge w:val="restart"/>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280,899</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360,616</w:t>
            </w:r>
          </w:p>
        </w:tc>
        <w:tc>
          <w:tcPr>
            <w:tcW w:w="0" w:type="dxa"/>
            <w:vAlign w:val="bottom"/>
          </w:tcPr>
          <w:p>
            <w:pPr>
              <w:spacing w:after="0"/>
              <w:rPr>
                <w:sz w:val="1"/>
                <w:szCs w:val="1"/>
                <w:color w:val="auto"/>
              </w:rPr>
            </w:pPr>
          </w:p>
        </w:tc>
      </w:tr>
      <w:tr>
        <w:trPr>
          <w:trHeight w:val="99"/>
        </w:trPr>
        <w:tc>
          <w:tcPr>
            <w:tcW w:w="548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200" w:type="dxa"/>
            <w:vAlign w:val="bottom"/>
            <w:gridSpan w:val="2"/>
            <w:vMerge w:val="continue"/>
            <w:shd w:val="clear" w:color="auto" w:fill="CFF0FC"/>
          </w:tcPr>
          <w:p>
            <w:pPr>
              <w:spacing w:after="0"/>
              <w:rPr>
                <w:sz w:val="8"/>
                <w:szCs w:val="8"/>
                <w:color w:val="auto"/>
              </w:rPr>
            </w:pPr>
          </w:p>
        </w:tc>
        <w:tc>
          <w:tcPr>
            <w:tcW w:w="720" w:type="dxa"/>
            <w:vAlign w:val="bottom"/>
            <w:vMerge w:val="continue"/>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480" w:type="dxa"/>
            <w:vAlign w:val="bottom"/>
            <w:tcBorders>
              <w:bottom w:val="single" w:sz="8" w:color="CFF0FC"/>
            </w:tcBorders>
            <w:vMerge w:val="continue"/>
            <w:shd w:val="clear" w:color="auto" w:fill="CFF0FC"/>
          </w:tcPr>
          <w:p>
            <w:pPr>
              <w:spacing w:after="0"/>
              <w:rPr>
                <w:sz w:val="12"/>
                <w:szCs w:val="12"/>
                <w:color w:val="auto"/>
              </w:rPr>
            </w:pPr>
          </w:p>
        </w:tc>
        <w:tc>
          <w:tcPr>
            <w:tcW w:w="2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13"/>
        </w:trPr>
        <w:tc>
          <w:tcPr>
            <w:tcW w:w="5480" w:type="dxa"/>
            <w:vAlign w:val="bottom"/>
          </w:tcPr>
          <w:p>
            <w:pPr>
              <w:spacing w:after="0"/>
              <w:rPr>
                <w:sz w:val="24"/>
                <w:szCs w:val="24"/>
                <w:color w:val="auto"/>
              </w:rPr>
            </w:pPr>
          </w:p>
        </w:tc>
        <w:tc>
          <w:tcPr>
            <w:tcW w:w="22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-796290</wp:posOffset>
            </wp:positionV>
            <wp:extent cx="111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-779145</wp:posOffset>
            </wp:positionV>
            <wp:extent cx="1111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1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11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184</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7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170</w:t>
            </w:r>
          </w:p>
        </w:tc>
      </w:tr>
      <w:tr>
        <w:trPr>
          <w:trHeight w:val="534"/>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7. Other Accrued Expenses</w:t>
            </w:r>
          </w:p>
        </w:tc>
        <w:tc>
          <w:tcPr>
            <w:tcW w:w="1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1"/>
        </w:trPr>
        <w:tc>
          <w:tcPr>
            <w:tcW w:w="7720" w:type="dxa"/>
            <w:vAlign w:val="bottom"/>
          </w:tcPr>
          <w:p>
            <w:pPr>
              <w:spacing w:after="0"/>
              <w:rPr>
                <w:sz w:val="24"/>
                <w:szCs w:val="24"/>
                <w:color w:val="auto"/>
              </w:rPr>
            </w:pPr>
          </w:p>
        </w:tc>
        <w:tc>
          <w:tcPr>
            <w:tcW w:w="11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11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5,790</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1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6,159</w:t>
            </w:r>
          </w:p>
        </w:tc>
      </w:tr>
      <w:tr>
        <w:trPr>
          <w:trHeight w:val="20"/>
        </w:trPr>
        <w:tc>
          <w:tcPr>
            <w:tcW w:w="7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-1610995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-1593850</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Development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June 30, 2024, none of the milestones had been achieved.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Roche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Roche Agreement, the Company paid Roche an upfront, non-refundable exclusivity payment of $0.5 million in March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execution of the Roche Agreement in May 2021, the Company paid Roche an additional upfront, non-refundable payment of $4.0 million.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As of June 30, 2024, none of the milestones had been achieved. Roche is also eligible to receive tiered royalties on net sales of commercialized products, at rates ranging from high single-digits to high teens.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5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October 2023, the Company dosed the first patient in the Phase 1 clinical trial for DISC-3405, resulting in a milestone payment of $5.0 million due to Mabwell. In addition, the Company is obligated to pay certain development and regulatory milestone payments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research and development expense related to its arrangement with Mabwell of $0.1 million. During the three and six months ended June 30, 2023, the Company recorded research and development expense related to its arrangement with Mabwell of zero and $10.0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was authorized to issue up to 10,000,000 shares of preferred stock at a par value of $0.0001, with no shares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authorized capital stock of the Company included 100,000,000 shares of common stock, $0.0001 par value per share. As of June 30, 2024, the Company has 2,924,576 shares of common stock reserved for the exercise of stock options and 204,081 shares of common stock reserved for the exercise of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pre-funded warrants meet the condition for equity classification and were therefore recorded as a component of stockholders’ equity within additional paid-in capital at the time of their issuance. In September 2023, all of the pre-funded warrants were exercised in a cashless transaction which resulted in 1,229,221 shares of common stock being issued to the investor.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general and administrative expense in the consolidated statements of operations and comprehensive loss for the nine months ended September 30, 2023. As of September 30, 2023, the Company had sold an aggregate of 825,350 shares of common stock in ATM offerings under the January 2023 Shelf. Aggregate gross proceeds from the transactions were $20.0 million and the Company received $19.5 million in net proceeds, after deducting placement agent fees and offering expenses.</w:t>
      </w:r>
    </w:p>
    <w:p>
      <w:pPr>
        <w:spacing w:after="0" w:line="8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 As of December 31, 2023, the Company had sold an aggregate of 141,914 shares of common stock in ATM offerings under the November 2023 Shelf and pursuant to the ATM Agreement. Aggregate gross proceeds from the transactions were $7.2 million and the Company received $7.0 million in net proceeds, after deducting placement agent fees and offering expenses.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an aggregate of 234,449 shares of common stock in ATM offerings under the November 2023 Shelf and pursuant to the ATM Agreement. Aggregate gross proceeds from the transactions were $15.3 million and the Company received $14.8 million in net proceeds, after deducting placement agent fees and offering expenses. During the three months ended June 30, 2024, the Company sold no shares in ATM offerings. As of June 30, 2024, the Company had sold an aggregate of 376,363 shares of common stock in ATM offerings under the November 2023 Shelf for aggregate gross proceeds of $22.5 million and aggregate net proceeds received of $21.8 million, after deducting placement agent fees and offering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the 2017 Stock Option and Grant Plan (the “Gemini 2017 Plan”), and the 2021 Inducement Plan, but is no longer granting awards under these plans. The Company also grants awards under its 2021 Employee Stock Purchase Plan (the “2021 ESPP”), which was approved by the Company's stockholders in July 2021 and amended and restated in January 2023. In addition, subject to approval by the Company's board of directors, the Company may grant stock-based awards outside of the 2021 Plan as an inducement to its executives.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general and administrative expenses, respectively, for employees, directors and non-employees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00" w:type="dxa"/>
            <w:vAlign w:val="bottom"/>
          </w:tcPr>
          <w:p>
            <w:pPr>
              <w:ind w:left="57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ind w:left="57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3,229</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712</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4,920</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1,621</w:t>
            </w:r>
          </w:p>
        </w:tc>
      </w:tr>
      <w:tr>
        <w:trPr>
          <w:trHeight w:val="277"/>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4,091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2,333</w:t>
            </w:r>
          </w:p>
        </w:tc>
      </w:tr>
      <w:tr>
        <w:trPr>
          <w:trHeight w:val="417"/>
        </w:trPr>
        <w:tc>
          <w:tcPr>
            <w:tcW w:w="58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49"/>
        </w:trPr>
        <w:tc>
          <w:tcPr>
            <w:tcW w:w="5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-788035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-770890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-788035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-770890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following table summarizes unrecognized stock-based compensation expense as of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13"/>
                <w:szCs w:val="13"/>
                <w:color w:val="auto"/>
              </w:rPr>
            </w:pPr>
          </w:p>
        </w:tc>
        <w:tc>
          <w:tcPr>
            <w:tcW w:w="1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Period of Recognition</w:t>
            </w:r>
          </w:p>
        </w:tc>
        <w:tc>
          <w:tcPr>
            <w:tcW w:w="0" w:type="dxa"/>
            <w:vAlign w:val="bottom"/>
          </w:tcPr>
          <w:p>
            <w:pPr>
              <w:spacing w:after="0"/>
              <w:rPr>
                <w:sz w:val="1"/>
                <w:szCs w:val="1"/>
                <w:color w:val="auto"/>
              </w:rPr>
            </w:pPr>
          </w:p>
        </w:tc>
      </w:tr>
      <w:tr>
        <w:trPr>
          <w:trHeight w:val="187"/>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continue"/>
          </w:tcPr>
          <w:p>
            <w:pPr>
              <w:spacing w:after="0"/>
              <w:rPr>
                <w:sz w:val="16"/>
                <w:szCs w:val="16"/>
                <w:color w:val="auto"/>
              </w:rPr>
            </w:pPr>
          </w:p>
        </w:tc>
        <w:tc>
          <w:tcPr>
            <w:tcW w:w="17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20,942</w:t>
            </w:r>
          </w:p>
        </w:tc>
        <w:tc>
          <w:tcPr>
            <w:tcW w:w="14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29,644</w:t>
            </w:r>
          </w:p>
        </w:tc>
        <w:tc>
          <w:tcPr>
            <w:tcW w:w="140" w:type="dxa"/>
            <w:vAlign w:val="bottom"/>
          </w:tcPr>
          <w:p>
            <w:pPr>
              <w:spacing w:after="0"/>
              <w:rPr>
                <w:sz w:val="21"/>
                <w:szCs w:val="21"/>
                <w:color w:val="auto"/>
              </w:rPr>
            </w:pP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2"/>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equity-based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50,586</w:t>
            </w:r>
          </w:p>
        </w:tc>
        <w:tc>
          <w:tcPr>
            <w:tcW w:w="140" w:type="dxa"/>
            <w:vAlign w:val="bottom"/>
            <w:tcBorders>
              <w:bottom w:val="single" w:sz="8" w:color="CFF0FC"/>
            </w:tcBorders>
            <w:shd w:val="clear" w:color="auto" w:fill="CFF0FC"/>
          </w:tcPr>
          <w:p>
            <w:pPr>
              <w:spacing w:after="0"/>
              <w:rPr>
                <w:sz w:val="23"/>
                <w:szCs w:val="23"/>
                <w:color w:val="auto"/>
              </w:rPr>
            </w:pPr>
          </w:p>
        </w:tc>
        <w:tc>
          <w:tcPr>
            <w:tcW w:w="17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determines the fair value of the restricted stock units based on the fair value of the Company’s common stock at the time of grant.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7, 2024, the Company granted a restricted stock unit award for 36,666 shares of common stock outside of the 2021 Plan to its newly appointed Chief Financial Officer, Jean Franchi, as an inducement for entering into employment with the Company in accordance with Nasdaq Listing Rule 5635(c)(4). The restricted stock unit award vests with respect to 25% of the underlying shares on each of the first, second, third and fourth anniversaries of the vesting date as set by the Company policy, subject to Ms. Franchi’s continued employment with the Company.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26, 2024, the Company granted a restricted stock unit award for 36,666 shares of common stock outside of the 2021 Plan to its newly appointed Chief Commercial Officer, Pamela Stephenson, as an inducement for entering into employment with the Company in accordance with Nasdaq Listing Rule 5635(c)(4). The restricted stock unit award vests with respect to 25% of the underlying shares on each of the first, second, third and fourth anniversaries of the vesting date as set by the Company policy, subject to Ms. Stephenson’s continued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six months ended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12"/>
                <w:szCs w:val="12"/>
                <w:color w:val="auto"/>
              </w:rPr>
            </w:pPr>
          </w:p>
        </w:tc>
        <w:tc>
          <w:tcPr>
            <w:tcW w:w="14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December 31, 2023</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374,169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47"/>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(8,701 )</w:t>
            </w:r>
          </w:p>
        </w:tc>
        <w:tc>
          <w:tcPr>
            <w:tcW w:w="3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June 30, 2024</w:t>
            </w: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365,468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estimates the fair value of stock options on the grant date using the Black-Scholes option-pricing model. This model incorporates various assumptions, including the expected volatility, expected term, and interest rates.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7, 2024, the Company granted an option to purchase 55,000 shares of common stock outside of the 2021 Plan to its newly appointed Chief Financial Officer, Jean Franchi, as an inducement for entering into employment with the Company in accordance with Nasdaq Listing Rule 5635(c)</w:t>
      </w:r>
    </w:p>
    <w:p>
      <w:pPr>
        <w:jc w:val="both"/>
        <w:spacing w:after="0" w:line="255" w:lineRule="auto"/>
        <w:rPr>
          <w:sz w:val="20"/>
          <w:szCs w:val="20"/>
          <w:color w:val="auto"/>
        </w:rPr>
      </w:pPr>
      <w:r>
        <w:rPr>
          <w:rFonts w:ascii="Times New Roman" w:cs="Times New Roman" w:eastAsia="Times New Roman" w:hAnsi="Times New Roman"/>
          <w:sz w:val="18"/>
          <w:szCs w:val="18"/>
          <w:color w:val="auto"/>
        </w:rPr>
        <w:t>(4). The option award has a ten-year term, with 25% of the underlying shares vesting and becoming exercisable on February 7, 2025, and the balance of the option award vesting in equal monthly installments over 36 months thereafter, subject to Ms. Franchi’s continued employment with the Company, and has an exercise price of $65.25.</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26, 2024, the Company granted an option to purchase 55,000 shares of common stock outside of the 2021 Plan to its newly appointed Chief Commercial Officer, Pamela Stephenson, as an inducement for entering into employment with the Company in accordance with Nasdaq Listing Rule 5635(c)(4). The option award has a ten-year term, with 25% of the underlying shares vesting and becoming exercisable on February 26, 2025, and the balance of the option award vesting in equal monthly installments over 36 months thereafter, subject to Ms. Stephenson’s continued employment with the Company, and has an exercise price of $64.66.</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5760" w:type="dxa"/>
            <w:vAlign w:val="bottom"/>
          </w:tcPr>
          <w:p>
            <w:pPr>
              <w:ind w:left="570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2,459,037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13.82</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109,078</w:t>
            </w: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696,533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(163,579 )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(55,463 )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2,924,576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24.48</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7.95</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72,721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1,451,437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12.28</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7.09</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48,766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-342265</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six months ended June 30, 2024 and 2023 was $7.1 million and $2.0 million,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granted were as follows:</w:t>
      </w:r>
    </w:p>
    <w:p>
      <w:pPr>
        <w:spacing w:after="0" w:line="13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7.73</w:t>
            </w:r>
          </w:p>
        </w:tc>
        <w:tc>
          <w:tcPr>
            <w:tcW w:w="60" w:type="dxa"/>
            <w:vAlign w:val="bottom"/>
          </w:tcPr>
          <w:p>
            <w:pPr>
              <w:spacing w:after="0"/>
              <w:rPr>
                <w:sz w:val="20"/>
                <w:szCs w:val="20"/>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per share of common stock</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35.36</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fair value of options vested during the six months ended June 30, 2024 and 2023 was $5.3 million and $2.1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Restricted Common Stock</w:t>
      </w:r>
    </w:p>
    <w:p>
      <w:pPr>
        <w:spacing w:after="0" w:line="121"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issued 63,061 shares of restricted common stock to the founders of Disc Medicine, Inc. prior to the merger (now known as Disc Medicine OpCo, Inc.),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 As of June 30, 2024, these awards of restricted common stock were fully vested.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restricted common stock activity is as follows:</w:t>
      </w:r>
    </w:p>
    <w:p>
      <w:pPr>
        <w:spacing w:after="0" w:line="12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beginning of the year</w:t>
            </w:r>
          </w:p>
        </w:tc>
        <w:tc>
          <w:tcPr>
            <w:tcW w:w="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1,916</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(1,916 )</w:t>
            </w: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end of the period</w:t>
            </w:r>
          </w:p>
        </w:tc>
        <w:tc>
          <w:tcPr>
            <w:tcW w:w="118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and 2023, 5,736 shares and zero shares, respectively, of common stock were issued under the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and six months ended June 30, 2024 and 2023. The Company recorded state income tax expense of $0.1 million and less than $0.1 million for the six months ended June 30, 2024 and 2023, respectively, due to interest income. The Company continues to maintain a full valuation allowance against all of its deferred tax assets.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9" w:name="page20"/>
    <w:bookmarkEnd w:id="1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of 204,081 and registered direct offering in February 2023 of 1,229,224, as the pre-funded warrants are exercisable for nominal cash consideration. In September 2023, 1,229,224 of the pre-funded warrants were exercised in a cashless transaction which resulted in 1,229,221 shares of common stock being issued to the investor. As of June 30, 2024, 204,081 pre-funded warrants were outstanding.</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24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2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365,468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2,924,576</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2,571,395</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six months ended June 30, 2024 and 2023 and, to the best of its knowledge, no material legal proceedings are currently pending or threatened.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June 30, 2024,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a tenant under a lease and sublease of office space in Watertown, Massachusetts, both operating leases. There have been no material changes to the Company’s leases during the six months ended June 30, 2024. For additional information,</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please refer to Note 15 to the consolidated financial statements in the Company's Annual Report on Form 10-K for the year ended December 31, 2023.</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2023, the Company entered into its sublease for a term of approximately three and a half years through November 2026, consisting of 9,280 square feet of office space on the second floor of the corporate headquarters in Watertown, Massachusetts. Fixed lease payments include base rent, subject to annual rent increases, and a management fee. Variable lease payments include the Company’s allocated share of costs incurred for real estate taxes, utilities, and other operating expenses applicable to the leased premises. Pursuant to the lease, the Company is also obligated to pay for certain administrative costs, taxes and 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2024, certain existing investors participated in the Company's underwritten offering (see Note 10).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2023, an existing investor participated in the Company’s follow-on offering (see Note 10).</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2023, certain existing investors participated in the Company’s registered direct offering (see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after the unaudited condensed consolidated balance sheet date of June 30, 2024 through the date these condensed consolidated financial statements were issued to ensure that these condensed consolidated financial statements include appropriate disclosure of events both recognized in the condensed consolidated financial statements as of June 30, 2024, and events which occurred subsequently but were not recognized in the condensed consolidated financial statements. The Company has no non-recognizable subsequent events.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99"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5540" w:right="4780" w:hanging="5158"/>
        <w:spacing w:after="0" w:line="282" w:lineRule="auto"/>
        <w:tabs>
          <w:tab w:leader="none" w:pos="7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commercial, corporate and business development, and administrative functions.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in the future as we increase our headcount to support our continued research and development and potential commercialization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government securities and certificates of deposit, and marketable securities, consisting of U.S. government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Value Right Liability</w:t>
      </w:r>
    </w:p>
    <w:p>
      <w:pPr>
        <w:spacing w:after="0" w:line="227"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December 2022, we entered into the CVR agreement, described in more detail in Note 1 to our consolidated financial statements in our Annual Report on Form 10-K for the year ended December 31, 2023 and Note 3 to our unaudited condensed consolidated financial statements, which provided a CVR to Gemini’s pre-merger common stockholders to receive common stock from the Company upon its receipt of certain proceeds, calculated in accordance with the CVR agreement, resulting from a disposition of Gemini’s pre-merger assets within one year after the closing of the merger. The disposition period ended December 29, 2023 and no dispositions of Gemini’s pre-merger assets were made during the disposition period. Therefore, there were no CVR payments made to the holders and there will not be any future CVR payments to the holders. Prior to December 29, 2023, the CVR liability was measured at fair value as of each reporting date and the change in the fair value for the period, if any, was recorded in the condensed consolidated statements of operations and comprehensive loss in the change in fair value of contingent value right liability. The change in fair value of the CVR liability was $1.5 million for the three and six months ended June 30, 2023.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23,485</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12,100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11,385</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7,367</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5,228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2,139</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30,852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17,328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13,524</w:t>
            </w: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(30,852 )</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(17,328 )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(13,524 )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4,573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2,910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1,663</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value right liability</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4,560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3,155</w:t>
            </w: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(26,292 )</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(15,923 )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(10,369 )</w:t>
            </w: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(26,352 )</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(15,947 )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-1619885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-1619885</wp:posOffset>
            </wp:positionV>
            <wp:extent cx="939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-676910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-676910</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Bitopertin</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7,112</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2,933</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DISC-3405</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3,342</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DISC-0974</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1,177</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1,113</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6,288</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2,820</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23,485</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12,100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11,385</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$23.5 million for the three months ended June 30, 2024, compared to $12.1 million for the three months ended June 30, 2023. The increase of $11.4 million in research and development expenses was primarily due to a $2.9 million increase in bitopertin development expense and a $3.3 million increase in DISC-3405 development expense each related to increased clinical study and drug manufacturing activity, and a $2.8 million increase in personnel-related costs related to higher research and development headcount, including an increase of $1.3 million in stock-based compensation driven by the Company's annual grant to employees in January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4,721</w:t>
            </w:r>
          </w:p>
        </w:tc>
        <w:tc>
          <w:tcPr>
            <w:tcW w:w="10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2,495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2,226</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86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1,616</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1,791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7,367</w:t>
            </w:r>
          </w:p>
        </w:tc>
        <w:tc>
          <w:tcPr>
            <w:tcW w:w="10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5,228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2,139</w:t>
            </w: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$7.4 million for the three months ended June 30, 2024, compared to $5.2 million for the three months ended June 30, 2023. The increase of $2.1 million in general and administrative expenses was primarily due to a $2.2 million increase in personnel-related costs due to higher general and administrative headcount, including an increase of $1.5 million in stock-based compensation driven by the Company's annual grant to employees in January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$4.6 million for the three months ended June 30, 2024, compared to other income, net of $1.4 million for the three months ended June 30, 2023. The change of $3.2 million in other income (expense), net was primarily due to an increase in interest income based on a larger cash, cash equivalents, and marketable securities balance and higher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for the three months ended June 30, 2024, compared to less than $0.1 million for the three months ended June 30, 2023. This expense relates to state income tax resulting from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47,189</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32,280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14,909</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15,125</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10,173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4,952</w:t>
            </w: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62,314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42,453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19,861</w:t>
            </w: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(62,314 )</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9,092</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5,277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3,815</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value right liability</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9,078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3,772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5,306</w:t>
            </w: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(53,236 )</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(38,681 )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(14,555 )</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(53,301 )</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(38,728 )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-1619250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-1619250</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-676275</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-676275</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six months ended June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Bitopertin</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13,481</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6,719</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DISC-3405</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8,569</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10,567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DISC-0974</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7,060</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2,433</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1,621</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12,722</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6,134</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47,189</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32,280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14,909</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$47.2 million for the six months ended June 30, 2024, compared to $32.3 million for the six months ended June 30, 2023. The increase of $14.9 million in research and development expenses was primarily due to a $6.7 million increase in bitopertin development expense related to increased clinical study and drug manufacturing activity, and a $6.1 million increase in personnel-related costs related to higher research and development headcount, including an increase of $2.5 million in stock-based compensation driven by the Company's annual grant to employees in January 2024; partially offset by a $2.0 million decrease related to the DISC-3405 program which incurred $10.0 million in an upfront license fee in the six months ended June 30, 2023.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9,536</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4,577</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4,959</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3,754</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1,835</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15,125</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10,173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4,952</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$15.1 million for the six months ended June 30, 2024, compared to $10.2 million for the six months ended June 30, 2023. The increase of $5.0 million in general and administrative expenses was primarily due to an increase of $5.0 million in personnel-related costs due to higher general and administrative headcount, including an increase of $3.3 million in stock-based compensation driven by the Company's annual grant to employees in January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$9.1 million for the six months ended June 30, 2024, compared to other income, net of $3.8 million for the six months ended June 30, 2023. The change of $5.3 million in other income (expense), net was primarily due to an increase in interest income based on a larger cash, cash equivalents, and marketable securities balance and higher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for the six months ended June 30, 2024, compared to less than $0.1 million for the six months ended June 30, 2023. This expense relates to state income tax resulting from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at-the-market offerings, proceeds from a registered direct offering, proceeds from a follow-on public offering, and proceeds from an underwritten offering. Through June 30, 2024,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$172.5 million from sales of common stock in an underwritten offering and $41.3 million from at-the-market offerings. As of June 30, 2024, we had cash, cash equivalents, and marketable securities of $500.9 million.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June 30, 2024, had an accumulated deficit of $241.9 million. In addition, we expect to continue to incur significant and increasing expenses and operating losses for the foreseeable future. We believe that our current cash resources will enable us to fund our current planned operating expense and capital expenditure requirements well into 2027. We may also pursue additional cash resources through public or private equity offerings, collaborations or debt financings.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(48,992 )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(48,190 )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(219,816 )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189,091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231,161</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(79,717 )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of $49.0 million was primarily due to our net loss of $53.3 million, which includes interest income of $9.1 million; and changes in operating assets and liabilities of $3.7 million, including a reduction in accounts payable for the payment of a milestone payment of $5.0 million to Mabwell; partially offset by non-cash expenses of $8.0 million primarily related to stock-based compensation expense of $8.1 million.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net cash used in operating activities of $48.2 million was primarily due to our net loss of $38.7 million and an increase in operating assets and liabilities of $13.5 million primarily related to the payment of merger-related costs which were included in accounts payable at December 31, 2022, partially offset by non-cash expenses of $4.0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primarily due to purchases of marketable securities.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2023, net cash used in investing activities was due to purchases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of $189.1 million consisted primarily of cash net proceeds of $172.7 million from the underwritten offering.</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net cash provided by financing activities of $231.2 million consisted primarily of aggregate net proceeds of $147.9 million from sales of common stock and pre-funded warrants in a public follow-on offering, aggregate net proceeds of $62.5 million from sales of common stock and pre-funded warrants in a registered direct offering and aggregate net proceeds of $19.5 million from the at-the-market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2024 and the effects that such obligations are expected to have on our liquidity and cash flows in future periods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1 to 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3 to 5</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spacing w:after="0"/>
              <w:rPr>
                <w:sz w:val="11"/>
                <w:szCs w:val="11"/>
                <w:color w:val="auto"/>
              </w:rPr>
            </w:pPr>
          </w:p>
        </w:tc>
        <w:tc>
          <w:tcPr>
            <w:tcW w:w="104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More Than</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1,157</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5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1,157</w:t>
            </w:r>
          </w:p>
        </w:tc>
        <w:tc>
          <w:tcPr>
            <w:tcW w:w="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-156845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-156845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-156845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-156845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5715</wp:posOffset>
            </wp:positionV>
            <wp:extent cx="4114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6" w:lineRule="exact"/>
        <w:rPr>
          <w:sz w:val="20"/>
          <w:szCs w:val="20"/>
          <w:color w:val="auto"/>
        </w:rPr>
      </w:pPr>
    </w:p>
    <w:p>
      <w:pPr>
        <w:ind w:right="20" w:firstLine="8"/>
        <w:spacing w:after="0" w:line="26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payments due for our leased and subleased office spaces in Watertown, Massachusetts as of June 30, 2024. The lease terms began in November 2021 and June 2023, and both end in November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-215900</wp:posOffset>
            </wp:positionV>
            <wp:extent cx="41148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or</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2023 for more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certain recently adopted accounting pronouncements that have or may potentially impact our financial position and results of operations is included in Note 2 to our consolidated financial statements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June 30, 2024, we had cash, cash equivalents, and marketable securities of $500.9 million, which consisted of cash, money market funds and U.S. government securities, which are classified as available-for-sale securities. As of December 31, 2023, we had cash and cash equivalents of $360.4 million, which consisted of cash, money market funds and U.S. treasury notes.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June 30, 2024, the net fair value of our marketable securities would decrease by approximately $1.3 million.</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six months ended June 30,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Principal Executive Officer and Principal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six months ended June 30, 2024 that has materially affected, or is reasonably likely to materially affect, our internal control over financial reporting.</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net losses were $53.3 million and $38.7 million for the six months ended June 30, 2024 and 2023, respectively. We had an accumulated deficit of $241.9 million as of June 30, 2024.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we have cash, cash equivalents, and marketable securities that will enable us to fund operating expenses and capital expenditure requirements well into 2027.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5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three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initiated a Phase 1 clinical trial of DISC-3405 in healthy volunteers in October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140"/>
        <w:spacing w:after="0" w:line="255" w:lineRule="auto"/>
        <w:rPr>
          <w:sz w:val="20"/>
          <w:szCs w:val="20"/>
          <w:color w:val="auto"/>
        </w:rPr>
      </w:pPr>
      <w:r>
        <w:rPr>
          <w:rFonts w:ascii="Times New Roman" w:cs="Times New Roman" w:eastAsia="Times New Roman" w:hAnsi="Times New Roman"/>
          <w:sz w:val="18"/>
          <w:szCs w:val="18"/>
          <w:color w:val="auto"/>
        </w:rPr>
        <w:t>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8"/>
          <w:szCs w:val="18"/>
          <w:color w:val="auto"/>
        </w:rPr>
        <w:t>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trials in patients with anemia of MF in December 2023 and in June 2024, and in patients with anemia and NDD-CKD in December 2023.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w:t>
      </w:r>
    </w:p>
    <w:p>
      <w:pPr>
        <w:ind w:left="760"/>
        <w:spacing w:after="0"/>
        <w:rPr>
          <w:sz w:val="20"/>
          <w:szCs w:val="20"/>
          <w:color w:val="auto"/>
        </w:rPr>
      </w:pPr>
      <w:r>
        <w:rPr>
          <w:rFonts w:ascii="Times New Roman" w:cs="Times New Roman" w:eastAsia="Times New Roman" w:hAnsi="Times New Roman"/>
          <w:sz w:val="18"/>
          <w:szCs w:val="18"/>
          <w:color w:val="auto"/>
        </w:rPr>
        <w:t>or efficacy concerns about our product candidates;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we initiated a Phase 1 clinical trial of DISC-3405 in healthy adult volunteers in October 2023,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for any or all targeted indications. Treatment-related side effects could also affect patient recruitment or the ability of enrolled patients to complete the trial or result in potential product liability claims.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5540" w:right="1600" w:hanging="5158"/>
        <w:spacing w:after="0" w:line="282" w:lineRule="auto"/>
        <w:tabs>
          <w:tab w:leader="none" w:pos="7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to successfully transition research programs into clinical development, ability to raise capital and the scalability of the platform, pipeline and business.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initiated a separate Phase 1b/2 clinical trial in the February 2023 in patients with non-dialysis dependent CKD and anemia, and initiated a Phase 1 clinical trial of DISC-3405 in healthy adult volunteers in October 2023.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19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governmental regulation, stricter labeling requirements and potential regulatory delays in the testing or approvals of our product candidates.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It is unclear what effect, if any, the American Rescue Plan will have on the number of covered individuals.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Phase 2 clinical trials of bitopertin, Phase 1b/2 clinical trials of DISC-0974 and Phase 1 clinical trial of DISC-3405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Phase 1 trial of DISC-3405,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our ongoing Phase 1b/2 clinical trials of DISC-0974, ongoing Phase 2 clinical trials of bitopertin, and ongoing Phase 1 clinical trial of DISC-3405,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Phase 1 trial of DISC-3405,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Phase 1 trial of DISC-3405.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pharmaceutical products. Efforts to discourage such contracting have included U.S. legislative proposals and a recent call from certain U.S. legislators to add WuXi AppTec Co., Ltd., WuXi’s parent company, and the affiliated WuXi Biologics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either or both previously mentioned WuXi entities on any or all of the aforementioned lists or other geopolitical tensions with China could lead to material supply chain disruptions or delays for our biologic drug candidates manufactured by WuXi Biologics. We may incur added costs and delays in identifying and qualifying any replacement CDMOs.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Any negative impact of such matters on our third-party suppliers and manufacturers may also have an adverse impact on our results of operations or financial condition.</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w:t>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0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2023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w:t>
      </w: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8"/>
          <w:szCs w:val="18"/>
          <w:color w:val="auto"/>
        </w:rPr>
        <w:t>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8"/>
          <w:szCs w:val="18"/>
          <w:color w:val="auto"/>
        </w:rPr>
        <w:t>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0"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 without specifically ruling on the constitutionality of the ACA. In addition, President Biden has issued multiple executive orders that have sought to reduce prescription drug costs. Although a number of these and other proposed measures may require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authorization through additional legislation to become effective, and the Biden administration may reverse or otherwise change these measures, both the Biden administration and Congress have indicated that they will continue to seek new legislative measures to control drug costs. It is unclear how other healthcare reform measures of the Biden administrations or other efforts, if any, to challenge repeal or replace the ACA, will impact our business.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ind w:left="9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2032.</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Try Act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published a final rule that allows Medicare Advantage Plans the option of using step therapy for Part B drugs, effective January 1, 2020.</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which eliminates the statutory Medicaid drug rebate cap, previously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which is currently subject to ongoing litigation challenging the constitutionality of the IRA’s Medicare drug price negotiation program. The effects of the IRA on our business and the healthcare industry in general is not yet known.</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w:t>
      </w: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decisions, related to healthcare availability, the method of delivery or payment for healthcare products and services could negatively impact our business, operations and financial condition.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w:t>
      </w:r>
    </w:p>
    <w:p>
      <w:pPr>
        <w:spacing w:after="0" w:line="2" w:lineRule="exact"/>
        <w:rPr>
          <w:sz w:val="20"/>
          <w:szCs w:val="20"/>
          <w:color w:val="auto"/>
        </w:rPr>
      </w:pPr>
    </w:p>
    <w:p>
      <w:pPr>
        <w:jc w:val="center"/>
        <w:ind w:right="60"/>
        <w:spacing w:after="0" w:line="260" w:lineRule="auto"/>
        <w:rPr>
          <w:sz w:val="20"/>
          <w:szCs w:val="20"/>
          <w:color w:val="auto"/>
        </w:rPr>
      </w:pPr>
      <w:r>
        <w:rPr>
          <w:rFonts w:ascii="Times New Roman" w:cs="Times New Roman" w:eastAsia="Times New Roman" w:hAnsi="Times New Roman"/>
          <w:sz w:val="18"/>
          <w:szCs w:val="18"/>
          <w:color w:val="auto"/>
        </w:rPr>
        <w:t>actions on behalf of the federal government alleging violations of the federal False Claims Act and to share in any monetary recovery;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8" w:name="page69"/>
    <w:bookmarkEnd w:id="68"/>
    <w:p>
      <w:pPr>
        <w:jc w:val="both"/>
        <w:ind w:left="760" w:hanging="378"/>
        <w:spacing w:after="0" w:line="258"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55" w:lineRule="auto"/>
        <w:rPr>
          <w:sz w:val="20"/>
          <w:szCs w:val="20"/>
          <w:color w:val="auto"/>
        </w:rPr>
      </w:pPr>
      <w:r>
        <w:rPr>
          <w:rFonts w:ascii="Times New Roman" w:cs="Times New Roman" w:eastAsia="Times New Roman" w:hAnsi="Times New Roman"/>
          <w:sz w:val="18"/>
          <w:szCs w:val="18"/>
          <w:color w:val="auto"/>
        </w:rPr>
        <w:t>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which took effect on January 1, 2020, and became enforceable by the California Attorney General on July 1, 2020. This law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California Privacy Rights Act, or CPRA, which became effective on January 1, 2023, significantly modified the CCPA by expanding consumer rights with respect to certain sensitive information, and creating a new state agency that is vested with authority to implement and enforce the CCPA.</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use and integrate artificial intelligence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European Union’s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w:t>
      </w: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incidents or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employees, contractors or other third-parties and industrial espionage, wire fraud and other forms of cyber fraud, the deployment of harmful malware, denial-of-service, social engineering fraud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security breaches, compromises or incidents or improper access to, use of, or disclosure of protected information, including our clinical data or patients’ personal data could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incidents or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security breaches, compromises or incidents or improper access to or disclosure of such information could have similarly adverse consequences for us. If we are unable to prevent or adequately mitigate the impact of such security or data privacy incidents, compromises or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July 31, 2024, we had 78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$88.1 million and $91.7 million, respectively. Substantially all of the federal NOLs are not subject to expiration and the state NOLs begin to expire in 2037. As of December 31, 2023, we also had federal and state research and development tax credit carryforwards of $5.8 million and $1.8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line="282" w:lineRule="auto"/>
        <w:rPr>
          <w:sz w:val="20"/>
          <w:szCs w:val="20"/>
          <w:color w:val="auto"/>
        </w:rPr>
      </w:pPr>
      <w:r>
        <w:rPr>
          <w:rFonts w:ascii="Times New Roman" w:cs="Times New Roman" w:eastAsia="Times New Roman" w:hAnsi="Times New Roman"/>
          <w:sz w:val="18"/>
          <w:szCs w:val="18"/>
          <w:color w:val="auto"/>
        </w:rPr>
        <w:t>diminished profits and future earnings, and curtailment of our operations, any of which could adversely affect our ability to operate our business and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that we did not incur as a private company, including costs associated with public company reporting obligations under the Securities Exchange Act of 1934, as amended, or</w:t>
      </w: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18"/>
          <w:szCs w:val="18"/>
          <w:color w:val="auto"/>
        </w:rPr>
        <w:t>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on Form 10-Q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June 30, 2024, we had 29,707,997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53%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June 30,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Action Taken</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80" w:type="dxa"/>
            <w:vAlign w:val="bottom"/>
          </w:tcPr>
          <w:p>
            <w:pPr>
              <w:spacing w:after="0"/>
              <w:rPr>
                <w:sz w:val="12"/>
                <w:szCs w:val="12"/>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Duration or End Date</w:t>
            </w:r>
          </w:p>
        </w:tc>
        <w:tc>
          <w:tcPr>
            <w:tcW w:w="160" w:type="dxa"/>
            <w:vAlign w:val="bottom"/>
          </w:tcPr>
          <w:p>
            <w:pPr>
              <w:spacing w:after="0"/>
              <w:rPr>
                <w:sz w:val="12"/>
                <w:szCs w:val="12"/>
                <w:color w:val="auto"/>
              </w:rPr>
            </w:pP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00" w:type="dxa"/>
            <w:vAlign w:val="bottom"/>
          </w:tcPr>
          <w:p>
            <w:pPr>
              <w:spacing w:after="0"/>
              <w:rPr>
                <w:sz w:val="12"/>
                <w:szCs w:val="12"/>
                <w:color w:val="auto"/>
              </w:rPr>
            </w:pPr>
          </w:p>
        </w:tc>
        <w:tc>
          <w:tcPr>
            <w:tcW w:w="1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Trading</w:t>
            </w:r>
          </w:p>
        </w:tc>
        <w:tc>
          <w:tcPr>
            <w:tcW w:w="0" w:type="dxa"/>
            <w:vAlign w:val="bottom"/>
          </w:tcPr>
          <w:p>
            <w:pPr>
              <w:spacing w:after="0"/>
              <w:rPr>
                <w:sz w:val="1"/>
                <w:szCs w:val="1"/>
                <w:color w:val="auto"/>
              </w:rPr>
            </w:pPr>
          </w:p>
        </w:tc>
      </w:tr>
      <w:tr>
        <w:trPr>
          <w:trHeight w:val="187"/>
        </w:trPr>
        <w:tc>
          <w:tcPr>
            <w:tcW w:w="3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 of Action)</w:t>
            </w:r>
          </w:p>
        </w:tc>
        <w:tc>
          <w:tcPr>
            <w:tcW w:w="18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 Sold</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William Savage, M.D., Ph.D.</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Trading plan intended to</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Adoption</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End Date</w:t>
            </w:r>
          </w:p>
        </w:tc>
        <w:tc>
          <w:tcPr>
            <w:tcW w:w="1100" w:type="dxa"/>
            <w:vAlign w:val="bottom"/>
            <w:gridSpan w:val="2"/>
            <w:shd w:val="clear" w:color="auto" w:fill="CFF0FC"/>
          </w:tcPr>
          <w:p>
            <w:pPr>
              <w:jc w:val="right"/>
              <w:ind w:right="48"/>
              <w:spacing w:after="0" w:line="202"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218"/>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80" w:type="dxa"/>
            <w:vAlign w:val="bottom"/>
            <w:shd w:val="clear" w:color="auto" w:fill="CFF0FC"/>
          </w:tcPr>
          <w:p>
            <w:pPr>
              <w:spacing w:after="0"/>
              <w:rPr>
                <w:sz w:val="18"/>
                <w:szCs w:val="18"/>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satisfy the affirmative</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12, 2024)</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defense conditions of</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Exchange Act</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Rule 10b5-1(c)</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gridSpan w:val="2"/>
          </w:tcPr>
          <w:p>
            <w:pPr>
              <w:jc w:val="right"/>
              <w:ind w:right="1339"/>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80" w:type="dxa"/>
            <w:vAlign w:val="bottom"/>
            <w:gridSpan w:val="8"/>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Merger Sub, Inc. and Disc Medicine, Inc. (incorporated by reference to Exhibit 2.1 to the Registrant’s Proxy Statement/Prospectus 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S-4 (File No. 333-267276) filed on September 2,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Amended and Restated Certificate of Incorporation of Disc Medicine, Inc. (incorporated by reference to Annex B to Gemini</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Therapeutics, Inc.’s Proxy Statement/Prospectus on Form S-4/A (File No. 333-249785)).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(incorporated by reference to Exhibit 3.1 to the Registrant’s Current Report on Form 8-K (File No. 001-39438) filed on December 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31">
              <w:r>
                <w:rPr>
                  <w:rFonts w:ascii="Times New Roman" w:cs="Times New Roman" w:eastAsia="Times New Roman" w:hAnsi="Times New Roman"/>
                  <w:sz w:val="18"/>
                  <w:szCs w:val="18"/>
                  <w:color w:val="0000FF"/>
                  <w:w w:val="90"/>
                </w:rPr>
                <w:t>2022).</w:t>
              </w:r>
            </w:hyperlink>
          </w:p>
        </w:tc>
        <w:tc>
          <w:tcPr>
            <w:tcW w:w="2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(incorporated by reference to Exhibit 3.2 to the Registrant’s Current Report on Form 8-K (File No. 001-39438) filed on December 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32">
              <w:r>
                <w:rPr>
                  <w:rFonts w:ascii="Times New Roman" w:cs="Times New Roman" w:eastAsia="Times New Roman" w:hAnsi="Times New Roman"/>
                  <w:sz w:val="18"/>
                  <w:szCs w:val="18"/>
                  <w:color w:val="0000FF"/>
                  <w:w w:val="90"/>
                </w:rPr>
                <w:t>2022).</w:t>
              </w:r>
            </w:hyperlink>
          </w:p>
        </w:tc>
        <w:tc>
          <w:tcPr>
            <w:tcW w:w="2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Statement/Prospectus on Form S-4/A (File No. 333-249785)).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40" w:type="dxa"/>
            <w:vAlign w:val="bottom"/>
            <w:tcBorders>
              <w:left w:val="single" w:sz="8" w:color="0000EE"/>
            </w:tcBorders>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39438) filed on February 14,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9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940" w:type="dxa"/>
            <w:vAlign w:val="bottom"/>
            <w:tcBorders>
              <w:right w:val="single" w:sz="8" w:color="0000EE"/>
            </w:tcBorders>
            <w:gridSpan w:val="3"/>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5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260" w:hanging="1239"/>
        <w:spacing w:after="0"/>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9512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48" w:lineRule="exact"/>
        <w:rPr>
          <w:sz w:val="20"/>
          <w:szCs w:val="20"/>
          <w:color w:val="auto"/>
        </w:rPr>
      </w:pPr>
    </w:p>
    <w:p>
      <w:pPr>
        <w:ind w:firstLine="8"/>
        <w:spacing w:after="0" w:line="282" w:lineRule="auto"/>
        <w:tabs>
          <w:tab w:leader="none" w:pos="1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6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11"/>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r>
      <w:tr>
        <w:trPr>
          <w:trHeight w:val="231"/>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r>
    </w:tbl>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4" w:name="page85"/>
    <w:bookmarkEnd w:id="8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5" w:name="page86"/>
    <w:bookmarkEnd w:id="8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June 30, 2024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8,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lvl w:ilvl="1">
      <w:lvlJc w:val="left"/>
      <w:lvlText w:val="%2"/>
      <w:numFmt w:val="decimal"/>
      <w:start w:val="104"/>
    </w:lvl>
  </w:abstractNum>
  <w:abstractNum w:abstractNumId="45">
    <w:nsid w:val="7644A45C"/>
    <w:multiLevelType w:val="hybridMultilevel"/>
    <w:lvl w:ilvl="0">
      <w:lvlJc w:val="left"/>
      <w:lvlText w:val="**"/>
      <w:numFmt w:val="bullet"/>
      <w:start w:val="1"/>
    </w:lvl>
    <w:lvl w:ilvl="1">
      <w:lvlJc w:val="left"/>
      <w:lvlText w:val="%2"/>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29" Type="http://schemas.openxmlformats.org/officeDocument/2006/relationships/hyperlink" Target="https://www.sec.gov/Archives/edgar/data/1816736/000114036122032239/ny20005172x1_s4.htm#tANNEXA" TargetMode="External"/><Relationship Id="rId230" Type="http://schemas.openxmlformats.org/officeDocument/2006/relationships/hyperlink" Target="https://www.sec.gov/Archives/edgar/data/1816736/000121390021002636/fs42021a5_fsdevelopment.htm#T52" TargetMode="External"/><Relationship Id="rId231" Type="http://schemas.openxmlformats.org/officeDocument/2006/relationships/hyperlink" Target="https://www.sec.gov/Archives/edgar/data/1816736/000114036122047453/brhc10045896_ex3-1.htm" TargetMode="External"/><Relationship Id="rId232" Type="http://schemas.openxmlformats.org/officeDocument/2006/relationships/hyperlink" Target="https://www.sec.gov/Archives/edgar/data/1816736/000114036122047453/brhc10045896_ex3-2.htm" TargetMode="External"/><Relationship Id="rId233" Type="http://schemas.openxmlformats.org/officeDocument/2006/relationships/hyperlink" Target="https://www.sec.gov/Archives/edgar/data/1816736/000121390021002636/fs42021a5_fsdevelopment.htm#T53" TargetMode="External"/><Relationship Id="rId234" Type="http://schemas.openxmlformats.org/officeDocument/2006/relationships/hyperlink" Target="https://www.sec.gov/Archives/edgar/data/1816736/000119312523037151/d2896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2024-08-08T07:23:50Z</dcterms:created>
  <dcterms:modified xsi:type="dcterms:W3CDTF">2024-08-08T07:23:50Z</dcterms:modified>
</cp:coreProperties>
</file>