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GEMINI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001-39438</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85-1612845</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160"/>
          </w:cols>
          <w:pgMar w:left="320" w:top="529"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297 Boston Post Road #248, Wayland, MA</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01778</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401-4400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780" w:firstLine="8"/>
        <w:spacing w:after="0" w:line="498" w:lineRule="auto"/>
        <w:tabs>
          <w:tab w:leader="none" w:pos="40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GMTX</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5" w:lineRule="exact"/>
        <w:rPr>
          <w:sz w:val="24"/>
          <w:szCs w:val="24"/>
          <w:color w:val="auto"/>
        </w:rPr>
      </w:pPr>
    </w:p>
    <w:p>
      <w:pPr>
        <w:ind w:left="340" w:right="80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a special meeting of the stockholders of Gemini Therapeutics, Inc. (“</w:t>
      </w:r>
      <w:r>
        <w:rPr>
          <w:rFonts w:ascii="Times New Roman" w:cs="Times New Roman" w:eastAsia="Times New Roman" w:hAnsi="Times New Roman"/>
          <w:sz w:val="18"/>
          <w:szCs w:val="18"/>
          <w:b w:val="1"/>
          <w:bCs w:val="1"/>
          <w:i w:val="1"/>
          <w:iCs w:val="1"/>
          <w:color w:val="auto"/>
        </w:rPr>
        <w:t>Gemini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on December 28, 2022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the Company’s stockholders voted on the proposals set forth below relating to the Agreement and Plan of Merger and Reorganization, dated as of August 9, 2022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the Company, Disc Medicine, Inc., a Delaware corporation (“</w:t>
      </w:r>
      <w:r>
        <w:rPr>
          <w:rFonts w:ascii="Times New Roman" w:cs="Times New Roman" w:eastAsia="Times New Roman" w:hAnsi="Times New Roman"/>
          <w:sz w:val="18"/>
          <w:szCs w:val="18"/>
          <w:b w:val="1"/>
          <w:bCs w:val="1"/>
          <w:i w:val="1"/>
          <w:iCs w:val="1"/>
          <w:color w:val="auto"/>
        </w:rPr>
        <w:t>Disc</w:t>
      </w:r>
      <w:r>
        <w:rPr>
          <w:rFonts w:ascii="Times New Roman" w:cs="Times New Roman" w:eastAsia="Times New Roman" w:hAnsi="Times New Roman"/>
          <w:sz w:val="18"/>
          <w:szCs w:val="18"/>
          <w:color w:val="auto"/>
        </w:rPr>
        <w:t>”) and Gemstone Merger Sub, Inc., a Delaware corporation and wholly owned subsidiary of the Company (the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providing for the merger of Merger Sub with and into Disc, with Disc surviving the merger as a wholly-owned subsidiary of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The proposals are described in detail in the Company’s definitive proxy statement / prospectus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December 2, 2022 (as amended or supplemented thereafter) and first mailed to the Company’s stockholders on December 2, 2022. The final voting results regarding each proposal are set forth below. There were 43,328,315 shares of the Company common stock outstanding and entitled to vote on the record date for the Special Meeting, and 40,302,661 shares of the Company common stock were represented in person or by proxy at the Special Meeting, which number constituted a quorum.</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Proposal No. 1. Approval of (i) the issuance of shares of common stock of the Company, which will represent more than 20% of the shares of the Company’s common stock outstanding immediately prior to the Merger, to stockholders of Disc, pursuant to the terms of the Merger Agreement, and (ii) the change of control resulting from the Merger, pursuant to Nasdaq Listing Rules 5635(a) and 5635(b),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2640" w:type="dxa"/>
            <w:vAlign w:val="bottom"/>
            <w:gridSpan w:val="2"/>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2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3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
        </w:trPr>
        <w:tc>
          <w:tcPr>
            <w:tcW w:w="1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3920" w:type="dxa"/>
            <w:vAlign w:val="bottom"/>
            <w:gridSpan w:val="3"/>
            <w:shd w:val="clear" w:color="auto" w:fill="CCEEFF"/>
          </w:tcPr>
          <w:p>
            <w:pPr>
              <w:jc w:val="right"/>
              <w:ind w:right="2100"/>
              <w:spacing w:after="0"/>
              <w:rPr>
                <w:sz w:val="20"/>
                <w:szCs w:val="20"/>
                <w:color w:val="auto"/>
              </w:rPr>
            </w:pPr>
            <w:r>
              <w:rPr>
                <w:rFonts w:ascii="Times New Roman" w:cs="Times New Roman" w:eastAsia="Times New Roman" w:hAnsi="Times New Roman"/>
                <w:sz w:val="18"/>
                <w:szCs w:val="18"/>
                <w:color w:val="auto"/>
              </w:rPr>
              <w:t>37,341,199</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114,070</w:t>
            </w:r>
          </w:p>
        </w:tc>
        <w:tc>
          <w:tcPr>
            <w:tcW w:w="1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3,520</w:t>
            </w:r>
          </w:p>
        </w:tc>
        <w:tc>
          <w:tcPr>
            <w:tcW w:w="158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2,843,872</w:t>
            </w:r>
          </w:p>
        </w:tc>
        <w:tc>
          <w:tcPr>
            <w:tcW w:w="4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Proposal No. 2. Approval of an amendment to the amended and restated certificate of incorporation of the Company to (a) effect a reverse stock split of the Company’s issued and outstanding common stock at a ratio of one new share of the Company’s common stock for every ten shares of outstanding common stock of the Company, and (b) implement a reduction in the number of authorized shares of the Company’s common stock to 100,000,000.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2640" w:type="dxa"/>
            <w:vAlign w:val="bottom"/>
            <w:gridSpan w:val="2"/>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2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3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1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3920" w:type="dxa"/>
            <w:vAlign w:val="bottom"/>
            <w:gridSpan w:val="3"/>
            <w:shd w:val="clear" w:color="auto" w:fill="CCEEFF"/>
          </w:tcPr>
          <w:p>
            <w:pPr>
              <w:jc w:val="right"/>
              <w:ind w:right="2100"/>
              <w:spacing w:after="0"/>
              <w:rPr>
                <w:sz w:val="20"/>
                <w:szCs w:val="20"/>
                <w:color w:val="auto"/>
              </w:rPr>
            </w:pPr>
            <w:r>
              <w:rPr>
                <w:rFonts w:ascii="Times New Roman" w:cs="Times New Roman" w:eastAsia="Times New Roman" w:hAnsi="Times New Roman"/>
                <w:sz w:val="18"/>
                <w:szCs w:val="18"/>
                <w:color w:val="auto"/>
              </w:rPr>
              <w:t>39,833,612</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421,352</w:t>
            </w:r>
          </w:p>
        </w:tc>
        <w:tc>
          <w:tcPr>
            <w:tcW w:w="1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47,697</w:t>
            </w:r>
          </w:p>
        </w:tc>
        <w:tc>
          <w:tcPr>
            <w:tcW w:w="158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Proposal No. 3. Approval, on a nonbinding, advisory basis, of the compensation that will or may become payable by the Company to its named executive officers in connection with the Merger.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8"/>
                <w:szCs w:val="18"/>
                <w:color w:val="auto"/>
              </w:rPr>
            </w:pPr>
          </w:p>
        </w:tc>
        <w:tc>
          <w:tcPr>
            <w:tcW w:w="156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80" w:type="dxa"/>
            <w:vAlign w:val="bottom"/>
          </w:tcPr>
          <w:p>
            <w:pPr>
              <w:spacing w:after="0"/>
              <w:rPr>
                <w:sz w:val="18"/>
                <w:szCs w:val="18"/>
                <w:color w:val="auto"/>
              </w:rPr>
            </w:pPr>
          </w:p>
        </w:tc>
        <w:tc>
          <w:tcPr>
            <w:tcW w:w="174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2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3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1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28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32,201,605</w:t>
            </w:r>
          </w:p>
        </w:tc>
        <w:tc>
          <w:tcPr>
            <w:tcW w:w="282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5,212,578</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44,606</w:t>
            </w:r>
          </w:p>
        </w:tc>
        <w:tc>
          <w:tcPr>
            <w:tcW w:w="158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2,843,872</w:t>
            </w:r>
          </w:p>
        </w:tc>
        <w:tc>
          <w:tcPr>
            <w:tcW w:w="4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Proposal No. 4. Approval of amendments to the Company’s 2021 Stock Option and Incentive Plan and the Company’s 2021 Employee Stock Purchase Plan to (i) increase the number of shares of common stock reserved for issuance under the Company’s 2021 Stock Option and Incentive Plan to a number of shares representing approximately 9% of the fully diluted capitalization of the Company, determined as of immediately following the Merger and (ii) increase the number of shares of common stock reserved for issuance under the Company’s 2021 Employee Stock Purchase Plan to a number of shares representing approximately 0.84% of the fully diluted capitalization of the Company, determined as of immediately following the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8"/>
                <w:szCs w:val="18"/>
                <w:color w:val="auto"/>
              </w:rPr>
            </w:pPr>
          </w:p>
        </w:tc>
        <w:tc>
          <w:tcPr>
            <w:tcW w:w="156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80" w:type="dxa"/>
            <w:vAlign w:val="bottom"/>
          </w:tcPr>
          <w:p>
            <w:pPr>
              <w:spacing w:after="0"/>
              <w:rPr>
                <w:sz w:val="18"/>
                <w:szCs w:val="18"/>
                <w:color w:val="auto"/>
              </w:rPr>
            </w:pPr>
          </w:p>
        </w:tc>
        <w:tc>
          <w:tcPr>
            <w:tcW w:w="174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2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3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1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28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34,522,687</w:t>
            </w:r>
          </w:p>
        </w:tc>
        <w:tc>
          <w:tcPr>
            <w:tcW w:w="282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2,891,507</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44,595</w:t>
            </w:r>
          </w:p>
        </w:tc>
        <w:tc>
          <w:tcPr>
            <w:tcW w:w="158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2,843,872</w:t>
            </w:r>
          </w:p>
        </w:tc>
        <w:tc>
          <w:tcPr>
            <w:tcW w:w="460" w:type="dxa"/>
            <w:vAlign w:val="bottom"/>
            <w:shd w:val="clear" w:color="auto" w:fill="CCEEFF"/>
          </w:tcPr>
          <w:p>
            <w:pPr>
              <w:spacing w:after="0"/>
              <w:rPr>
                <w:sz w:val="18"/>
                <w:szCs w:val="18"/>
                <w:color w:val="auto"/>
              </w:rPr>
            </w:pPr>
          </w:p>
        </w:tc>
      </w:tr>
      <w:tr>
        <w:trPr>
          <w:trHeight w:val="398"/>
        </w:trPr>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ind w:right="360"/>
        <w:spacing w:after="0" w:line="282" w:lineRule="auto"/>
        <w:rPr>
          <w:sz w:val="20"/>
          <w:szCs w:val="20"/>
          <w:color w:val="auto"/>
        </w:rPr>
      </w:pPr>
      <w:r>
        <w:rPr>
          <w:rFonts w:ascii="Times New Roman" w:cs="Times New Roman" w:eastAsia="Times New Roman" w:hAnsi="Times New Roman"/>
          <w:sz w:val="18"/>
          <w:szCs w:val="18"/>
          <w:color w:val="auto"/>
        </w:rPr>
        <w:t>Proposal No. 5. To approve an adjournment of the Special Meeting, if necessary, to solicit additional proxies if there are not sufficient votes in favor of Proposal No. 1 or Proposal No. 2.</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 but adjournment of the Special Meeting was unnecessary because there was a quorum present and there were sufficient votes received at the time of the Special Meeting to approve Proposal No. 1 and Proposal No.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results of the Special Meeting, the Merger is expected to be consummated on or around December 29, 2022, subject to the satisfaction of the remaining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within the meaning of Section 21E of the Exchange Act and Section 27A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concerning Gemini, Disc, the proposed transaction and other matters. These forward-looking statements include express or implied statements relating to Gemini’s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and those factors described under the heading “Risk Factors” in the Gemini’s most recent Annual Report on Form 10-K filed with the SEC and the definitive proxy/prospectus filed by Gemini with the SEC on December 2, 2022, as well as discussions of potential risks, uncertainties, and other important factors included in later filings, including any Quarterly Reports on Form 10-Q and Current Reports on Form 8-K. Should one or more of these risks or uncertainties materialize, or should any of Gemini’s assumptions prove incorrect, actual results may vary in material respects from those projected in these forward-looking statements. It is not possible to predict or identify all such risks. Gemini’s forward-looking statements only speak as of the date they are made, and Gemini does not undertake any obligation to update or revise any forward-looking statements, whether as a result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GEMINI THERAPEUTICS, INC.</w:t>
            </w: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28, 2022</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Georges Gemayel</w:t>
            </w:r>
          </w:p>
        </w:tc>
      </w:tr>
      <w:tr>
        <w:trPr>
          <w:trHeight w:val="198"/>
        </w:trPr>
        <w:tc>
          <w:tcPr>
            <w:tcW w:w="3740" w:type="dxa"/>
            <w:vAlign w:val="bottom"/>
          </w:tcPr>
          <w:p>
            <w:pPr>
              <w:spacing w:after="0"/>
              <w:rPr>
                <w:sz w:val="17"/>
                <w:szCs w:val="17"/>
                <w:color w:val="auto"/>
              </w:rPr>
            </w:pPr>
          </w:p>
        </w:tc>
        <w:tc>
          <w:tcPr>
            <w:tcW w:w="2460" w:type="dxa"/>
            <w:vAlign w:val="bottom"/>
          </w:tcPr>
          <w:p>
            <w:pPr>
              <w:ind w:left="19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Georges Gemayel</w:t>
            </w:r>
          </w:p>
        </w:tc>
      </w:tr>
      <w:tr>
        <w:trPr>
          <w:trHeight w:val="234"/>
        </w:trPr>
        <w:tc>
          <w:tcPr>
            <w:tcW w:w="374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Interim President and Chief Executive Officer</w:t>
            </w:r>
          </w:p>
        </w:tc>
      </w:tr>
      <w:tr>
        <w:trPr>
          <w:trHeight w:val="533"/>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2022-12-28T12:23:18Z</dcterms:created>
  <dcterms:modified xsi:type="dcterms:W3CDTF">2022-12-28T12:23:18Z</dcterms:modified>
</cp:coreProperties>
</file>