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GEMAYEL GEORGES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DISC MEDICINE,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ARSENAL STREET, 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Disc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70.79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underlying this option vest upon the first to occur of (i) the date of the Company's 2027 annual meeting of its stockholders, or (ii) the one-year anniversary of the grant date, subject to the Reporting Person's continued service on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Rahul Khara,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6088" TargetMode="External"/><Relationship Id="rId5" Type="http://schemas.openxmlformats.org/officeDocument/2006/relationships/hyperlink" Target="http://www.sec.gov/cgi-bin/browse-edgar?action=getcompany&amp;CIK=00018167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3316</Characters>
  <CharactersWithSpaces>3868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