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5908675</wp:posOffset>
            </wp:positionH>
            <wp:positionV relativeFrom="page">
              <wp:posOffset>157480</wp:posOffset>
            </wp:positionV>
            <wp:extent cx="143129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88595"/>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483235</wp:posOffset>
            </wp:positionV>
            <wp:extent cx="1405890" cy="797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05890" cy="79756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Arial" w:cs="Arial" w:eastAsia="Arial" w:hAnsi="Arial"/>
          <w:sz w:val="18"/>
          <w:szCs w:val="18"/>
          <w:color w:val="auto"/>
        </w:rPr>
        <w:t>January 11,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Ada Sarmento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Tim Buchmiller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No.2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December 28,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333-249785</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Sarmento and Mr. Buchmiller</w:t>
      </w:r>
    </w:p>
    <w:p>
      <w:pPr>
        <w:spacing w:after="0" w:line="225" w:lineRule="exact"/>
        <w:rPr>
          <w:sz w:val="24"/>
          <w:szCs w:val="24"/>
          <w:color w:val="auto"/>
        </w:rPr>
      </w:pPr>
    </w:p>
    <w:p>
      <w:pPr>
        <w:jc w:val="both"/>
        <w:ind w:firstLine="648"/>
        <w:spacing w:after="0" w:line="271" w:lineRule="auto"/>
        <w:rPr>
          <w:sz w:val="20"/>
          <w:szCs w:val="20"/>
          <w:color w:val="auto"/>
        </w:rPr>
      </w:pPr>
      <w:r>
        <w:rPr>
          <w:rFonts w:ascii="Arial" w:cs="Arial" w:eastAsia="Arial" w:hAnsi="Arial"/>
          <w:sz w:val="17"/>
          <w:szCs w:val="17"/>
          <w:color w:val="auto"/>
        </w:rPr>
        <w:t>On behalf of our client, FS Development Corp, a Delaware corporation (the “Company”), we are writing to submit the Company’s responses to the comments of the staff of the Division of Corporation Finance of the United States Securities and Exchange Commission (the “Staff”) with respect to the above-referenced Amendment No.2 to registration statement on Form S-4 filed on December 28, 2020 (the “Registration Statement”), contained in the Staff’s letter dated January 8, 2021 (the “Comment Letter”). To facilitate your review, we have included in this letter the Staff’s numbered comments in bold text and have provided the Company’s response immediately following each numbered comment. Capitalized terms used but not defined in this letter shall have the meanings ascribed to such terms in the Registration Statement. All references to page numbers (other than those in the Staff’s comments) correspond to the page numbers in the Registration Statement. The Company is submitting, via EDGAR, Amendment No.3 to the Registration Statement on the date hereof (“Amendment No.3”).</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 After the Business Combination, page 178</w:t>
      </w:r>
    </w:p>
    <w:p>
      <w:pPr>
        <w:spacing w:after="0" w:line="225" w:lineRule="exact"/>
        <w:rPr>
          <w:sz w:val="24"/>
          <w:szCs w:val="24"/>
          <w:color w:val="auto"/>
        </w:rPr>
      </w:pPr>
    </w:p>
    <w:p>
      <w:pPr>
        <w:jc w:val="both"/>
        <w:ind w:left="660" w:hanging="652"/>
        <w:spacing w:after="0" w:line="25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the Board has determined that Mr. Tananbaum is not an independent director under the Nasdaq listing rules, but Mr. Tananbaum will serve on the compensation committee of the combined company pursuant to an exception provided in the listing rules. Please revise to disclose that a member appointed under this exception</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may not serve longer than two years.</w:t>
      </w:r>
    </w:p>
    <w:p>
      <w:pPr>
        <w:spacing w:after="0" w:line="21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Company respectfully advises the Staff that it has revised the disclosure on page 178 of Amendment No.3 to include the additional language referred to by the Staff.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3129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188595"/>
                    </a:xfrm>
                    <a:prstGeom prst="rect">
                      <a:avLst/>
                    </a:prstGeom>
                    <a:noFill/>
                  </pic:spPr>
                </pic:pic>
              </a:graphicData>
            </a:graphic>
          </wp:anchor>
        </w:drawing>
        <w:t>Please do not hesitate to contact Joel Rubinstein at (212) 819-7642 or Bryan Luchs at (212) 819-7848 of White &amp; Case LLP with any questions or comments regarding this letter.</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cc: Dennis Ryan, 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2021-02-17T23:07:35Z</dcterms:created>
  <dcterms:modified xsi:type="dcterms:W3CDTF">2021-02-17T23:07:35Z</dcterms:modified>
</cp:coreProperties>
</file>