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Disc Medicine,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254604101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Alejandro Moreno</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Langhorne S. Perrow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 Access Industries, Inc.</w:t>
      </w:r>
    </w:p>
    <w:p>
      <w:pPr>
        <w:jc w:val="center"/>
        <w:ind w:right="-59"/>
        <w:spacing w:after="0" w:line="181" w:lineRule="auto"/>
        <w:rPr>
          <w:sz w:val="20"/>
          <w:szCs w:val="20"/>
          <w:color w:val="auto"/>
        </w:rPr>
      </w:pPr>
      <w:r>
        <w:rPr>
          <w:rFonts w:ascii="Arial" w:cs="Arial" w:eastAsia="Arial" w:hAnsi="Arial"/>
          <w:sz w:val="18"/>
          <w:szCs w:val="18"/>
          <w:b w:val="1"/>
          <w:bCs w:val="1"/>
          <w:color w:val="auto"/>
        </w:rPr>
        <w:t>40 West 57</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Street, 28th Floor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10019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247-6400</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with copies to:</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Nicholas P. Pellicani</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Debevoise &amp; Plimpton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 Gresham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EC2V 7NQ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+ 44 20 7786 9000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9, 2023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firstLine="44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Rules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82" w:right="4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266" w:lineRule="exact"/>
        <w:rPr>
          <w:sz w:val="20"/>
          <w:szCs w:val="20"/>
          <w:color w:val="auto"/>
        </w:rPr>
      </w:pPr>
    </w:p>
    <w:p>
      <w:pPr>
        <w:ind w:left="624" w:hanging="377"/>
        <w:spacing w:after="0"/>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AI DMI LLC</w:t>
      </w:r>
    </w:p>
    <w:p>
      <w:pPr>
        <w:spacing w:after="0" w:line="36" w:lineRule="exact"/>
        <w:rPr>
          <w:sz w:val="20"/>
          <w:szCs w:val="20"/>
          <w:color w:val="auto"/>
        </w:rPr>
      </w:pPr>
    </w:p>
    <w:p>
      <w:pPr>
        <w:ind w:left="624" w:hanging="377"/>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7"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4"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7"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State of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9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67"/>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vMerge w:val="continue"/>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1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2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90"/>
        </w:trPr>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6"/>
                <w:szCs w:val="16"/>
                <w:color w:val="auto"/>
              </w:rPr>
            </w:pPr>
          </w:p>
        </w:tc>
        <w:tc>
          <w:tcPr>
            <w:tcW w:w="8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89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0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704" w:right="3740" w:hanging="457"/>
        <w:spacing w:after="0" w:line="340" w:lineRule="auto"/>
        <w:tabs>
          <w:tab w:leader="none" w:pos="704"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3,345,840 shares</w:t>
      </w:r>
      <w:r>
        <w:rPr>
          <w:rFonts w:ascii="Arial" w:cs="Arial" w:eastAsia="Arial" w:hAnsi="Arial"/>
          <w:sz w:val="26"/>
          <w:szCs w:val="26"/>
          <w:color w:val="auto"/>
          <w:vertAlign w:val="superscript"/>
        </w:rPr>
        <w:t>(1)</w:t>
      </w:r>
    </w:p>
    <w:p>
      <w:pPr>
        <w:spacing w:after="0" w:line="1" w:lineRule="exact"/>
        <w:rPr>
          <w:rFonts w:ascii="Arial" w:cs="Arial" w:eastAsia="Arial" w:hAnsi="Arial"/>
          <w:sz w:val="18"/>
          <w:szCs w:val="18"/>
          <w:color w:val="auto"/>
        </w:rPr>
      </w:pPr>
    </w:p>
    <w:p>
      <w:pPr>
        <w:ind w:left="704" w:hanging="457"/>
        <w:spacing w:after="0"/>
        <w:tabs>
          <w:tab w:leader="none" w:pos="704"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70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04" w:right="5100" w:hanging="457"/>
        <w:spacing w:after="0" w:line="333" w:lineRule="auto"/>
        <w:tabs>
          <w:tab w:leader="none" w:pos="704"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13.74%</w:t>
      </w:r>
      <w:r>
        <w:rPr>
          <w:rFonts w:ascii="Arial" w:cs="Arial" w:eastAsia="Arial" w:hAnsi="Arial"/>
          <w:sz w:val="26"/>
          <w:szCs w:val="26"/>
          <w:color w:val="auto"/>
          <w:vertAlign w:val="superscript"/>
        </w:rPr>
        <w:t>(2)</w:t>
      </w:r>
    </w:p>
    <w:p>
      <w:pPr>
        <w:ind w:left="704" w:right="5960" w:hanging="457"/>
        <w:spacing w:after="0" w:line="538" w:lineRule="auto"/>
        <w:tabs>
          <w:tab w:leader="none" w:pos="704"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hanging="424"/>
        <w:spacing w:after="0" w:line="258"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 3,141,759 shares of Common Stock and (ii) 204,081 pre-funded warrants to purchase shares of Common Stock at $0.0001 per share (the “Pre-Funded Warrants”).</w:t>
      </w:r>
    </w:p>
    <w:p>
      <w:pPr>
        <w:spacing w:after="0" w:line="1" w:lineRule="exact"/>
        <w:rPr>
          <w:rFonts w:ascii="Arial" w:cs="Arial" w:eastAsia="Arial" w:hAnsi="Arial"/>
          <w:sz w:val="18"/>
          <w:szCs w:val="18"/>
          <w:color w:val="auto"/>
        </w:rPr>
      </w:pPr>
    </w:p>
    <w:p>
      <w:pPr>
        <w:ind w:left="424" w:right="200" w:hanging="424"/>
        <w:spacing w:after="0" w:line="255"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24,344,509 shares of Common Stock consisting of (i) 24,140,428 shares of Common Stock outstanding as of November 7, 2023, as reported in the Issuer’s Quarterly Report on Form 10-Q filed with the Securities and Exchange Commission (the “SEC”) on November 9, 2023, and (ii) 204,081 shares of Common Stock underlying the Pre-Funded Warrants.</w:t>
      </w:r>
    </w:p>
    <w:p>
      <w:pPr>
        <w:sectPr>
          <w:pgSz w:w="11900" w:h="16838" w:orient="portrait"/>
          <w:cols w:equalWidth="0" w:num="1">
            <w:col w:w="10984"/>
          </w:cols>
          <w:pgMar w:left="436" w:top="274"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254604101</w:t>
      </w:r>
    </w:p>
    <w:p>
      <w:pPr>
        <w:spacing w:after="0" w:line="266" w:lineRule="exact"/>
        <w:rPr>
          <w:sz w:val="20"/>
          <w:szCs w:val="20"/>
          <w:color w:val="auto"/>
        </w:rPr>
      </w:pPr>
    </w:p>
    <w:p>
      <w:pPr>
        <w:ind w:left="624" w:hanging="377"/>
        <w:spacing w:after="0"/>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Access Industries Holdings LLC</w:t>
      </w:r>
    </w:p>
    <w:p>
      <w:pPr>
        <w:spacing w:after="0" w:line="36" w:lineRule="exact"/>
        <w:rPr>
          <w:sz w:val="20"/>
          <w:szCs w:val="20"/>
          <w:color w:val="auto"/>
        </w:rPr>
      </w:pPr>
    </w:p>
    <w:p>
      <w:pPr>
        <w:ind w:left="624" w:hanging="377"/>
        <w:spacing w:after="0"/>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7"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4"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24" w:hanging="377"/>
        <w:spacing w:after="0"/>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7"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104" w:hanging="421"/>
        <w:spacing w:after="0"/>
        <w:tabs>
          <w:tab w:leader="none" w:pos="21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8"/>
                <w:szCs w:val="18"/>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vMerge w:val="continue"/>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22"/>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89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104"/>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p>
      <w:pPr>
        <w:ind w:left="704" w:right="3660" w:hanging="457"/>
        <w:spacing w:after="0" w:line="332" w:lineRule="auto"/>
        <w:tabs>
          <w:tab w:leader="none" w:pos="7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3,345,840 shares</w:t>
      </w:r>
      <w:r>
        <w:rPr>
          <w:rFonts w:ascii="Arial" w:cs="Arial" w:eastAsia="Arial" w:hAnsi="Arial"/>
          <w:sz w:val="26"/>
          <w:szCs w:val="26"/>
          <w:color w:val="auto"/>
          <w:vertAlign w:val="superscript"/>
        </w:rPr>
        <w:t>(1)</w:t>
      </w:r>
    </w:p>
    <w:p>
      <w:pPr>
        <w:spacing w:after="0" w:line="2" w:lineRule="exact"/>
        <w:rPr>
          <w:rFonts w:ascii="Arial" w:cs="Arial" w:eastAsia="Arial" w:hAnsi="Arial"/>
          <w:sz w:val="18"/>
          <w:szCs w:val="18"/>
          <w:color w:val="auto"/>
        </w:rPr>
      </w:pPr>
    </w:p>
    <w:p>
      <w:pPr>
        <w:ind w:left="704" w:hanging="457"/>
        <w:spacing w:after="0"/>
        <w:tabs>
          <w:tab w:leader="none" w:pos="7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70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04" w:right="5020" w:hanging="457"/>
        <w:spacing w:after="0" w:line="333" w:lineRule="auto"/>
        <w:tabs>
          <w:tab w:leader="none" w:pos="7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13.74%</w:t>
      </w:r>
      <w:r>
        <w:rPr>
          <w:rFonts w:ascii="Arial" w:cs="Arial" w:eastAsia="Arial" w:hAnsi="Arial"/>
          <w:sz w:val="26"/>
          <w:szCs w:val="26"/>
          <w:color w:val="auto"/>
          <w:vertAlign w:val="superscript"/>
        </w:rPr>
        <w:t>(2)</w:t>
      </w:r>
    </w:p>
    <w:p>
      <w:pPr>
        <w:ind w:left="704" w:right="5880" w:hanging="457"/>
        <w:spacing w:after="0" w:line="538" w:lineRule="auto"/>
        <w:tabs>
          <w:tab w:leader="none" w:pos="7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(i) 3,141,759 shares of Common Stock and (ii) 204,081 Pre-Funded Warrants.</w:t>
      </w:r>
    </w:p>
    <w:p>
      <w:pPr>
        <w:spacing w:after="0" w:line="23" w:lineRule="exact"/>
        <w:rPr>
          <w:rFonts w:ascii="Arial" w:cs="Arial" w:eastAsia="Arial" w:hAnsi="Arial"/>
          <w:sz w:val="18"/>
          <w:szCs w:val="18"/>
          <w:color w:val="auto"/>
        </w:rPr>
      </w:pPr>
    </w:p>
    <w:p>
      <w:pPr>
        <w:ind w:left="424" w:right="300" w:hanging="424"/>
        <w:spacing w:after="0" w:line="255"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24,344,509 shares of Common Stock consisting of (i) 24,140,428 shares of Common Stock outstanding as of November 7, 2023, as reported in the Issuer’s Quarterly Report on Form 10-Q filed with the SEC on November 9, 2023, and (ii) 204,081 shares of Common Stock underlying the Pre-Funded Warrants.</w:t>
      </w:r>
    </w:p>
    <w:p>
      <w:pPr>
        <w:sectPr>
          <w:pgSz w:w="11900" w:h="16838" w:orient="portrait"/>
          <w:cols w:equalWidth="0" w:num="1">
            <w:col w:w="10904"/>
          </w:cols>
          <w:pgMar w:left="436" w:top="274"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266" w:lineRule="exact"/>
        <w:rPr>
          <w:sz w:val="20"/>
          <w:szCs w:val="20"/>
          <w:color w:val="auto"/>
        </w:rPr>
      </w:pP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Access Industries Management, LLC</w:t>
      </w:r>
    </w:p>
    <w:p>
      <w:pPr>
        <w:spacing w:after="0" w:line="36"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7"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4" w:lineRule="exact"/>
        <w:rPr>
          <w:sz w:val="20"/>
          <w:szCs w:val="20"/>
          <w:color w:val="auto"/>
        </w:rPr>
      </w:pPr>
    </w:p>
    <w:p>
      <w:pPr>
        <w:ind w:left="624" w:hanging="377"/>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24" w:hanging="377"/>
        <w:spacing w:after="0"/>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24" w:hanging="377"/>
        <w:spacing w:after="0"/>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7"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State of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9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4"/>
                <w:szCs w:val="24"/>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vMerge w:val="continue"/>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22"/>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89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104"/>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p>
      <w:pPr>
        <w:ind w:left="704" w:right="3660" w:hanging="457"/>
        <w:spacing w:after="0" w:line="332" w:lineRule="auto"/>
        <w:tabs>
          <w:tab w:leader="none" w:pos="7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3,345,840 shares</w:t>
      </w:r>
      <w:r>
        <w:rPr>
          <w:rFonts w:ascii="Arial" w:cs="Arial" w:eastAsia="Arial" w:hAnsi="Arial"/>
          <w:sz w:val="26"/>
          <w:szCs w:val="26"/>
          <w:color w:val="auto"/>
          <w:vertAlign w:val="superscript"/>
        </w:rPr>
        <w:t>(1)</w:t>
      </w:r>
    </w:p>
    <w:p>
      <w:pPr>
        <w:spacing w:after="0" w:line="2" w:lineRule="exact"/>
        <w:rPr>
          <w:rFonts w:ascii="Arial" w:cs="Arial" w:eastAsia="Arial" w:hAnsi="Arial"/>
          <w:sz w:val="18"/>
          <w:szCs w:val="18"/>
          <w:color w:val="auto"/>
        </w:rPr>
      </w:pPr>
    </w:p>
    <w:p>
      <w:pPr>
        <w:ind w:left="704" w:hanging="457"/>
        <w:spacing w:after="0"/>
        <w:tabs>
          <w:tab w:leader="none" w:pos="7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70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04" w:right="5020" w:hanging="457"/>
        <w:spacing w:after="0" w:line="333" w:lineRule="auto"/>
        <w:tabs>
          <w:tab w:leader="none" w:pos="7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13.74%</w:t>
      </w:r>
      <w:r>
        <w:rPr>
          <w:rFonts w:ascii="Arial" w:cs="Arial" w:eastAsia="Arial" w:hAnsi="Arial"/>
          <w:sz w:val="26"/>
          <w:szCs w:val="26"/>
          <w:color w:val="auto"/>
          <w:vertAlign w:val="superscript"/>
        </w:rPr>
        <w:t>(2)</w:t>
      </w:r>
    </w:p>
    <w:p>
      <w:pPr>
        <w:ind w:left="704" w:right="5880" w:hanging="457"/>
        <w:spacing w:after="0" w:line="538" w:lineRule="auto"/>
        <w:tabs>
          <w:tab w:leader="none" w:pos="7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3,141,759 shares of Common Stock and (ii) 204,081 Pre-Funded Warrants.</w:t>
      </w:r>
    </w:p>
    <w:p>
      <w:pPr>
        <w:spacing w:after="0" w:line="23" w:lineRule="exact"/>
        <w:rPr>
          <w:rFonts w:ascii="Arial" w:cs="Arial" w:eastAsia="Arial" w:hAnsi="Arial"/>
          <w:sz w:val="18"/>
          <w:szCs w:val="18"/>
          <w:color w:val="auto"/>
        </w:rPr>
      </w:pPr>
    </w:p>
    <w:p>
      <w:pPr>
        <w:ind w:left="424" w:right="300" w:hanging="424"/>
        <w:spacing w:after="0" w:line="255"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24,344,509 shares of Common Stock consisting of (i) 24,140,428 shares of Common Stock outstanding as of November 7, 2023, as reported in the Issuer’s Quarterly Report on Form 10-Q filed with the SEC on November 9, 2023, and (ii) 204,081 shares of Common Stock underlying the Pre-Funded Warrants.</w:t>
      </w:r>
    </w:p>
    <w:p>
      <w:pPr>
        <w:sectPr>
          <w:pgSz w:w="11900" w:h="16838" w:orient="portrait"/>
          <w:cols w:equalWidth="0" w:num="1">
            <w:col w:w="10904"/>
          </w:cols>
          <w:pgMar w:left="436" w:top="274" w:right="5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266" w:lineRule="exact"/>
        <w:rPr>
          <w:sz w:val="20"/>
          <w:szCs w:val="20"/>
          <w:color w:val="auto"/>
        </w:rPr>
      </w:pPr>
    </w:p>
    <w:p>
      <w:pPr>
        <w:ind w:left="624" w:hanging="377"/>
        <w:spacing w:after="0"/>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Len Blavatnik</w:t>
      </w:r>
    </w:p>
    <w:p>
      <w:pPr>
        <w:spacing w:after="0" w:line="36" w:lineRule="exact"/>
        <w:rPr>
          <w:sz w:val="20"/>
          <w:szCs w:val="20"/>
          <w:color w:val="auto"/>
        </w:rPr>
      </w:pPr>
    </w:p>
    <w:p>
      <w:pPr>
        <w:ind w:left="624" w:hanging="377"/>
        <w:spacing w:after="0"/>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7"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24" w:hanging="377"/>
        <w:spacing w:after="0"/>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4" w:lineRule="exact"/>
        <w:rPr>
          <w:sz w:val="20"/>
          <w:szCs w:val="20"/>
          <w:color w:val="auto"/>
        </w:rPr>
      </w:pPr>
    </w:p>
    <w:p>
      <w:pPr>
        <w:ind w:left="624" w:hanging="377"/>
        <w:spacing w:after="0"/>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24" w:hanging="377"/>
        <w:spacing w:after="0"/>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7"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24" w:hanging="377"/>
        <w:spacing w:after="0"/>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7"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104" w:hanging="421"/>
        <w:spacing w:after="0"/>
        <w:tabs>
          <w:tab w:leader="none" w:pos="21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18"/>
                <w:szCs w:val="18"/>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vMerge w:val="continue"/>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122"/>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2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89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104"/>
        <w:spacing w:after="0"/>
        <w:rPr>
          <w:sz w:val="20"/>
          <w:szCs w:val="20"/>
          <w:color w:val="auto"/>
        </w:rPr>
      </w:pPr>
      <w:r>
        <w:rPr>
          <w:rFonts w:ascii="Arial" w:cs="Arial" w:eastAsia="Arial" w:hAnsi="Arial"/>
          <w:sz w:val="18"/>
          <w:szCs w:val="18"/>
          <w:color w:val="auto"/>
        </w:rPr>
        <w:t>3,345,840 shares</w:t>
      </w:r>
      <w:r>
        <w:rPr>
          <w:rFonts w:ascii="Arial" w:cs="Arial" w:eastAsia="Arial" w:hAnsi="Arial"/>
          <w:sz w:val="26"/>
          <w:szCs w:val="26"/>
          <w:color w:val="auto"/>
          <w:vertAlign w:val="superscript"/>
        </w:rPr>
        <w:t>(1)</w:t>
      </w:r>
    </w:p>
    <w:p>
      <w:pPr>
        <w:ind w:left="704" w:right="3660" w:hanging="457"/>
        <w:spacing w:after="0" w:line="332" w:lineRule="auto"/>
        <w:tabs>
          <w:tab w:leader="none" w:pos="7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3,345,840 shares</w:t>
      </w:r>
      <w:r>
        <w:rPr>
          <w:rFonts w:ascii="Arial" w:cs="Arial" w:eastAsia="Arial" w:hAnsi="Arial"/>
          <w:sz w:val="26"/>
          <w:szCs w:val="26"/>
          <w:color w:val="auto"/>
          <w:vertAlign w:val="superscript"/>
        </w:rPr>
        <w:t>(1)</w:t>
      </w:r>
    </w:p>
    <w:p>
      <w:pPr>
        <w:spacing w:after="0" w:line="2" w:lineRule="exact"/>
        <w:rPr>
          <w:rFonts w:ascii="Arial" w:cs="Arial" w:eastAsia="Arial" w:hAnsi="Arial"/>
          <w:sz w:val="18"/>
          <w:szCs w:val="18"/>
          <w:color w:val="auto"/>
        </w:rPr>
      </w:pPr>
    </w:p>
    <w:p>
      <w:pPr>
        <w:ind w:left="704" w:hanging="457"/>
        <w:spacing w:after="0"/>
        <w:tabs>
          <w:tab w:leader="none" w:pos="7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91" w:lineRule="exact"/>
        <w:rPr>
          <w:rFonts w:ascii="Arial" w:cs="Arial" w:eastAsia="Arial" w:hAnsi="Arial"/>
          <w:sz w:val="18"/>
          <w:szCs w:val="18"/>
          <w:color w:val="auto"/>
        </w:rPr>
      </w:pPr>
    </w:p>
    <w:p>
      <w:pPr>
        <w:ind w:left="70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04" w:right="5020" w:hanging="457"/>
        <w:spacing w:after="0" w:line="333" w:lineRule="auto"/>
        <w:tabs>
          <w:tab w:leader="none" w:pos="7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13.74%</w:t>
      </w:r>
      <w:r>
        <w:rPr>
          <w:rFonts w:ascii="Arial" w:cs="Arial" w:eastAsia="Arial" w:hAnsi="Arial"/>
          <w:sz w:val="26"/>
          <w:szCs w:val="26"/>
          <w:color w:val="auto"/>
          <w:vertAlign w:val="superscript"/>
        </w:rPr>
        <w:t>(2)</w:t>
      </w:r>
    </w:p>
    <w:p>
      <w:pPr>
        <w:ind w:left="704" w:right="5880" w:hanging="457"/>
        <w:spacing w:after="0" w:line="538" w:lineRule="auto"/>
        <w:tabs>
          <w:tab w:leader="none" w:pos="7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 3,141,759 shares of Common Stock and (ii) 204,081 Pre-Funded Warrants.</w:t>
      </w:r>
    </w:p>
    <w:p>
      <w:pPr>
        <w:spacing w:after="0" w:line="23" w:lineRule="exact"/>
        <w:rPr>
          <w:rFonts w:ascii="Arial" w:cs="Arial" w:eastAsia="Arial" w:hAnsi="Arial"/>
          <w:sz w:val="18"/>
          <w:szCs w:val="18"/>
          <w:color w:val="auto"/>
        </w:rPr>
      </w:pPr>
    </w:p>
    <w:p>
      <w:pPr>
        <w:ind w:left="424" w:right="300" w:hanging="424"/>
        <w:spacing w:after="0" w:line="255"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24,344,509 shares of Common Stock consisting of (i) 24,140,428 shares of Common Stock outstanding as of November 7, 2023, as reported in the Issuer’s Quarterly Report on Form 10-Q filed with the SEC on November 9, 2023, and (ii) 204,081 shares of Common Stock underlying the Pre-Funded Warrants.</w:t>
      </w:r>
    </w:p>
    <w:p>
      <w:pPr>
        <w:sectPr>
          <w:pgSz w:w="11900" w:h="16838" w:orient="portrait"/>
          <w:cols w:equalWidth="0" w:num="1">
            <w:col w:w="10904"/>
          </w:cols>
          <w:pgMar w:left="436" w:top="274" w:right="5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CONTINUATION PAGES TO AMENDMENT NO. 3 TO SCHEDULE 13D</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This Amendment No. 3 to Schedule 13D is being filed by AI DMI LLC (“AI DMI”), Access Industries Holdings LLC (“AIH”), Access Industries Management, LLC (“AIM”) and Len Blavatnik (collectively, the “Reporting Persons”, and each, a “Reporting Person”), in respect of the common stock, par value $0.0001 per share (the “Common Stock”), of Disc Medicine, Inc. (the “Issuer”). The shares of Common Stock of the Issuer are listed on the Nasdaq Global Market under the symbol “IRON.”</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Schedule 13D filed by the Reporting Persons with the Securities and Exchange Commission (the “SEC”) on January 9, 2023, as amended and supplemented by Amendment No. 1 to the Schedule 13D filed by the Reporting Persons with the SEC on February 17, 2023 and Amendment No. 2 to the Schedule 13D filed by the Reporting Persons with the SEC on June 20, 2023 (together, the “Schedule”), is hereby amended and supplemented by the Reporting Persons as set forth below in this Amendment No. 3. This amendment is filed by the Reporting Persons in accordance with Rule 13d-2 of the Securities Exchange Act of 1934, as amended, and refers only to information that has materially changed since the filing of the Schedule. The items identified below, or the particular paragraphs of such items which are identified below, are amended as set forth below. Unless otherwise indicated, all capitalized terms used and not defined herein have the respective meanings assigned to them in the Schedule.</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to the Schedule is hereby amended and restated as follows:</w:t>
      </w:r>
    </w:p>
    <w:p>
      <w:pPr>
        <w:spacing w:after="0" w:line="117" w:lineRule="exact"/>
        <w:rPr>
          <w:sz w:val="20"/>
          <w:szCs w:val="20"/>
          <w:color w:val="auto"/>
        </w:rPr>
      </w:pPr>
    </w:p>
    <w:p>
      <w:pPr>
        <w:jc w:val="both"/>
        <w:ind w:left="440" w:right="20" w:hanging="4"/>
        <w:spacing w:after="0" w:line="263"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and (b) The responses of each of the Reporting Persons with respect to Rows 11, 12, and 13 of the cover pages of this Schedule 13D that relate to the aggregate number and percentage of Common Stock (including but not limited to footnotes to such information) are incorporated herein by reference.</w:t>
      </w:r>
    </w:p>
    <w:p>
      <w:pPr>
        <w:spacing w:after="0" w:line="76"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responses of each of the Reporting Persons with respect to Rows 7, 8, 9, and 10 of the cover pages of this Schedule 13D that relate to the number of shares of Common Stock as to which each of the persons or entities referenced in Item 2 above has sole or shared power to vote or to direct the vote of and sole or shared power to dispose of or to direct the disposition of (including but not limited to footnotes to such information) are incorporated herein by reference.</w:t>
      </w:r>
    </w:p>
    <w:p>
      <w:pPr>
        <w:spacing w:after="0" w:line="79" w:lineRule="exact"/>
        <w:rPr>
          <w:sz w:val="20"/>
          <w:szCs w:val="20"/>
          <w:color w:val="auto"/>
        </w:rPr>
      </w:pPr>
    </w:p>
    <w:p>
      <w:pPr>
        <w:ind w:left="440" w:right="160"/>
        <w:spacing w:after="0" w:line="291" w:lineRule="auto"/>
        <w:rPr>
          <w:sz w:val="20"/>
          <w:szCs w:val="20"/>
          <w:color w:val="auto"/>
        </w:rPr>
      </w:pPr>
      <w:r>
        <w:rPr>
          <w:rFonts w:ascii="Arial" w:cs="Arial" w:eastAsia="Arial" w:hAnsi="Arial"/>
          <w:sz w:val="16"/>
          <w:szCs w:val="16"/>
          <w:color w:val="auto"/>
        </w:rPr>
        <w:t>3,141,759 shares of Common Stock and 204,081 Pre-Funded Warrants are owned directly by AI DMI and may be deemed to be beneficially owned by AIH, AIM and Mr. Blavatnik because (i) Len Blavatnik controls AIM and holds a majority of the outstanding voting interests in AIH,</w:t>
      </w:r>
    </w:p>
    <w:p>
      <w:pPr>
        <w:jc w:val="both"/>
        <w:ind w:left="440" w:right="300" w:hanging="4"/>
        <w:spacing w:after="0" w:line="255"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AIM controls AIH and (iii) AIH indirectly controls all of the outstanding voting interests in AI DMI. Each of the Reporting Persons (other than AI DMI), and each of their affiliated entities and the officers, partners, members and managers thereof, disclaims beneficial ownership of these securities.</w:t>
      </w:r>
    </w:p>
    <w:p>
      <w:pPr>
        <w:spacing w:after="0" w:line="82" w:lineRule="exact"/>
        <w:rPr>
          <w:sz w:val="20"/>
          <w:szCs w:val="20"/>
          <w:color w:val="auto"/>
        </w:rPr>
      </w:pPr>
    </w:p>
    <w:p>
      <w:pPr>
        <w:ind w:left="440" w:right="880" w:hanging="4"/>
        <w:spacing w:after="0" w:line="375"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transactions in the Issuer’s securities have been effected by Reporting Persons within the 60 days prior to this filing: None.</w:t>
      </w:r>
    </w:p>
    <w:p>
      <w:pPr>
        <w:spacing w:after="0" w:line="1" w:lineRule="exact"/>
        <w:rPr>
          <w:rFonts w:ascii="Arial" w:cs="Arial" w:eastAsia="Arial" w:hAnsi="Arial"/>
          <w:sz w:val="18"/>
          <w:szCs w:val="18"/>
          <w:color w:val="auto"/>
        </w:rPr>
      </w:pPr>
    </w:p>
    <w:p>
      <w:pPr>
        <w:ind w:left="700" w:hanging="26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0980"/>
          </w:cols>
          <w:pgMar w:left="440" w:top="274" w:right="479"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Materials to Be Filed as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disclosure in Item 7 is hereby supplemented by adding the following in appropriate numerical order:</w:t>
      </w:r>
    </w:p>
    <w:p>
      <w:pPr>
        <w:spacing w:after="0" w:line="271"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color w:val="auto"/>
        </w:rPr>
        <w:t>Description</w:t>
      </w:r>
    </w:p>
    <w:p>
      <w:pPr>
        <w:spacing w:after="0" w:line="1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99.10</w:t>
      </w:r>
      <w:r>
        <w:rPr>
          <w:sz w:val="20"/>
          <w:szCs w:val="20"/>
          <w:color w:val="auto"/>
        </w:rPr>
        <w:tab/>
      </w:r>
      <w:r>
        <w:rPr>
          <w:rFonts w:ascii="Arial" w:cs="Arial" w:eastAsia="Arial" w:hAnsi="Arial"/>
          <w:sz w:val="16"/>
          <w:szCs w:val="16"/>
          <w:color w:val="auto"/>
        </w:rPr>
        <w:t>Joint Filing Agreement, dated as of November 13, 2023.</w:t>
      </w:r>
    </w:p>
    <w:p>
      <w:pPr>
        <w:sectPr>
          <w:pgSz w:w="11900" w:h="16838" w:orient="portrait"/>
          <w:cols w:equalWidth="0" w:num="1">
            <w:col w:w="10019"/>
          </w:cols>
          <w:pgMar w:left="440" w:top="270" w:right="1440"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November 13, 2023</w:t>
            </w:r>
          </w:p>
        </w:tc>
        <w:tc>
          <w:tcPr>
            <w:tcW w:w="5280" w:type="dxa"/>
            <w:vAlign w:val="bottom"/>
          </w:tcPr>
          <w:p>
            <w:pPr>
              <w:spacing w:after="0"/>
              <w:rPr>
                <w:sz w:val="20"/>
                <w:szCs w:val="20"/>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18"/>
                <w:szCs w:val="18"/>
                <w:color w:val="auto"/>
              </w:rPr>
              <w:t>AI DMI LLC</w:t>
            </w:r>
          </w:p>
        </w:tc>
        <w:tc>
          <w:tcPr>
            <w:tcW w:w="5280" w:type="dxa"/>
            <w:vAlign w:val="bottom"/>
          </w:tcPr>
          <w:p>
            <w:pPr>
              <w:ind w:left="100"/>
              <w:spacing w:after="0"/>
              <w:rPr>
                <w:sz w:val="20"/>
                <w:szCs w:val="20"/>
                <w:color w:val="auto"/>
              </w:rPr>
            </w:pPr>
            <w:r>
              <w:rPr>
                <w:rFonts w:ascii="Arial" w:cs="Arial" w:eastAsia="Arial" w:hAnsi="Arial"/>
                <w:sz w:val="18"/>
                <w:szCs w:val="18"/>
                <w:color w:val="auto"/>
              </w:rPr>
              <w:t>By: Access Industries Management, LLC, its Manager</w:t>
            </w:r>
          </w:p>
        </w:tc>
      </w:tr>
      <w:tr>
        <w:trPr>
          <w:trHeight w:val="432"/>
        </w:trPr>
        <w:tc>
          <w:tcPr>
            <w:tcW w:w="574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Alejandro Moreno</w:t>
            </w:r>
          </w:p>
        </w:tc>
      </w:tr>
      <w:tr>
        <w:trPr>
          <w:trHeight w:val="195"/>
        </w:trPr>
        <w:tc>
          <w:tcPr>
            <w:tcW w:w="574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74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ACCESS INDUSTRIES HOLDINGS LLC</w:t>
            </w:r>
          </w:p>
        </w:tc>
        <w:tc>
          <w:tcPr>
            <w:tcW w:w="5280" w:type="dxa"/>
            <w:vAlign w:val="bottom"/>
          </w:tcPr>
          <w:p>
            <w:pPr>
              <w:ind w:left="100"/>
              <w:spacing w:after="0"/>
              <w:rPr>
                <w:sz w:val="20"/>
                <w:szCs w:val="20"/>
                <w:color w:val="auto"/>
              </w:rPr>
            </w:pPr>
            <w:r>
              <w:rPr>
                <w:rFonts w:ascii="Arial" w:cs="Arial" w:eastAsia="Arial" w:hAnsi="Arial"/>
                <w:sz w:val="18"/>
                <w:szCs w:val="18"/>
                <w:color w:val="auto"/>
              </w:rPr>
              <w:t>By: Access Industries Management, LLC, its Manager</w:t>
            </w:r>
          </w:p>
        </w:tc>
      </w:tr>
      <w:tr>
        <w:trPr>
          <w:trHeight w:val="432"/>
        </w:trPr>
        <w:tc>
          <w:tcPr>
            <w:tcW w:w="574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Alejandro Moreno</w:t>
            </w:r>
          </w:p>
        </w:tc>
      </w:tr>
      <w:tr>
        <w:trPr>
          <w:trHeight w:val="195"/>
        </w:trPr>
        <w:tc>
          <w:tcPr>
            <w:tcW w:w="574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74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ACCESS INDUSTRIES MANAGEMENT, LLC</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Alejandro Moreno</w:t>
            </w:r>
          </w:p>
        </w:tc>
      </w:tr>
      <w:tr>
        <w:trPr>
          <w:trHeight w:val="195"/>
        </w:trPr>
        <w:tc>
          <w:tcPr>
            <w:tcW w:w="574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74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74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224"/>
        </w:trPr>
        <w:tc>
          <w:tcPr>
            <w:tcW w:w="574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Name: Leonard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224" w:right="800" w:hanging="224"/>
        <w:spacing w:after="0" w:line="277" w:lineRule="auto"/>
        <w:tabs>
          <w:tab w:leader="none" w:pos="2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by signing his name hereto, executes this Schedule 13D pursuant to the Limited Power of Attorney executed on behalf of Mr. Blavatnik and filed herewith.</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24"/>
          </w:cols>
          <w:pgMar w:left="436" w:top="274"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7"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other on behalf of each of them of such a statement on Schedule 13D (and any amendments thereto) with respect to the shares of Common Stock owned by each of them, of Disc Medicine, Inc., a corporation incorporated under the laws of the State of Delaware. This Joint Filing Agreement shall be included as an exhibit to such Schedule 13D.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0"/>
          </w:cols>
          <w:pgMar w:left="440" w:top="121" w:right="439" w:bottom="1440" w:gutter="0" w:footer="0" w:header="0"/>
        </w:sectPr>
      </w:pPr>
    </w:p>
    <w:bookmarkStart w:id="9" w:name="page10"/>
    <w:bookmarkEnd w:id="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hereby execute this Joint Filing Agreement as of the 13th day of November, 2023.</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AI DMI LLC</w:t>
            </w:r>
          </w:p>
        </w:tc>
        <w:tc>
          <w:tcPr>
            <w:tcW w:w="5180" w:type="dxa"/>
            <w:vAlign w:val="bottom"/>
          </w:tcPr>
          <w:p>
            <w:pPr>
              <w:spacing w:after="0"/>
              <w:rPr>
                <w:sz w:val="20"/>
                <w:szCs w:val="20"/>
                <w:color w:val="auto"/>
              </w:rPr>
            </w:pPr>
            <w:r>
              <w:rPr>
                <w:rFonts w:ascii="Arial" w:cs="Arial" w:eastAsia="Arial" w:hAnsi="Arial"/>
                <w:sz w:val="18"/>
                <w:szCs w:val="18"/>
                <w:color w:val="auto"/>
              </w:rPr>
              <w:t>By: Access Industries Management, LLC, its Manager</w:t>
            </w:r>
          </w:p>
        </w:tc>
      </w:tr>
      <w:tr>
        <w:trPr>
          <w:trHeight w:val="432"/>
        </w:trPr>
        <w:tc>
          <w:tcPr>
            <w:tcW w:w="584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209"/>
        </w:trPr>
        <w:tc>
          <w:tcPr>
            <w:tcW w:w="58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Name: Alejandro Moreno</w:t>
            </w:r>
          </w:p>
        </w:tc>
      </w:tr>
      <w:tr>
        <w:trPr>
          <w:trHeight w:val="230"/>
        </w:trPr>
        <w:tc>
          <w:tcPr>
            <w:tcW w:w="58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rPr>
              <w:t>ACCESS INDUSTRIES HOLDINGS LLC</w:t>
            </w:r>
          </w:p>
        </w:tc>
        <w:tc>
          <w:tcPr>
            <w:tcW w:w="5180" w:type="dxa"/>
            <w:vAlign w:val="bottom"/>
          </w:tcPr>
          <w:p>
            <w:pPr>
              <w:spacing w:after="0"/>
              <w:rPr>
                <w:sz w:val="20"/>
                <w:szCs w:val="20"/>
                <w:color w:val="auto"/>
              </w:rPr>
            </w:pPr>
            <w:r>
              <w:rPr>
                <w:rFonts w:ascii="Arial" w:cs="Arial" w:eastAsia="Arial" w:hAnsi="Arial"/>
                <w:sz w:val="18"/>
                <w:szCs w:val="18"/>
                <w:color w:val="auto"/>
              </w:rPr>
              <w:t>By: Access Industries Management, LLC, its Manager</w:t>
            </w:r>
          </w:p>
        </w:tc>
      </w:tr>
      <w:tr>
        <w:trPr>
          <w:trHeight w:val="432"/>
        </w:trPr>
        <w:tc>
          <w:tcPr>
            <w:tcW w:w="584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209"/>
        </w:trPr>
        <w:tc>
          <w:tcPr>
            <w:tcW w:w="58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Name: Alejandro Moreno</w:t>
            </w:r>
          </w:p>
        </w:tc>
      </w:tr>
      <w:tr>
        <w:trPr>
          <w:trHeight w:val="230"/>
        </w:trPr>
        <w:tc>
          <w:tcPr>
            <w:tcW w:w="58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rPr>
              <w:t>ACCESS INDUSTRIES MANAGEMENT, LLC</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209"/>
        </w:trPr>
        <w:tc>
          <w:tcPr>
            <w:tcW w:w="58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Name: Alejandro Moreno</w:t>
            </w:r>
          </w:p>
        </w:tc>
      </w:tr>
      <w:tr>
        <w:trPr>
          <w:trHeight w:val="230"/>
        </w:trPr>
        <w:tc>
          <w:tcPr>
            <w:tcW w:w="58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432"/>
        </w:trPr>
        <w:tc>
          <w:tcPr>
            <w:tcW w:w="584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r>
      <w:tr>
        <w:trPr>
          <w:trHeight w:val="224"/>
        </w:trPr>
        <w:tc>
          <w:tcPr>
            <w:tcW w:w="58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Name: Len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right="120" w:hanging="424"/>
        <w:spacing w:after="0" w:line="277" w:lineRule="auto"/>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by signing his name hereto, executes this Joint Filing Agreement pursuant to the Limited Power of Attorney executed on behalf of Mr. Blavatnik and filed herewith.</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Attorney-in-Fact</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bullet"/>
      <w:start w:val="1"/>
    </w:lvl>
  </w:abstractNum>
  <w:abstractNum w:abstractNumId="1">
    <w:nsid w:val="436C6125"/>
    <w:multiLevelType w:val="hybridMultilevel"/>
    <w:lvl w:ilvl="0">
      <w:lvlJc w:val="left"/>
      <w:lvlText w:val="2"/>
      <w:numFmt w:val="bullet"/>
      <w:start w:val="1"/>
    </w:lvl>
  </w:abstractNum>
  <w:abstractNum w:abstractNumId="2">
    <w:nsid w:val="628C895D"/>
    <w:multiLevelType w:val="hybridMultilevel"/>
    <w:lvl w:ilvl="0">
      <w:lvlJc w:val="left"/>
      <w:lvlText w:val="3"/>
      <w:numFmt w:val="bullet"/>
      <w:start w:val="1"/>
    </w:lvl>
  </w:abstractNum>
  <w:abstractNum w:abstractNumId="3">
    <w:nsid w:val="333AB105"/>
    <w:multiLevelType w:val="hybridMultilevel"/>
    <w:lvl w:ilvl="0">
      <w:lvlJc w:val="left"/>
      <w:lvlText w:val="4"/>
      <w:numFmt w:val="bullet"/>
      <w:start w:val="1"/>
    </w:lvl>
  </w:abstractNum>
  <w:abstractNum w:abstractNumId="4">
    <w:nsid w:val="721DA317"/>
    <w:multiLevelType w:val="hybridMultilevel"/>
    <w:lvl w:ilvl="0">
      <w:lvlJc w:val="left"/>
      <w:lvlText w:val="5"/>
      <w:numFmt w:val="bullet"/>
      <w:start w:val="1"/>
    </w:lvl>
  </w:abstractNum>
  <w:abstractNum w:abstractNumId="5">
    <w:nsid w:val="2443A858"/>
    <w:multiLevelType w:val="hybridMultilevel"/>
    <w:lvl w:ilvl="0">
      <w:lvlJc w:val="left"/>
      <w:lvlText w:val="6"/>
      <w:numFmt w:val="bullet"/>
      <w:start w:val="1"/>
    </w:lvl>
  </w:abstractNum>
  <w:abstractNum w:abstractNumId="6">
    <w:nsid w:val="2D1D5AE9"/>
    <w:multiLevelType w:val="hybridMultilevel"/>
    <w:lvl w:ilvl="0">
      <w:lvlJc w:val="left"/>
      <w:lvlText w:val="%1"/>
      <w:numFmt w:val="decimal"/>
      <w:start w:val="1"/>
    </w:lvl>
    <w:lvl w:ilvl="1">
      <w:lvlJc w:val="left"/>
      <w:lvlText w:val="%2"/>
      <w:numFmt w:val="decimal"/>
      <w:start w:val="11"/>
    </w:lvl>
  </w:abstractNum>
  <w:abstractNum w:abstractNumId="7">
    <w:nsid w:val="6763845E"/>
    <w:multiLevelType w:val="hybridMultilevel"/>
    <w:lvl w:ilvl="0">
      <w:lvlJc w:val="left"/>
      <w:lvlText w:val="(%1)"/>
      <w:numFmt w:val="decimal"/>
      <w:start w:val="1"/>
    </w:lvl>
    <w:lvl w:ilvl="1">
      <w:lvlJc w:val="left"/>
      <w:lvlText w:val="%2"/>
      <w:numFmt w:val="decimal"/>
      <w:start w:val="1"/>
    </w:lvl>
  </w:abstractNum>
  <w:abstractNum w:abstractNumId="8">
    <w:nsid w:val="75A2A8D4"/>
    <w:multiLevelType w:val="hybridMultilevel"/>
    <w:lvl w:ilvl="0">
      <w:lvlJc w:val="left"/>
      <w:lvlText w:val="1"/>
      <w:numFmt w:val="bullet"/>
      <w:start w:val="1"/>
    </w:lvl>
  </w:abstractNum>
  <w:abstractNum w:abstractNumId="9">
    <w:nsid w:val="8EDBDAB"/>
    <w:multiLevelType w:val="hybridMultilevel"/>
    <w:lvl w:ilvl="0">
      <w:lvlJc w:val="left"/>
      <w:lvlText w:val="2"/>
      <w:numFmt w:val="bullet"/>
      <w:start w:val="1"/>
    </w:lvl>
  </w:abstractNum>
  <w:abstractNum w:abstractNumId="10">
    <w:nsid w:val="79838CB2"/>
    <w:multiLevelType w:val="hybridMultilevel"/>
    <w:lvl w:ilvl="0">
      <w:lvlJc w:val="left"/>
      <w:lvlText w:val="3"/>
      <w:numFmt w:val="bullet"/>
      <w:start w:val="1"/>
    </w:lvl>
  </w:abstractNum>
  <w:abstractNum w:abstractNumId="11">
    <w:nsid w:val="4353D0CD"/>
    <w:multiLevelType w:val="hybridMultilevel"/>
    <w:lvl w:ilvl="0">
      <w:lvlJc w:val="left"/>
      <w:lvlText w:val="4"/>
      <w:numFmt w:val="bullet"/>
      <w:start w:val="1"/>
    </w:lvl>
  </w:abstractNum>
  <w:abstractNum w:abstractNumId="12">
    <w:nsid w:val="B03E0C6"/>
    <w:multiLevelType w:val="hybridMultilevel"/>
    <w:lvl w:ilvl="0">
      <w:lvlJc w:val="left"/>
      <w:lvlText w:val="5"/>
      <w:numFmt w:val="bullet"/>
      <w:start w:val="1"/>
    </w:lvl>
  </w:abstractNum>
  <w:abstractNum w:abstractNumId="13">
    <w:nsid w:val="189A769B"/>
    <w:multiLevelType w:val="hybridMultilevel"/>
    <w:lvl w:ilvl="0">
      <w:lvlJc w:val="left"/>
      <w:lvlText w:val="6"/>
      <w:numFmt w:val="bullet"/>
      <w:start w:val="1"/>
    </w:lvl>
  </w:abstractNum>
  <w:abstractNum w:abstractNumId="14">
    <w:nsid w:val="54E49EB4"/>
    <w:multiLevelType w:val="hybridMultilevel"/>
    <w:lvl w:ilvl="0">
      <w:lvlJc w:val="left"/>
      <w:lvlText w:val="7"/>
      <w:numFmt w:val="bullet"/>
      <w:start w:val="1"/>
    </w:lvl>
  </w:abstractNum>
  <w:abstractNum w:abstractNumId="15">
    <w:nsid w:val="71F32454"/>
    <w:multiLevelType w:val="hybridMultilevel"/>
    <w:lvl w:ilvl="0">
      <w:lvlJc w:val="left"/>
      <w:lvlText w:val="%1"/>
      <w:numFmt w:val="decimal"/>
      <w:start w:val="1"/>
    </w:lvl>
    <w:lvl w:ilvl="1">
      <w:lvlJc w:val="left"/>
      <w:lvlText w:val="%2"/>
      <w:numFmt w:val="decimal"/>
      <w:start w:val="11"/>
    </w:lvl>
  </w:abstractNum>
  <w:abstractNum w:abstractNumId="16">
    <w:nsid w:val="2CA88611"/>
    <w:multiLevelType w:val="hybridMultilevel"/>
    <w:lvl w:ilvl="0">
      <w:lvlJc w:val="left"/>
      <w:lvlText w:val="(%1)"/>
      <w:numFmt w:val="decimal"/>
      <w:start w:val="1"/>
    </w:lvl>
    <w:lvl w:ilvl="1">
      <w:lvlJc w:val="left"/>
      <w:lvlText w:val="%2"/>
      <w:numFmt w:val="decimal"/>
      <w:start w:val="1"/>
    </w:lvl>
  </w:abstractNum>
  <w:abstractNum w:abstractNumId="17">
    <w:nsid w:val="836C40E"/>
    <w:multiLevelType w:val="hybridMultilevel"/>
    <w:lvl w:ilvl="0">
      <w:lvlJc w:val="left"/>
      <w:lvlText w:val="1"/>
      <w:numFmt w:val="bullet"/>
      <w:start w:val="1"/>
    </w:lvl>
  </w:abstractNum>
  <w:abstractNum w:abstractNumId="18">
    <w:nsid w:val="2901D82"/>
    <w:multiLevelType w:val="hybridMultilevel"/>
    <w:lvl w:ilvl="0">
      <w:lvlJc w:val="left"/>
      <w:lvlText w:val="2"/>
      <w:numFmt w:val="bullet"/>
      <w:start w:val="1"/>
    </w:lvl>
  </w:abstractNum>
  <w:abstractNum w:abstractNumId="19">
    <w:nsid w:val="3A95F874"/>
    <w:multiLevelType w:val="hybridMultilevel"/>
    <w:lvl w:ilvl="0">
      <w:lvlJc w:val="left"/>
      <w:lvlText w:val="3"/>
      <w:numFmt w:val="bullet"/>
      <w:start w:val="1"/>
    </w:lvl>
  </w:abstractNum>
  <w:abstractNum w:abstractNumId="20">
    <w:nsid w:val="8138641"/>
    <w:multiLevelType w:val="hybridMultilevel"/>
    <w:lvl w:ilvl="0">
      <w:lvlJc w:val="left"/>
      <w:lvlText w:val="4"/>
      <w:numFmt w:val="bullet"/>
      <w:start w:val="1"/>
    </w:lvl>
  </w:abstractNum>
  <w:abstractNum w:abstractNumId="21">
    <w:nsid w:val="1E7FF521"/>
    <w:multiLevelType w:val="hybridMultilevel"/>
    <w:lvl w:ilvl="0">
      <w:lvlJc w:val="left"/>
      <w:lvlText w:val="5"/>
      <w:numFmt w:val="bullet"/>
      <w:start w:val="1"/>
    </w:lvl>
  </w:abstractNum>
  <w:abstractNum w:abstractNumId="22">
    <w:nsid w:val="7C3DBD3D"/>
    <w:multiLevelType w:val="hybridMultilevel"/>
    <w:lvl w:ilvl="0">
      <w:lvlJc w:val="left"/>
      <w:lvlText w:val="6"/>
      <w:numFmt w:val="bullet"/>
      <w:start w:val="1"/>
    </w:lvl>
  </w:abstractNum>
  <w:abstractNum w:abstractNumId="23">
    <w:nsid w:val="737B8DDC"/>
    <w:multiLevelType w:val="hybridMultilevel"/>
    <w:lvl w:ilvl="0">
      <w:lvlJc w:val="left"/>
      <w:lvlText w:val="%1"/>
      <w:numFmt w:val="decimal"/>
      <w:start w:val="1"/>
    </w:lvl>
    <w:lvl w:ilvl="1">
      <w:lvlJc w:val="left"/>
      <w:lvlText w:val="%2"/>
      <w:numFmt w:val="decimal"/>
      <w:start w:val="11"/>
    </w:lvl>
  </w:abstractNum>
  <w:abstractNum w:abstractNumId="24">
    <w:nsid w:val="6CEAF087"/>
    <w:multiLevelType w:val="hybridMultilevel"/>
    <w:lvl w:ilvl="0">
      <w:lvlJc w:val="left"/>
      <w:lvlText w:val="(%1)"/>
      <w:numFmt w:val="decimal"/>
      <w:start w:val="1"/>
    </w:lvl>
    <w:lvl w:ilvl="1">
      <w:lvlJc w:val="left"/>
      <w:lvlText w:val="%2"/>
      <w:numFmt w:val="decimal"/>
      <w:start w:val="1"/>
    </w:lvl>
  </w:abstractNum>
  <w:abstractNum w:abstractNumId="25">
    <w:nsid w:val="22221A70"/>
    <w:multiLevelType w:val="hybridMultilevel"/>
    <w:lvl w:ilvl="0">
      <w:lvlJc w:val="left"/>
      <w:lvlText w:val="1"/>
      <w:numFmt w:val="bullet"/>
      <w:start w:val="1"/>
    </w:lvl>
  </w:abstractNum>
  <w:abstractNum w:abstractNumId="26">
    <w:nsid w:val="4516DDE9"/>
    <w:multiLevelType w:val="hybridMultilevel"/>
    <w:lvl w:ilvl="0">
      <w:lvlJc w:val="left"/>
      <w:lvlText w:val="2"/>
      <w:numFmt w:val="bullet"/>
      <w:start w:val="1"/>
    </w:lvl>
  </w:abstractNum>
  <w:abstractNum w:abstractNumId="27">
    <w:nsid w:val="3006C83E"/>
    <w:multiLevelType w:val="hybridMultilevel"/>
    <w:lvl w:ilvl="0">
      <w:lvlJc w:val="left"/>
      <w:lvlText w:val="3"/>
      <w:numFmt w:val="bullet"/>
      <w:start w:val="1"/>
    </w:lvl>
  </w:abstractNum>
  <w:abstractNum w:abstractNumId="28">
    <w:nsid w:val="614FD4A1"/>
    <w:multiLevelType w:val="hybridMultilevel"/>
    <w:lvl w:ilvl="0">
      <w:lvlJc w:val="left"/>
      <w:lvlText w:val="4"/>
      <w:numFmt w:val="bullet"/>
      <w:start w:val="1"/>
    </w:lvl>
  </w:abstractNum>
  <w:abstractNum w:abstractNumId="29">
    <w:nsid w:val="419AC241"/>
    <w:multiLevelType w:val="hybridMultilevel"/>
    <w:lvl w:ilvl="0">
      <w:lvlJc w:val="left"/>
      <w:lvlText w:val="5"/>
      <w:numFmt w:val="bullet"/>
      <w:start w:val="1"/>
    </w:lvl>
  </w:abstractNum>
  <w:abstractNum w:abstractNumId="30">
    <w:nsid w:val="5577F8E1"/>
    <w:multiLevelType w:val="hybridMultilevel"/>
    <w:lvl w:ilvl="0">
      <w:lvlJc w:val="left"/>
      <w:lvlText w:val="6"/>
      <w:numFmt w:val="bullet"/>
      <w:start w:val="1"/>
    </w:lvl>
  </w:abstractNum>
  <w:abstractNum w:abstractNumId="31">
    <w:nsid w:val="440BADFC"/>
    <w:multiLevelType w:val="hybridMultilevel"/>
    <w:lvl w:ilvl="0">
      <w:lvlJc w:val="left"/>
      <w:lvlText w:val="7"/>
      <w:numFmt w:val="bullet"/>
      <w:start w:val="1"/>
    </w:lvl>
  </w:abstractNum>
  <w:abstractNum w:abstractNumId="32">
    <w:nsid w:val="5072367"/>
    <w:multiLevelType w:val="hybridMultilevel"/>
    <w:lvl w:ilvl="0">
      <w:lvlJc w:val="left"/>
      <w:lvlText w:val="%1"/>
      <w:numFmt w:val="decimal"/>
      <w:start w:val="1"/>
    </w:lvl>
    <w:lvl w:ilvl="1">
      <w:lvlJc w:val="left"/>
      <w:lvlText w:val="%2"/>
      <w:numFmt w:val="decimal"/>
      <w:start w:val="11"/>
    </w:lvl>
  </w:abstractNum>
  <w:abstractNum w:abstractNumId="33">
    <w:nsid w:val="3804823E"/>
    <w:multiLevelType w:val="hybridMultilevel"/>
    <w:lvl w:ilvl="0">
      <w:lvlJc w:val="left"/>
      <w:lvlText w:val="(%1)"/>
      <w:numFmt w:val="decimal"/>
      <w:start w:val="1"/>
    </w:lvl>
    <w:lvl w:ilvl="1">
      <w:lvlJc w:val="left"/>
      <w:lvlText w:val="%2"/>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Roman"/>
      <w:start w:val="2"/>
    </w:lvl>
  </w:abstractNum>
  <w:abstractNum w:abstractNumId="36">
    <w:nsid w:val="5C482A97"/>
    <w:multiLevelType w:val="hybridMultilevel"/>
    <w:lvl w:ilvl="0">
      <w:lvlJc w:val="left"/>
      <w:lvlText w:val="(%1)"/>
      <w:numFmt w:val="lowerLetter"/>
      <w:start w:val="3"/>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2023-11-13T05:49:42Z</dcterms:created>
  <dcterms:modified xsi:type="dcterms:W3CDTF">2023-11-13T05:49:42Z</dcterms:modified>
</cp:coreProperties>
</file>