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333-269272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160020</wp:posOffset>
            </wp:positionV>
            <wp:extent cx="370332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1,488,166 Shares of Common Stock</w:t>
      </w:r>
    </w:p>
    <w:p>
      <w:pPr>
        <w:spacing w:after="0" w:line="2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Pre-Funded Warrants to Purchase 1,229,224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are offering directly to investors 1,448,166 shares of our common stock at a price per share of $23.00, and pre-funded warrants to purchase up to 1,229,224 shares of common stock in lieu of common stock to certain investors that so choose.</w:t>
      </w:r>
    </w:p>
    <w:p>
      <w:pPr>
        <w:spacing w:after="0" w:line="162"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pre-funded warrants will be immediately exercisable, subject to the limitations described in the section “Description of Pre-Funded Warrants— Exercisability,” and may be exercised at any time after their original issuance. The purchase price of each pre-funded warrant sold in this offering will be equal to the price at which a share of common stock is sold in this offering, minus $0.0001, and the exercise price of each pre-funded warrant will equal $0.0001 per share.</w:t>
      </w:r>
    </w:p>
    <w:p>
      <w:pPr>
        <w:spacing w:after="0" w:line="180" w:lineRule="exact"/>
        <w:rPr>
          <w:sz w:val="24"/>
          <w:szCs w:val="24"/>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This offering is being made without an underwriter or a placement agent and we are not paying underwriting discounts or commissions, so the proceeds to us, before expenses, will be approximately $62.5 million. We estimate the total expenses of this offering will be approximately $0.15 million</w:t>
      </w:r>
    </w:p>
    <w:p>
      <w:pPr>
        <w:spacing w:after="0" w:line="140" w:lineRule="exact"/>
        <w:rPr>
          <w:sz w:val="24"/>
          <w:szCs w:val="24"/>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“IRON.” On February 13, 2023, the closing sale price of our common stock on The Nasdaq Global Market was $24.18 per share. There is no established public trading market for the pre-funded warrants, and we do not intend to list the pre-funded warrants on The Nasdaq Global Market, or any other national securities exchange or any other nationally recognized trading system.</w:t>
      </w:r>
    </w:p>
    <w:p>
      <w:pPr>
        <w:spacing w:after="0" w:line="158" w:lineRule="exact"/>
        <w:rPr>
          <w:sz w:val="24"/>
          <w:szCs w:val="24"/>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supplement and for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S-10 of this prospectus supplement, page 10 of the accompanying base prospectus, and under similar headings in the other documents that are incorporated by reference into this prospectus supplement concerning factors you should consider before investing in our common stock and pre-funded warrants.</w:t>
      </w:r>
    </w:p>
    <w:p>
      <w:pPr>
        <w:spacing w:after="0" w:line="171" w:lineRule="exact"/>
        <w:rPr>
          <w:sz w:val="24"/>
          <w:szCs w:val="24"/>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13, 2023.</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9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6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74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480" w:type="dxa"/>
            <w:vAlign w:val="bottom"/>
            <w:gridSpan w:val="2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3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PRE-FUNDED WARRANTS</w:t>
            </w:r>
          </w:p>
        </w:tc>
        <w:tc>
          <w:tcPr>
            <w:tcW w:w="670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60" w:type="dxa"/>
            <w:vAlign w:val="bottom"/>
            <w:gridSpan w:val="1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100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INVESTORS IN OUR COMMON STOCK AND PRE-FUNDED</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WARRANTS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830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20"/>
        </w:trPr>
        <w:tc>
          <w:tcPr>
            <w:tcW w:w="12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1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453"/>
        </w:trPr>
        <w:tc>
          <w:tcPr>
            <w:tcW w:w="12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20" w:type="dxa"/>
            <w:vAlign w:val="bottom"/>
          </w:tcPr>
          <w:p>
            <w:pPr>
              <w:spacing w:after="0"/>
              <w:rPr>
                <w:sz w:val="24"/>
                <w:szCs w:val="24"/>
                <w:color w:val="auto"/>
              </w:rPr>
            </w:pPr>
          </w:p>
        </w:tc>
      </w:tr>
      <w:tr>
        <w:trPr>
          <w:trHeight w:val="37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20" w:type="dxa"/>
            <w:vAlign w:val="bottom"/>
          </w:tcPr>
          <w:p>
            <w:pPr>
              <w:spacing w:after="0"/>
              <w:rPr>
                <w:sz w:val="16"/>
                <w:szCs w:val="16"/>
                <w:color w:val="auto"/>
              </w:rPr>
            </w:pPr>
          </w:p>
        </w:tc>
        <w:tc>
          <w:tcPr>
            <w:tcW w:w="103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1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4"/>
          </w:tcPr>
          <w:p>
            <w:pPr>
              <w:spacing w:after="0"/>
              <w:rPr>
                <w:sz w:val="17"/>
                <w:szCs w:val="17"/>
                <w:color w:val="auto"/>
              </w:rPr>
            </w:pPr>
          </w:p>
        </w:tc>
        <w:tc>
          <w:tcPr>
            <w:tcW w:w="502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792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60" w:type="dxa"/>
            <w:vAlign w:val="bottom"/>
            <w:gridSpan w:val="1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3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6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2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86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32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830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10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that we filed with the Securities and Exchange Commission (the “SEC”) using a “shelf” registration process.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and pre-funded warrants and also adds to and updates information contained in the accompanying prospectus and the documents incorporated by reference into this prospectus supplement and the accompanying prospectus. The second part is the accompanying prospectus dated January 24, 2023, included in our registration statement on Form S-3 (File No. 333-269272), along with the documents incorporated by reference, which provides more general information, some of which may not apply to this offering. Generally, when we refer to this prospectus, we are referring to both parts of this document combined.</w:t>
      </w:r>
    </w:p>
    <w:p>
      <w:pPr>
        <w:spacing w:after="0" w:line="18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Before buying any of the securities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or pre-funded warrants. Our business, financial condition and results of operations may have changed since those dates.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and pre-funded warrants only in jurisdictions where offers and sales are permitted. The distribution of this prospectus supplement and the offering of the common stock and pre-funded warrants in certain jurisdictions may be restricted by law. Persons outside the United States who come into possession of this prospectus supplement must inform themselves about, and observe any restrictions relating to, the offering of the common stock and pre-funded warrants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Current Report on Form 8-K filed with the SEC on December 29, 2022, which is incorporated by reference into this prospectus supplement by reference, as updated by our subsequent Annual Reports on Form 10-K, our subsequent Quarterly Reports on Form 10-Q and our Current Reports on Form 8-K, and the section this prospectus supplement and the accompanying base prospectus entitled “Risk Factors.”</w:t>
      </w:r>
    </w:p>
    <w:p>
      <w:pPr>
        <w:spacing w:after="0" w:line="1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or pre-funded warrants. You should read this prospectus supplement carefully, especially the discussion of the risks related to investing in our common stock and pre-funded warrants discussed under “Risk Factors” beginning on page S-10 of this prospectus supplement, page 10 of the accompanying base prospectus, and in Item 8.01 of our Current Report on Form 8-K filed on December 29, 2022,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DISC-0974 for the treatment of anemia of myelofibrosis (“MF”) and anemia of chronic kidney disease (“CKD”); and MWTX-003 for the treatment of polycythemia vera (“PV”) and other hematologic diseases. In addition, our preclinical program, DISC-0998 is being designed for the treatment of anemia associated with inflammatory diseases.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2" w:lineRule="exact"/>
        <w:rPr>
          <w:sz w:val="20"/>
          <w:szCs w:val="20"/>
          <w:color w:val="auto"/>
        </w:rPr>
      </w:pPr>
    </w:p>
    <w:p>
      <w:pPr>
        <w:ind w:left="300" w:right="200"/>
        <w:spacing w:after="0" w:line="256"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patients with anemia of CKD. We expect interim data from these two trials in 2023. In addition, we are developing a preclinical anti-HJV monoclonal antibody, DISC-0998, which is also designed to target hepcidin suppression and increase serum iron levels, but has an extended serum half-life as compared to DISC-0974. We believe this profile may be desirable in certain subsets of patients with anemia associated with inflammatory diseases. Both DISC-0974 and DISC-0998 were in-licensed from AbbVie Deutschland GmbH &amp; Co. KG.</w:t>
      </w:r>
    </w:p>
    <w:p>
      <w:pPr>
        <w:spacing w:after="0" w:line="180" w:lineRule="exact"/>
        <w:rPr>
          <w:sz w:val="20"/>
          <w:szCs w:val="20"/>
          <w:color w:val="auto"/>
        </w:rPr>
      </w:pPr>
    </w:p>
    <w:p>
      <w:pPr>
        <w:ind w:left="300" w:right="20"/>
        <w:spacing w:after="0" w:line="281" w:lineRule="auto"/>
        <w:rPr>
          <w:sz w:val="20"/>
          <w:szCs w:val="20"/>
          <w:color w:val="auto"/>
        </w:rPr>
      </w:pPr>
      <w:r>
        <w:rPr>
          <w:rFonts w:ascii="Times New Roman" w:cs="Times New Roman" w:eastAsia="Times New Roman" w:hAnsi="Times New Roman"/>
          <w:sz w:val="17"/>
          <w:szCs w:val="17"/>
          <w:color w:val="auto"/>
        </w:rPr>
        <w:t>Lastly, we are developing MWTX-003, a monoclonal antibody against TMPRSS6 (Transmembrane Serine Protease 6, also known as Matriptase-2) that we licensed from Mabwell Therapeutics. MWTX-003 is part of our iron homeostasis portfolio and is designed to induce hepcidin production and reduce serum iron levels. An IND for MWTX-003 has been accepted by the FDA, and we plan to initiate a phase 1 clinical trial in healthy volunteers in the second half of 2023. We expect to develop MWTX-003 as a treatment for polycythemia vera and other hematologic disorders.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(“Disc Opco”), in December 2022. On December 29, 2022, we completed our business combination with Gemini Therapeutics, Inc. (“Gemini”)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8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The information on our website is not incorporated by reference in this prospectus supplement or in any other filings we make with the SEC. We do not incorporate the information on or accessible through our website into this prospectus supplement, and you should not consider any information on, or that can be accessed through, our website as part of this prospectus supplement.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240" w:right="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430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98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right="660"/>
        <w:spacing w:after="0" w:line="443" w:lineRule="auto"/>
        <w:rPr>
          <w:sz w:val="20"/>
          <w:szCs w:val="20"/>
          <w:color w:val="auto"/>
        </w:rPr>
      </w:pPr>
      <w:r>
        <w:rPr>
          <w:rFonts w:ascii="Times New Roman" w:cs="Times New Roman" w:eastAsia="Times New Roman" w:hAnsi="Times New Roman"/>
          <w:sz w:val="18"/>
          <w:szCs w:val="18"/>
          <w:b w:val="1"/>
          <w:bCs w:val="1"/>
          <w:color w:val="auto"/>
        </w:rPr>
        <w:t>Common stock offered by us Pre-funded warrants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1,488,166 shares</w:t>
      </w:r>
    </w:p>
    <w:p>
      <w:pPr>
        <w:spacing w:after="0" w:line="1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also offering, in lieu of common stock to certain investors, pre-funded warrants to purchase up to 1,229,224 shares of common stock. The purchase price of</w:t>
      </w:r>
    </w:p>
    <w:p>
      <w:pPr>
        <w:spacing w:after="0" w:line="252" w:lineRule="auto"/>
        <w:rPr>
          <w:sz w:val="20"/>
          <w:szCs w:val="20"/>
          <w:color w:val="auto"/>
        </w:rPr>
      </w:pPr>
      <w:r>
        <w:rPr>
          <w:rFonts w:ascii="Times New Roman" w:cs="Times New Roman" w:eastAsia="Times New Roman" w:hAnsi="Times New Roman"/>
          <w:sz w:val="18"/>
          <w:szCs w:val="18"/>
          <w:color w:val="auto"/>
        </w:rPr>
        <w:t>each pre-funded warrant will equal the price per share at which the shares of common stock are being sold to the public in this offering, minus $0.0001, and the exercise price of each pre-funded warrant will be $0.0001 per share. Each pre-funded warrant will be exercisable at any time after the date of issuance, subject to an ownership limitation. See “Description of Pre-Funded Warrants.” This prospectus supplement also relates to the offering of the shares of common stock issuable upon exercise of such pre-funded warrants.</w:t>
      </w:r>
    </w:p>
    <w:p>
      <w:pPr>
        <w:spacing w:after="0" w:line="9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4340" w:right="560" w:hanging="403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18,882,850 shares, assuming no exercise of the pre-funded warrants included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w:t>
      </w:r>
    </w:p>
    <w:p>
      <w:pPr>
        <w:spacing w:after="0" w:line="6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estimate that the net proceeds to us from this offering will be approximately</w:t>
      </w:r>
    </w:p>
    <w:p>
      <w:pPr>
        <w:spacing w:after="0" w:line="31" w:lineRule="exact"/>
        <w:rPr>
          <w:sz w:val="20"/>
          <w:szCs w:val="20"/>
          <w:color w:val="auto"/>
        </w:rPr>
      </w:pPr>
    </w:p>
    <w:p>
      <w:pPr>
        <w:ind w:left="4340" w:right="580"/>
        <w:spacing w:after="0" w:line="260" w:lineRule="auto"/>
        <w:rPr>
          <w:sz w:val="20"/>
          <w:szCs w:val="20"/>
          <w:color w:val="auto"/>
        </w:rPr>
      </w:pPr>
      <w:r>
        <w:rPr>
          <w:rFonts w:ascii="Times New Roman" w:cs="Times New Roman" w:eastAsia="Times New Roman" w:hAnsi="Times New Roman"/>
          <w:sz w:val="18"/>
          <w:szCs w:val="18"/>
          <w:color w:val="auto"/>
        </w:rPr>
        <w:t>$62.35 million. This estimate excludes the proceeds, if any, from the exercise of the pre-funded warrants sold in this offering.</w:t>
      </w:r>
    </w:p>
    <w:p>
      <w:pPr>
        <w:spacing w:after="0" w:line="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cash, cash equivalents and marketable securities, to fund research and clinical development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 current or additional product candidates, and the remainder for working capital and other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general corporate purposes. We may also use a portion of the net proceeds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to in-license, acquire or invest in complementary businesses or technologies to continue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build our pipeline, research and development capabilities and our intellectual property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position. See “Use of Proceeds” on page S-13 of this prospectus supplement.</w:t>
      </w:r>
    </w:p>
    <w:p>
      <w:pPr>
        <w:spacing w:after="0" w:line="10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read the “Risk Factors” section of this prospectus supplement beginning on</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page S-10 and the accompanying base prospectus and other information included in, 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 for a discussion of factors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consider before deciding to purchase shares of our common stock or pre-funded warrants.</w:t>
      </w:r>
    </w:p>
    <w:p>
      <w:pPr>
        <w:spacing w:after="0" w:line="10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The Nasdaq Global Market symbol</w:t>
      </w:r>
      <w:r>
        <w:rPr>
          <w:sz w:val="20"/>
          <w:szCs w:val="20"/>
          <w:color w:val="auto"/>
        </w:rPr>
        <w:tab/>
      </w:r>
      <w:r>
        <w:rPr>
          <w:rFonts w:ascii="Times New Roman" w:cs="Times New Roman" w:eastAsia="Times New Roman" w:hAnsi="Times New Roman"/>
          <w:sz w:val="17"/>
          <w:szCs w:val="17"/>
          <w:color w:val="auto"/>
        </w:rPr>
        <w:t>“IRON.” There is no established public trading market for the pre-funded warrants, and we</w:t>
      </w:r>
    </w:p>
    <w:p>
      <w:pPr>
        <w:spacing w:after="0" w:line="31" w:lineRule="exact"/>
        <w:rPr>
          <w:sz w:val="20"/>
          <w:szCs w:val="20"/>
          <w:color w:val="auto"/>
        </w:rPr>
      </w:pPr>
    </w:p>
    <w:p>
      <w:pPr>
        <w:ind w:left="4340" w:right="80"/>
        <w:spacing w:after="0" w:line="253" w:lineRule="auto"/>
        <w:rPr>
          <w:sz w:val="20"/>
          <w:szCs w:val="20"/>
          <w:color w:val="auto"/>
        </w:rPr>
      </w:pPr>
      <w:r>
        <w:rPr>
          <w:rFonts w:ascii="Times New Roman" w:cs="Times New Roman" w:eastAsia="Times New Roman" w:hAnsi="Times New Roman"/>
          <w:sz w:val="18"/>
          <w:szCs w:val="18"/>
          <w:color w:val="auto"/>
        </w:rPr>
        <w:t>do not expect a market to develop. We do not intend to list the pre-funded warrants on The Nasdaq Global Market or any other nationally recognized securities exchange or trading system. Without an active trading market, the liquidity of the pre-funded warrants will be limited. See “Description of Pre-Funded Warrants” for additional information.</w:t>
      </w:r>
    </w:p>
    <w:p>
      <w:pPr>
        <w:spacing w:after="0" w:line="189"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unaudited pro forma common stock to be outstanding immediately after this offering is based on 17,394,684 shares of our common stock outstanding as of September 30, 2022, from our unaudited pro forma condensed combined financial information as of September 30, 2022. The number of shares of our unaudited pro forma common stock</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87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187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60"/>
        <w:spacing w:after="0" w:line="282" w:lineRule="auto"/>
        <w:rPr>
          <w:sz w:val="20"/>
          <w:szCs w:val="20"/>
          <w:color w:val="auto"/>
        </w:rPr>
      </w:pPr>
      <w:r>
        <w:rPr>
          <w:rFonts w:ascii="Times New Roman" w:cs="Times New Roman" w:eastAsia="Times New Roman" w:hAnsi="Times New Roman"/>
          <w:sz w:val="18"/>
          <w:szCs w:val="18"/>
          <w:color w:val="auto"/>
        </w:rPr>
        <w:t>outstanding as of September 30, 2022 as used throughout this prospectus supplement, unless otherwise indicated, excludes the shares of our common stock issuable upon exercise of the pre-funded warrants being offered by us in this offering, as well as:</w:t>
      </w:r>
    </w:p>
    <w:p>
      <w:pPr>
        <w:spacing w:after="0" w:line="67" w:lineRule="exact"/>
        <w:rPr>
          <w:sz w:val="20"/>
          <w:szCs w:val="20"/>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1,931,499 shares of unaudited pro forma common stock issuable upon the exercise of stock options outstanding as of September 30, 2022, at a weighted average exercise price of $18.29 per share;</w:t>
      </w:r>
    </w:p>
    <w:p>
      <w:pPr>
        <w:spacing w:after="0" w:line="67" w:lineRule="exact"/>
        <w:rPr>
          <w:rFonts w:ascii="Times New Roman" w:cs="Times New Roman" w:eastAsia="Times New Roman" w:hAnsi="Times New Roman"/>
          <w:sz w:val="18"/>
          <w:szCs w:val="18"/>
          <w:color w:val="auto"/>
        </w:rPr>
      </w:pPr>
    </w:p>
    <w:p>
      <w:pPr>
        <w:ind w:left="1240" w:right="10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763,669 shares of unaudited pro forma common stock issuable upon the exercise of stock options granted subsequent to September 30, 2022, at a weighted average exercise price of $14.33 per share;</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3,316 shares of unaudited pro forma common stock issuable upon the vesting of restricted stock awards outstanding as of September 30, 2022;</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1,683,095 shares of unaudited pro forma common stock available for future issuance under our Amended and Restated 2021 Stock Option and Incentive Plan as of September 30, 2022;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179,898 shares of unaudited pro forma common stock available for future issuance under our Amended and Restated 2021 Employee Stock Purchase Plan as of September 30, 2022.</w:t>
      </w:r>
    </w:p>
    <w:p>
      <w:pPr>
        <w:spacing w:after="0" w:line="162"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as of September 30, 2022, are based on Private Disc’s historical consolidated financial statements and Gemini Therapeutics, Inc.’s (“Gemini”) historical consolidated financial statements as of September 30, 2022, adjusted to give effect to (1) 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(i) assumes no exercise of stock options after September 30, 2022,</w:t>
      </w:r>
    </w:p>
    <w:p>
      <w:pPr>
        <w:spacing w:after="0" w:line="27" w:lineRule="exact"/>
        <w:rPr>
          <w:sz w:val="20"/>
          <w:szCs w:val="20"/>
          <w:color w:val="auto"/>
        </w:rPr>
      </w:pPr>
    </w:p>
    <w:p>
      <w:pPr>
        <w:ind w:left="300" w:hanging="2"/>
        <w:spacing w:after="0" w:line="260" w:lineRule="auto"/>
        <w:tabs>
          <w:tab w:leader="none" w:pos="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a one-for-ten reverse stock split of common stock effected on December 29, 2022 and (iii) assumes no exercise of the pre-funded warrants we are offering to certain investors.</w:t>
      </w: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you decide to invest in our securities, you should carefully consider the risks and uncertainties described below, in the accompanying base prospectus, and in our Current Report on Form 8-K filed with the SEC on December 29, 2022, and any subsequent Annual Reports on Form 10-K, Quarterly Reports on Form 10-Q or Current Reports on Form 8-K we file after the date of this prospectus supplement,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Our Common Stock, Pre-Funded Warrants And This Offering</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shares you purchase. In addition, we may issue additional equity or convertible debt securities in the future, which may result in additional dilution to you.</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Given that the offering price of our securities in this offering is substantially greater than the net tangible book value per share of our common stock prior to this offering, you will suffer immediate and substantial dilution in the net tangible book value of the common stock you purchase in this offering. For a more detailed discussion of the foregoing, see the section entitled “Dilution” below. To the extent outstanding stock options or warrants, or the pre-funded warrants offered hereby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to the pre-funded warrants offered hereby, we have a significant number of stock options outstanding, and may also choose to issue additional common stock, or securities convertible into or exchangeable for common stock, in the future in connection with a financing, an acquisition, a litigation settlement, employee arrangements or otherwise. In the event that the outstanding options or warrants, or the pre-funded warrants offered hereby,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Without an active market, the liquidity of the pre-funded warrants will be limited.</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this offering, we have not issued any pre-funded warrants. Each pre-funded warrant offered hereby is exercisable for $0.0001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296" w:lineRule="exact"/>
        <w:rPr>
          <w:sz w:val="20"/>
          <w:szCs w:val="20"/>
          <w:color w:val="auto"/>
        </w:rPr>
      </w:pPr>
    </w:p>
    <w:p>
      <w:pPr>
        <w:ind w:left="120" w:right="1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Until holders of pre-funded warrants acquire shares of our common stock upon exercise of the pre-funded warrants, as applicable, holders</w:t>
      </w:r>
    </w:p>
    <w:p>
      <w:pPr>
        <w:spacing w:after="0" w:line="2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of pre-funded warrants will have no rights with respect to the shares of our common stock underlying such pre-funded warrants, as applicable. Upon exercise of the pre-funded warrants, the holders will be entitled to exercise the rights of a common stockholder only as to matters for which the record date occurs after the exercise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w:t>
      </w:r>
    </w:p>
    <w:p>
      <w:pPr>
        <w:spacing w:after="0" w:line="3" w:lineRule="exact"/>
        <w:rPr>
          <w:sz w:val="20"/>
          <w:szCs w:val="20"/>
          <w:color w:val="auto"/>
        </w:rPr>
      </w:pPr>
    </w:p>
    <w:p>
      <w:pPr>
        <w:jc w:val="center"/>
        <w:ind w:right="40"/>
        <w:spacing w:after="0" w:line="433" w:lineRule="auto"/>
        <w:rPr>
          <w:sz w:val="20"/>
          <w:szCs w:val="20"/>
          <w:color w:val="auto"/>
        </w:rPr>
      </w:pPr>
      <w:r>
        <w:rPr>
          <w:rFonts w:ascii="Times New Roman" w:cs="Times New Roman" w:eastAsia="Times New Roman" w:hAnsi="Times New Roman"/>
          <w:sz w:val="18"/>
          <w:szCs w:val="18"/>
          <w:color w:val="auto"/>
        </w:rPr>
        <w:t>the pre-funded warrants, as applicable, unless such percentage is increased upon at least 61 days’ prior notice, but not in excess of 19.99%. As a result, 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ongoing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$62.35 million, after deducting the estimated offering expenses payable by us. We will receive nominal proceeds, if any, from the exercise of the pre-funded warrants.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19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do not expect that the net proceeds from this offering, together with our existing cash, cash equivalents and investments, will be sufficient to enable us to fund the completion of development of any of our product candidates.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public offering price per share and the as adjusted unaudited pro forma net tangible book value per share of our common stock after giving effect to this offering. The data in this section are derived from our unaudited pro forma condensed combined financial information as of September 30, 2022. See “Prospectus Supplement Summary” on page S-5 of this prospectus supplement for additional information regarding our pro forma presentation.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September 30, 2022, we had unaudited pro forma net tangible book value of approximately $188.0 million, or $10.81 per share of our common stock, based upon 17,394,684 shares of our unaudited pro forma common stock outstanding as of that date. Unaudited pro forma net tangible book value per share is equal to our unaudited pro forma total tangible assets, less unaudited pro forma total liabilities, divided by the unaudited pro forma number of outstanding shares of our common stock. Dilution in unaudited pro forma net tangible book value per share represents the difference between the amount per share paid by purchasers of shares of common stock in this offering and the as adjusted unaudited pro forma net tangible book value per share of our common stock immediately after this offering.</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After giving effect to the sale of 1,488,166 shares of our common stock and pre-funded warrants to purchase up to 1,229,224 shares of our common stock at the public offering price of $23.00 per share of common stock and $22.9999 per pre-funded warrant (which equals the public offering price per share of the common stock less the $0.0001 per share exercise price of each such pre-funded warrant) (and excluding shares of common stock issued and any proceeds received upon exercise of the pre-funded warrants or any resulting accounting associated with the pre-funded warrants) pursuant to this prospectus supplement, and after deducting estimated aggregate offering expenses payable by us, our as adjusted unaudited pro forma net tangible book value as of September 30, 2022 would have been $250 million, or $13.26 per share of common stock. This represents an immediate increase in the unaudited pro forma net tangible book value of $2.45 per share to our existing stockholders and an immediate dilution in unaudited pro forma net tangible book value of 9.74 per share of common stock to new investors in this offering based on the offering price. Dilution per share to new investors is determined by subtracting as adjusted unaudited pro forma net tangible book value per share after this offering from the offering price per share paid by new investors. The following table illustrates this per share dilution:</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23.00</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pro forma net tangible book value per share as of September 30, 2022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unaudited pro forma net tangible book value per share attributable to</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sale of shares of common stock and pre-funded warrants in this offering</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5"/>
        </w:trPr>
        <w:tc>
          <w:tcPr>
            <w:tcW w:w="6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unaudited pro forma net tangible book value per share as of</w:t>
            </w: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after this offering</w:t>
            </w:r>
          </w:p>
        </w:tc>
        <w:tc>
          <w:tcPr>
            <w:tcW w:w="3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13.26</w:t>
            </w: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unaudited pro forma net tangible book value per share to new investors</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purchasing shares of our common stock and pre-funded warrants in this offering</w:t>
            </w:r>
          </w:p>
        </w:tc>
        <w:tc>
          <w:tcPr>
            <w:tcW w:w="3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r>
      <w:tr>
        <w:trPr>
          <w:trHeight w:val="20"/>
        </w:trPr>
        <w:tc>
          <w:tcPr>
            <w:tcW w:w="6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holders of our pre-funded warrants issued in this offering exercise the pre-funded warrants, the as adjusted unaudited pro forma net tangible book value per share of our common stock after giving effect to this offering would be $12.45 per share, and the dilution in as adjusted unaudited pro forma net tangible book value per share to investors purchasing common stock in this offering would be $10.55 per share.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17,394,684 shares of our unaudited pro forma common stock outstanding as of September 30, 2022 and excludes the shares of common stock issuable upon the exercise of the pre-funded warrants being offered by us in this offering, as well as:</w:t>
      </w:r>
    </w:p>
    <w:p>
      <w:pPr>
        <w:spacing w:after="0" w:line="67" w:lineRule="exact"/>
        <w:rPr>
          <w:sz w:val="20"/>
          <w:szCs w:val="20"/>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1,931,499 shares of unaudited pro forma common stock issuable upon the exercise of stock options outstanding as of September 30, 2022, at a weighted average exercise price of $18.29 per share;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763,669 shares of unaudited pro forma common stock issuable upon the exercise of stock options granted subsequent to September 30, 2022, at a weighted average exercise price of $14.33 per share;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3,316 shares of unaudited pro forma common stock issuable upon the vesting of restricted stock awards outstanding as of September 30, 2022;</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1,683,095 shares of unaudited pro forma common stock available for future issuance under our Amended and Restated 2021 Stock Option and Incentive Plan as of September 30, 2022;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179,898 shares of unaudited pro forma common stock available for future issuance under our Amended and Restated 2021 Employee Stock Purchase Plan as of September 30, 2022.</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the extent that options outstanding as of September 30, 2022 have been or may be exercised or settle, as applicable, or other shares issued, investors purchasing our common stock or pre-funded warrants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heading “Description of Capital Stock” starting on page 17 of the accompanying prospectus. The material terms and provisions of the pre-funded warrants being issued in this offering are summarized below and are qualified in their entirety by the full text of the pre-funded warrant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provided to the investors in this offering and will be filed as an exhibit to our Current Report on Form 8-K that we expect to file with the SEC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on The Nasdaq Global Market, any other national securities exchange or any other nationally recognized trading system.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an active market, the liquidity of the pre-funded warrants will be limited.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a holder of shares of our common stock, subject to not exceeding the ownership limitations described above under “—Exercise Limitations,” in which case such distribution shall be held in abeyance for the benefit of such holder until the earlier of such time as the ownership limitations would not be exceeded or the pre-funded warrant is exercised.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 AND PRE-FUNDED WARRANTS</w:t>
      </w:r>
    </w:p>
    <w:p>
      <w:pPr>
        <w:spacing w:after="0" w:line="15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except to the limited extent provided below, or any non-U.S. tax consequences that may be relevant to Non-U.S. Holders (as defined below) in light of their particular circumstances.</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or the Code, such as:</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100" w:right="7180" w:hanging="444"/>
        <w:spacing w:after="0" w:line="312" w:lineRule="auto"/>
        <w:tabs>
          <w:tab w:leader="none" w:pos="108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and traders in securities; regulated investment companies;</w:t>
      </w:r>
    </w:p>
    <w:p>
      <w:pPr>
        <w:spacing w:after="0" w:line="45" w:lineRule="exact"/>
        <w:rPr>
          <w:rFonts w:ascii="Times New Roman" w:cs="Times New Roman" w:eastAsia="Times New Roman" w:hAnsi="Times New Roman"/>
          <w:sz w:val="17"/>
          <w:szCs w:val="17"/>
          <w:color w:val="auto"/>
        </w:rPr>
      </w:pPr>
    </w:p>
    <w:p>
      <w:pPr>
        <w:ind w:left="1100" w:right="3740" w:hanging="444"/>
        <w:spacing w:after="0" w:line="282" w:lineRule="auto"/>
        <w:tabs>
          <w:tab w:leader="none" w:pos="10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 pension plans;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more than 5% of our common stock (directly, indirectly or by attribution) or more than 5% of our pre-funded warrants;</w:t>
      </w:r>
    </w:p>
    <w:p>
      <w:pPr>
        <w:ind w:left="110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86"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or pre-funded warrants through partnerships or other entities which are pass- through entities for U.S. federal income tax purposes. If a partnership or other pass-through entity holds our common stock or pre-funded warrants, the tax treatment of a partner will generally depend upon the stratus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purposes of this discussion, a “U.S. Holder” means a beneficial owner of our common stock or pre-funded warrants, other than a partnership or other pass-through entity,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Section 7701(a)(30) of the Code) have the authority to control all substantial decisions of the trust or (2) has a valid election in effect under applicable U.S. Treasury regulations to be treated as a U.S. person.</w:t>
      </w:r>
    </w:p>
    <w:p>
      <w:pPr>
        <w:spacing w:after="0" w:line="18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 “Non-U.S. Holder” is, for U.S. federal income tax purposes, a beneficial owner of common stock or pre-funded warrants that is (i) a foreign corporation, (ii) a nonresident alien individual, or (iii) a foreign estate or trust that in each case is not subject to U.S. federal income tax on a net-income basis on income or gain from common stock or pre-funded warrants..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AND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Characterization of the Pre-Funded Warrants for Tax Purposes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Although the characterization of the pre-funded warrants for U.S. federal income tax purposes is not entirely clear, because the exercise price of the pre-funded warrants is a nominal amount, we expect to treat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pre-funded warrants as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 and the discussion below, to the extent it pertains to our common stock, is generally intended to also pertain to the pre-funded warrants.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position with respect to the characterization of pre-funded warrants is not binding on the IRS and the IRS may treat the pre-funded warrants as warrants to acquire our common stock and, if so, the amount and character of your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stated under “Dividend Policy,” we do not expect to make distributions on our common stock in the foreseeable future. In the event that we do make distributions of cash or other property, distributions paid on common stock will be treated as a dividend to the extent paid out of our current or accumulated earnings and profits,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adjusted tax basis in the common stock and thereafter as capital gain from the sale or exchange of such common stock. The tax treatment of such gain is further described in “—Sale or Other Disposition of Common Stock or Pre-Funded Warrants” below. Dividends received by a corporation may be eligible for a dividends received deduction, subject to applicable limitations. Any such distributions will also be subject to the discussions below under the sections titled “—Backup Withholding and Information Reporting” and “—Foreign Accounts.”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or Pre-Funded Warrants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on our common stock, constructive dividends on</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our pre-funded warrants, and gross proceeds on the sale or other disposition of our common stock and pre-funded warrants, unless the U.S. Holder is an exempt recipient (such as a corporation) ,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or pre-funded warrants that, for U.S. federal income tax purposes, is neither a U.S. Holder (as defined above) nor a partnership or other pass-through entity. If you are not a Non-U.S. Holder, this section does not apply to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stated under “Dividend Policy,” we do not expect to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 Non-U.S. Holder’s adjusted tax basis in our common stock. Any remaining excess will be treated as gain realized as described below under the section titled “—Sale or Other Disposition of Common Stock and Pre-Funded Warrants.”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9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See also the section below titled “—Foreign Accounts” for additional withholding rules that may apply to dividends paid to certain foreign financial institutions or non-financial foreign entities.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and Pre-Funded Warrants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the section titled “—Backup Withholding and Information Reporting,” a Non-U.S. Holder generally will not be subject to U.S. federal income or withholding tax with respect to gain realized on a sale or other disposition of our common stock</w:t>
      </w: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or pre-funded warrants unless (a) the gain is effectively connected with a trade or business of the holder in the United States (and, if required by an applicable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w:t>
      </w:r>
    </w:p>
    <w:p>
      <w:pPr>
        <w:spacing w:after="0" w:line="1" w:lineRule="exact"/>
        <w:rPr>
          <w:sz w:val="20"/>
          <w:szCs w:val="20"/>
          <w:color w:val="auto"/>
        </w:rPr>
      </w:pPr>
    </w:p>
    <w:p>
      <w:pPr>
        <w:ind w:left="120" w:right="20" w:hanging="4"/>
        <w:spacing w:after="0" w:line="260"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within the meaning of Code Section 897(c)(2) at any time within the shorter of the five-year period preceding such disposition or the holder’s holding period in the common stock or pre-funded warrants.</w:t>
      </w:r>
    </w:p>
    <w:p>
      <w:pPr>
        <w:spacing w:after="0" w:line="18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or pre-funded warrants will not be subject to U.S. federal income tax so long as (1) the Non-U.S. Holder owned, directly, indirectly or constructively, no more than five percent of our common stock</w:t>
      </w:r>
    </w:p>
    <w:p>
      <w:pPr>
        <w:spacing w:after="0" w:line="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and pre-funded warrants at all times within the shorter of (i) the five-year period preceding the disposition or (ii) the holder’s holding period and (2) our common stock is regularly traded on an established securities market. There can be no assurance that our common stock will continue to qualify as regularly traded on an established securities market.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information to the IRS with respect to any dividends we pay on our common stock or any constructive dividends deemed paid on the pre-funded warrants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5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w:t>
      </w:r>
    </w:p>
    <w:p>
      <w:pPr>
        <w:ind w:left="120"/>
        <w:spacing w:after="0" w:line="252" w:lineRule="auto"/>
        <w:rPr>
          <w:sz w:val="20"/>
          <w:szCs w:val="20"/>
          <w:color w:val="auto"/>
        </w:rPr>
      </w:pPr>
      <w:r>
        <w:rPr>
          <w:rFonts w:ascii="Times New Roman" w:cs="Times New Roman" w:eastAsia="Times New Roman" w:hAnsi="Times New Roman"/>
          <w:sz w:val="18"/>
          <w:szCs w:val="18"/>
          <w:color w:val="auto"/>
        </w:rPr>
        <w:t>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7"/>
          <w:szCs w:val="17"/>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constructive dividends deemed paid with respect to the pre-funded warrants or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Regulations proposed by the U.S. Department of the Treasury (which may be relied upon pending finalization) would eliminate the requirement of withholding on gross proceeds.</w:t>
      </w:r>
    </w:p>
    <w:p>
      <w:pPr>
        <w:spacing w:after="0" w:line="19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6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are selling 1,488,166 shares of our common stock and pre-funded warrants to purchase up to 1,229,224 shares of our common stock offered under this prospectus supplement and the accompanying prospectus directly to the investors, at a price of $23.00 per share of common stock and $22.9999 per pre-funded warrant. We have entered into a securities purchase agreement, dated as of February 13, 2023 (the “Securities Purchase Agreement”), by and among us and the investors listed therein, relating to the sale of these shares.</w:t>
      </w:r>
    </w:p>
    <w:p>
      <w:pPr>
        <w:spacing w:after="0" w:line="180"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On the closing date, we will issue the shares of common stock and pre-funded warrants to the investors and we will receive proceeds (before expenses) in the amount of approximately $62.5 million. We estimate that the expenses of this offering payable by us will be approximately $0.15 million.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and pre-funded warrants were offered directly to the investors without a placement agent, underwriter, broker or dealer.</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Securities Purchase Agreement were made solely for the benefit of us and the investors. In addition, such representations, warranties and covenants (i) are intended as a way of allocating the risk between us and the investors and not as statements of fact, and (ii) may apply standards of materiality in a way that is different from what may be viewed as material by stockholders of, or other investors in, our company. Moreover, information concerning the subject matter of the representations and warranties may change after the date of the Securities Purchase Agreement, which subsequent information may or may not be fully reflected in public disclosures.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anticipate that the closing of the sale of such shares and pre-funded warrants will take place on or about February 15, 2023.</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 copy of the Securities Purchase Agreement has been filed with the SEC and incorporated by reference into the registration statement of which this prospectus supplement and the accompanying base prospectus form a part.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“IRON.” There is no established public trading market for</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the pre-funded warrants and we do not expect a market to develop. We do not intend to list the pre-funded warrants on The Nasdaq Global Market, any other national securities exchange or any other nationally recognized trading system.</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Goodwin Procter LLP, Boston, Massachusetts.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we sell all of the securities:</w:t>
      </w:r>
    </w:p>
    <w:p>
      <w:pPr>
        <w:spacing w:after="0" w:line="9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2021, filed with the SEC on </w:t>
      </w:r>
      <w:hyperlink r:id="rId4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46">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 xml:space="preserve">November 11,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60" w:hanging="424"/>
        <w:spacing w:after="0" w:line="258" w:lineRule="auto"/>
        <w:tabs>
          <w:tab w:leader="none" w:pos="1080" w:val="left"/>
        </w:tabs>
        <w:numPr>
          <w:ilvl w:val="0"/>
          <w:numId w:val="9"/>
        </w:numPr>
        <w:rPr>
          <w:rFonts w:ascii="Times New Roman" w:cs="Times New Roman" w:eastAsia="Times New Roman" w:hAnsi="Times New Roman"/>
          <w:sz w:val="18"/>
          <w:szCs w:val="18"/>
          <w:color w:val="000000"/>
        </w:rPr>
      </w:pPr>
      <w:hyperlink r:id="rId49">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 xml:space="preserve">February 28, 2022 </w:t>
        </w:r>
      </w:hyperlink>
      <w:hyperlink r:id="rId49">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April 5, 2022</w:t>
        </w:r>
      </w:hyperlink>
      <w:hyperlink r:id="rId4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August 10, 2022 </w:t>
        </w:r>
      </w:hyperlink>
      <w:hyperlink r:id="rId49">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pursuant to Item 7.01), </w:t>
      </w:r>
      <w:hyperlink r:id="rId53">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54">
        <w:r>
          <w:rPr>
            <w:rFonts w:ascii="Times New Roman" w:cs="Times New Roman" w:eastAsia="Times New Roman" w:hAnsi="Times New Roman"/>
            <w:sz w:val="18"/>
            <w:szCs w:val="18"/>
            <w:u w:val="single" w:color="auto"/>
            <w:color w:val="0000EE"/>
          </w:rPr>
          <w:t>December 28, 2022</w:t>
        </w:r>
      </w:hyperlink>
      <w:r>
        <w:rPr>
          <w:rFonts w:ascii="Times New Roman" w:cs="Times New Roman" w:eastAsia="Times New Roman" w:hAnsi="Times New Roman"/>
          <w:sz w:val="18"/>
          <w:szCs w:val="18"/>
          <w:color w:val="000000"/>
        </w:rPr>
        <w:t xml:space="preserve">, </w:t>
      </w:r>
      <w:hyperlink r:id="rId55">
        <w:r>
          <w:rPr>
            <w:rFonts w:ascii="Times New Roman" w:cs="Times New Roman" w:eastAsia="Times New Roman" w:hAnsi="Times New Roman"/>
            <w:sz w:val="18"/>
            <w:szCs w:val="18"/>
            <w:u w:val="single" w:color="auto"/>
            <w:color w:val="0000EE"/>
          </w:rPr>
          <w:t>December 29, 2022</w:t>
        </w:r>
      </w:hyperlink>
      <w:r>
        <w:rPr>
          <w:rFonts w:ascii="Times New Roman" w:cs="Times New Roman" w:eastAsia="Times New Roman" w:hAnsi="Times New Roman"/>
          <w:sz w:val="18"/>
          <w:szCs w:val="18"/>
          <w:color w:val="000000"/>
        </w:rPr>
        <w:t xml:space="preserve">, </w:t>
      </w:r>
      <w:hyperlink r:id="rId56">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(excluding information furnished pursuant to Item 7.01) (excluding information furnished pursuant to Items 2.02 or 7.01, or corresponding information furnished under Item 9.01 or included as an exhibit) and </w:t>
      </w:r>
      <w:hyperlink r:id="rId57">
        <w:r>
          <w:rPr>
            <w:rFonts w:ascii="Times New Roman" w:cs="Times New Roman" w:eastAsia="Times New Roman" w:hAnsi="Times New Roman"/>
            <w:sz w:val="18"/>
            <w:szCs w:val="18"/>
            <w:u w:val="single" w:color="auto"/>
            <w:color w:val="0000EE"/>
          </w:rPr>
          <w:t>January 25, 2023</w:t>
        </w:r>
      </w:hyperlink>
      <w:r>
        <w:rPr>
          <w:rFonts w:ascii="Times New Roman" w:cs="Times New Roman" w:eastAsia="Times New Roman" w:hAnsi="Times New Roman"/>
          <w:sz w:val="18"/>
          <w:szCs w:val="18"/>
          <w:color w:val="000000"/>
        </w:rPr>
        <w:t>; and</w:t>
      </w:r>
    </w:p>
    <w:p>
      <w:pPr>
        <w:spacing w:after="0" w:line="88" w:lineRule="exact"/>
        <w:rPr>
          <w:rFonts w:ascii="Times New Roman" w:cs="Times New Roman" w:eastAsia="Times New Roman" w:hAnsi="Times New Roman"/>
          <w:sz w:val="18"/>
          <w:szCs w:val="18"/>
          <w:color w:val="000000"/>
        </w:rPr>
      </w:pPr>
    </w:p>
    <w:p>
      <w:pPr>
        <w:ind w:left="10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8">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5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4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60">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26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 base prospectus, and you should not consider any information on, or that can be accessed from, our website as part of this prospectus supplement or the accompanying base prospectus.</w:t>
      </w:r>
    </w:p>
    <w:p>
      <w:pPr>
        <w:spacing w:after="0" w:line="9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base prospectus.</w:t>
      </w:r>
    </w:p>
    <w:p>
      <w:pPr>
        <w:spacing w:after="0" w:line="176"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$300,000,000 in aggregate principal amount of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January 13, 2023, the closing price of our common stock, as reported on The Nasdaq Global Market, was $19.25 per share.</w:t>
      </w:r>
    </w:p>
    <w:p>
      <w:pPr>
        <w:spacing w:after="0" w:line="256" w:lineRule="exact"/>
        <w:rPr>
          <w:sz w:val="20"/>
          <w:szCs w:val="20"/>
          <w:color w:val="auto"/>
        </w:rPr>
      </w:pPr>
    </w:p>
    <w:p>
      <w:pPr>
        <w:ind w:left="120" w:right="26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24, 2023.</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the SEC, using a “shelf” registration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for an aggregate offering amount of up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2021, filed with the SEC on </w:t>
      </w:r>
      <w:hyperlink r:id="rId4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46">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 xml:space="preserve">November 11,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60" w:hanging="424"/>
        <w:spacing w:after="0" w:line="261" w:lineRule="auto"/>
        <w:tabs>
          <w:tab w:leader="none" w:pos="1080" w:val="left"/>
        </w:tabs>
        <w:numPr>
          <w:ilvl w:val="0"/>
          <w:numId w:val="10"/>
        </w:numPr>
        <w:rPr>
          <w:rFonts w:ascii="Times New Roman" w:cs="Times New Roman" w:eastAsia="Times New Roman" w:hAnsi="Times New Roman"/>
          <w:sz w:val="18"/>
          <w:szCs w:val="18"/>
          <w:color w:val="000000"/>
        </w:rPr>
      </w:pPr>
      <w:hyperlink r:id="rId49">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 xml:space="preserve">February 28, 2022 </w:t>
        </w:r>
      </w:hyperlink>
      <w:hyperlink r:id="rId49">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April 5, 2022</w:t>
        </w:r>
      </w:hyperlink>
      <w:hyperlink r:id="rId4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August 10, 2022 </w:t>
        </w:r>
      </w:hyperlink>
      <w:hyperlink r:id="rId49">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pursuant to Item 7.01), </w:t>
      </w:r>
      <w:hyperlink r:id="rId53">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54">
        <w:r>
          <w:rPr>
            <w:rFonts w:ascii="Times New Roman" w:cs="Times New Roman" w:eastAsia="Times New Roman" w:hAnsi="Times New Roman"/>
            <w:sz w:val="18"/>
            <w:szCs w:val="18"/>
            <w:u w:val="single" w:color="auto"/>
            <w:color w:val="0000EE"/>
          </w:rPr>
          <w:t>December 28,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55">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information furnished pursuant to Items 2.02 or 7.01, or corresponding information furnished under Item 9.01 or included as an exhibit); and</w:t>
      </w:r>
    </w:p>
    <w:p>
      <w:pPr>
        <w:spacing w:after="0" w:line="85" w:lineRule="exact"/>
        <w:rPr>
          <w:rFonts w:ascii="Times New Roman" w:cs="Times New Roman" w:eastAsia="Times New Roman" w:hAnsi="Times New Roman"/>
          <w:sz w:val="18"/>
          <w:szCs w:val="18"/>
          <w:color w:val="000000"/>
        </w:rPr>
      </w:pPr>
    </w:p>
    <w:p>
      <w:pPr>
        <w:ind w:left="1080" w:right="4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8">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5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58">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60">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6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8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Lastly, we are developing a Matriptase-2 inhibitor as part of our iron homeostasis portfolio, which is designed to induce hepcidin production and reduce serum iron levels. Preclinical data has demonstrated positive results,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in the process of identifying and optimizing a development candidate in our Matriptase-2 inhibitor program. If successful, we expect to designate a lead candidate and commence IND-enabling studies.</w:t>
      </w:r>
      <w:r>
        <w:rPr>
          <w:rFonts w:ascii="Times New Roman" w:cs="Times New Roman" w:eastAsia="Times New Roman" w:hAnsi="Times New Roman"/>
          <w:sz w:val="18"/>
          <w:szCs w:val="18"/>
          <w:b w:val="1"/>
          <w:bCs w:val="1"/>
          <w:color w:val="auto"/>
        </w:rPr>
        <w:t>Corporate Information</w:t>
      </w:r>
      <w:r>
        <w:rPr>
          <w:rFonts w:ascii="Times New Roman" w:cs="Times New Roman" w:eastAsia="Times New Roman" w:hAnsi="Times New Roman"/>
          <w:sz w:val="18"/>
          <w:szCs w:val="18"/>
          <w:color w:val="auto"/>
        </w:rPr>
        <w:t xml:space="preserve"> 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right="380"/>
        <w:spacing w:after="0" w:line="257" w:lineRule="auto"/>
        <w:rPr>
          <w:sz w:val="20"/>
          <w:szCs w:val="20"/>
          <w:color w:val="auto"/>
        </w:rPr>
      </w:pPr>
      <w:r>
        <w:rPr>
          <w:rFonts w:ascii="Times New Roman" w:cs="Times New Roman" w:eastAsia="Times New Roman" w:hAnsi="Times New Roman"/>
          <w:sz w:val="18"/>
          <w:szCs w:val="18"/>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contained in, or incorporated by reference into, any prospectus supplement relating to specific offerings of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(15,231)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1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37,564,936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43,091,822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39,427,476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5" w:right="1440" w:bottom="1440" w:gutter="0" w:footer="0" w:header="0"/>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11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(71,869)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4,036,230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1,511,512</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4,320,815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1,556,538</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4,321,280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3,202,716</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4,322,715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4,300,214</w:t>
            </w:r>
          </w:p>
        </w:tc>
        <w:tc>
          <w:tcPr>
            <w:tcW w:w="0" w:type="dxa"/>
            <w:vAlign w:val="bottom"/>
          </w:tcPr>
          <w:p>
            <w:pPr>
              <w:spacing w:after="0"/>
              <w:rPr>
                <w:sz w:val="1"/>
                <w:szCs w:val="1"/>
                <w:color w:val="auto"/>
              </w:rPr>
            </w:pPr>
          </w:p>
        </w:tc>
      </w:tr>
      <w:tr>
        <w:trPr>
          <w:trHeight w:val="346"/>
        </w:trPr>
        <w:tc>
          <w:tcPr>
            <w:tcW w:w="45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4,323,052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4,304,185</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4,322,171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3,756,493</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4,326,461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4,309,182</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4,323,617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3,942,747</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46"/>
        </w:trPr>
        <w:tc>
          <w:tcPr>
            <w:tcW w:w="45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320" w:top="455" w:right="8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w:t>
      </w:r>
    </w:p>
    <w:p>
      <w:pPr>
        <w:spacing w:after="0" w:line="180"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as of September 30, 2022, were based on Disc Medicine, Inc.’s historical consolidated financial statements and Gemini Therapeutics, Inc.’s (“Gemini”) historical consolidated financial statements as adjusted to give effect to</w:t>
      </w:r>
    </w:p>
    <w:p>
      <w:pPr>
        <w:spacing w:after="0" w:line="1" w:lineRule="exact"/>
        <w:rPr>
          <w:sz w:val="20"/>
          <w:szCs w:val="20"/>
          <w:color w:val="auto"/>
        </w:rPr>
      </w:pPr>
    </w:p>
    <w:p>
      <w:pPr>
        <w:ind w:left="120" w:hanging="4"/>
        <w:spacing w:after="0" w:line="25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60"/>
        <w:spacing w:after="0" w:line="29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 and registrar’s address is One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10004.</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250" w:lineRule="exact"/>
        <w:rPr>
          <w:sz w:val="20"/>
          <w:szCs w:val="20"/>
          <w:color w:val="auto"/>
        </w:rPr>
      </w:pPr>
    </w:p>
    <w:p>
      <w:pPr>
        <w:ind w:left="1080" w:right="2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No later than 45 calendar days following the completion of the merger as contemplated by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February 5, 2021, and following the expiration of any lock-up to which an Investor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60" w:hanging="424"/>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3" w:lineRule="exact"/>
        <w:rPr>
          <w:sz w:val="20"/>
          <w:szCs w:val="20"/>
          <w:color w:val="auto"/>
        </w:rPr>
      </w:pPr>
    </w:p>
    <w:p>
      <w:pPr>
        <w:ind w:left="1080" w:right="20" w:hanging="424"/>
        <w:spacing w:after="0" w:line="25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Under the 2021 Registration Rights Agreement, each Investor was required to enter into a customary lockup agreement restricting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4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643890</wp:posOffset>
            </wp:positionV>
            <wp:extent cx="3703320" cy="565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3703320" cy="5657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1,488,166 Shares of Common Stock</w:t>
      </w:r>
    </w:p>
    <w:p>
      <w:pPr>
        <w:spacing w:after="0" w:line="2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5"/>
          <w:szCs w:val="25"/>
          <w:b w:val="1"/>
          <w:bCs w:val="1"/>
          <w:color w:val="auto"/>
        </w:rPr>
        <w:t>Pre-Funded Warrants to Purchase 1,229,224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753110</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Roman"/>
      <w:start w:val="2"/>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617"/>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lvl w:ilvl="1">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jpe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45" Type="http://schemas.openxmlformats.org/officeDocument/2006/relationships/hyperlink" Target="http://www.sec.gov/ix?doc=/Archives/edgar/data/1816736/000095017022003288/gmtx-20211231.htm" TargetMode="External"/><Relationship Id="rId46" Type="http://schemas.openxmlformats.org/officeDocument/2006/relationships/hyperlink" Target="http://www.sec.gov/ix?doc=/Archives/edgar/data/1816736/000095017022008015/gmtx-20220331.htm" TargetMode="External"/><Relationship Id="rId47" Type="http://schemas.openxmlformats.org/officeDocument/2006/relationships/hyperlink" Target="http://www.sec.gov/ix?doc=/Archives/edgar/data/1816736/000095017022016671/gmtx-20220630.htm" TargetMode="External"/><Relationship Id="rId48" Type="http://schemas.openxmlformats.org/officeDocument/2006/relationships/hyperlink" Target="http://www.sec.gov/ix?doc=/Archives/edgar/data/1816736/000095017022024195/gmtx-20220930.htm" TargetMode="External"/><Relationship Id="rId49" Type="http://schemas.openxmlformats.org/officeDocument/2006/relationships/hyperlink" Target="http://www.sec.gov/ix?doc=/Archives/edgar/data/1816736/000119312522009374/d237658d8k.htm" TargetMode="External"/><Relationship Id="rId50" Type="http://schemas.openxmlformats.org/officeDocument/2006/relationships/hyperlink" Target="http://www.sec.gov/ix?doc=/Archives/edgar/data/1816736/000119312522055899/d29362d8k.htm" TargetMode="External"/><Relationship Id="rId51" Type="http://schemas.openxmlformats.org/officeDocument/2006/relationships/hyperlink" Target="http://www.sec.gov/ix?doc=/Archives/edgar/data/1816736/000119312522095633/d345871d8k.htm" TargetMode="External"/><Relationship Id="rId52" Type="http://schemas.openxmlformats.org/officeDocument/2006/relationships/hyperlink" Target="http://www.sec.gov/ix?doc=/Archives/edgar/data/1816736/000119312522216814/d94880d8k.htm" TargetMode="External"/><Relationship Id="rId53" Type="http://schemas.openxmlformats.org/officeDocument/2006/relationships/hyperlink" Target="http://www.sec.gov/ix?doc=/Archives/edgar/data/1816736/000119312522301064/d425106d8k.htm" TargetMode="External"/><Relationship Id="rId54" Type="http://schemas.openxmlformats.org/officeDocument/2006/relationships/hyperlink" Target="http://www.sec.gov/ix?doc=/Archives/edgar/data/1816736/000114036122047153/brhc10045909_8k.htm" TargetMode="External"/><Relationship Id="rId55" Type="http://schemas.openxmlformats.org/officeDocument/2006/relationships/hyperlink" Target="http://www.sec.gov/ix?doc=/Archives/edgar/data/1816736/000114036122047453/brhc10045896_8k.htm" TargetMode="External"/><Relationship Id="rId56" Type="http://schemas.openxmlformats.org/officeDocument/2006/relationships/hyperlink" Target="http://www.sec.gov/ix?doc=/Archives/edgar/data/1816736/000119312523012530/d447304d8k.htm" TargetMode="External"/><Relationship Id="rId57" Type="http://schemas.openxmlformats.org/officeDocument/2006/relationships/hyperlink" Target="http://www.sec.gov/ix?doc=/Archives/edgar/data/1816736/000119312523015225/d456405d8k.htm" TargetMode="External"/><Relationship Id="rId58" Type="http://schemas.openxmlformats.org/officeDocument/2006/relationships/hyperlink" Target="http://www.sec.gov/Archives/edgar/data/1816736/000121390020021145/ea125295-8a12b_fsdevelop.htm" TargetMode="External"/><Relationship Id="rId59" Type="http://schemas.openxmlformats.org/officeDocument/2006/relationships/hyperlink" Target="http://www.sec.gov/Archives/edgar/data/1816736/000095017022003288/gmtx-ex4_4.htm" TargetMode="External"/><Relationship Id="rId60" Type="http://schemas.openxmlformats.org/officeDocument/2006/relationships/hyperlink" Target="http://www.sec.gov/Archives/edgar/data/1816736/000114036122043943/ny20005172x8_s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2023-02-14T06:25:42Z</dcterms:created>
  <dcterms:modified xsi:type="dcterms:W3CDTF">2023-02-14T06:25:42Z</dcterms:modified>
</cp:coreProperties>
</file>