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9</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(To prospectus dated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107188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880"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both"/>
        <w:spacing w:after="0" w:line="279" w:lineRule="auto"/>
        <w:rPr>
          <w:sz w:val="20"/>
          <w:szCs w:val="20"/>
          <w:color w:val="auto"/>
        </w:rPr>
      </w:pPr>
      <w:r>
        <w:rPr>
          <w:rFonts w:ascii="Arial" w:cs="Arial" w:eastAsia="Arial" w:hAnsi="Arial"/>
          <w:sz w:val="18"/>
          <w:szCs w:val="18"/>
          <w:color w:val="auto"/>
        </w:rPr>
        <w:t>This prospectus supplement no. 8 amends and supplements the prospectus dated May 12, 2021, relating to the offering and resale by the selling stockholders identified in the prospectus of up to 29,368,920 shares of our common stock, par value $0.0001 per share (as supplemented or amended from time to time, the “Prospectus”).</w:t>
      </w:r>
    </w:p>
    <w:p>
      <w:pPr>
        <w:spacing w:after="0" w:line="183" w:lineRule="exact"/>
        <w:rPr>
          <w:sz w:val="24"/>
          <w:szCs w:val="24"/>
          <w:color w:val="auto"/>
        </w:rPr>
      </w:pPr>
    </w:p>
    <w:p>
      <w:pPr>
        <w:jc w:val="both"/>
        <w:spacing w:after="0" w:line="293" w:lineRule="auto"/>
        <w:rPr>
          <w:sz w:val="20"/>
          <w:szCs w:val="20"/>
          <w:color w:val="auto"/>
        </w:rPr>
      </w:pPr>
      <w:r>
        <w:rPr>
          <w:rFonts w:ascii="Arial" w:cs="Arial" w:eastAsia="Arial" w:hAnsi="Arial"/>
          <w:sz w:val="18"/>
          <w:szCs w:val="18"/>
          <w:color w:val="auto"/>
        </w:rPr>
        <w:t>This prospectus supplement incorporates into the Prospectus the information contained in our attached quarterly report on Form 10-Q, which was filed with the Securities and Exchange Commission on November 15, 2021.</w:t>
      </w:r>
    </w:p>
    <w:p>
      <w:pPr>
        <w:spacing w:after="0" w:line="170" w:lineRule="exact"/>
        <w:rPr>
          <w:sz w:val="24"/>
          <w:szCs w:val="24"/>
          <w:color w:val="auto"/>
        </w:rPr>
      </w:pPr>
    </w:p>
    <w:p>
      <w:pPr>
        <w:jc w:val="both"/>
        <w:spacing w:after="0" w:line="279"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w:t>
      </w:r>
    </w:p>
    <w:p>
      <w:pPr>
        <w:spacing w:after="0" w:line="183" w:lineRule="exact"/>
        <w:rPr>
          <w:sz w:val="24"/>
          <w:szCs w:val="24"/>
          <w:color w:val="auto"/>
        </w:rPr>
      </w:pPr>
    </w:p>
    <w:p>
      <w:pPr>
        <w:jc w:val="both"/>
        <w:spacing w:after="0" w:line="293"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supplements and amendments thereto.</w:t>
      </w:r>
    </w:p>
    <w:p>
      <w:pPr>
        <w:spacing w:after="0" w:line="170" w:lineRule="exact"/>
        <w:rPr>
          <w:sz w:val="24"/>
          <w:szCs w:val="24"/>
          <w:color w:val="auto"/>
        </w:rPr>
      </w:pPr>
    </w:p>
    <w:p>
      <w:pPr>
        <w:jc w:val="both"/>
        <w:ind w:right="20"/>
        <w:spacing w:after="0" w:line="293" w:lineRule="auto"/>
        <w:rPr>
          <w:sz w:val="20"/>
          <w:szCs w:val="20"/>
          <w:color w:val="auto"/>
        </w:rPr>
      </w:pPr>
      <w:r>
        <w:rPr>
          <w:rFonts w:ascii="Arial" w:cs="Arial" w:eastAsia="Arial" w:hAnsi="Arial"/>
          <w:sz w:val="18"/>
          <w:szCs w:val="18"/>
          <w:color w:val="auto"/>
        </w:rPr>
        <w:t>Our common stock is listed on the NASDAQ Global Market under the symbol “GMTX.” On November 12, 2021, the last reported sale price of our common stock on the NASDAQ Global Market was $3.42.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Investment in our common stock involves risks. See “Risk Factors” beginning on page 10 of the Prospectus.</w:t>
      </w:r>
    </w:p>
    <w:p>
      <w:pPr>
        <w:spacing w:after="0" w:line="239" w:lineRule="exact"/>
        <w:rPr>
          <w:sz w:val="24"/>
          <w:szCs w:val="24"/>
          <w:color w:val="auto"/>
        </w:rPr>
      </w:pPr>
    </w:p>
    <w:p>
      <w:pPr>
        <w:jc w:val="both"/>
        <w:spacing w:after="0" w:line="32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November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1264920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406400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13" w:lineRule="exact"/>
        <w:rPr>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0"/>
          <w:szCs w:val="20"/>
          <w:color w:val="auto"/>
        </w:rPr>
      </w:pPr>
    </w:p>
    <w:p>
      <w:pPr>
        <w:ind w:left="2420" w:right="1720" w:hanging="2412"/>
        <w:spacing w:after="0" w:line="314" w:lineRule="auto"/>
        <w:tabs>
          <w:tab w:leader="none" w:pos="358"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_____________________ to _____________________</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40"/>
          <w:szCs w:val="40"/>
          <w:b w:val="1"/>
          <w:bCs w:val="1"/>
          <w:color w:val="auto"/>
        </w:rPr>
        <w:t>GEMINI THERAPEUTICS, INC.</w:t>
      </w:r>
    </w:p>
    <w:p>
      <w:pPr>
        <w:spacing w:after="0" w:line="96"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632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100" w:type="dxa"/>
            <w:vAlign w:val="bottom"/>
          </w:tcPr>
          <w:p>
            <w:pPr>
              <w:spacing w:after="0"/>
              <w:rPr>
                <w:sz w:val="20"/>
                <w:szCs w:val="20"/>
                <w:color w:val="auto"/>
              </w:rPr>
            </w:pPr>
          </w:p>
        </w:tc>
      </w:tr>
      <w:tr>
        <w:trPr>
          <w:trHeight w:val="81"/>
        </w:trPr>
        <w:tc>
          <w:tcPr>
            <w:tcW w:w="30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37"/>
        </w:trPr>
        <w:tc>
          <w:tcPr>
            <w:tcW w:w="632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91"/>
              </w:rPr>
              <w:t>Delaware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85-1612845</w:t>
            </w:r>
          </w:p>
        </w:tc>
      </w:tr>
      <w:tr>
        <w:trPr>
          <w:trHeight w:val="184"/>
        </w:trPr>
        <w:tc>
          <w:tcPr>
            <w:tcW w:w="6320" w:type="dxa"/>
            <w:vAlign w:val="bottom"/>
            <w:gridSpan w:val="3"/>
          </w:tcPr>
          <w:p>
            <w:pPr>
              <w:jc w:val="center"/>
              <w:ind w:right="3680"/>
              <w:spacing w:after="0"/>
              <w:rPr>
                <w:sz w:val="20"/>
                <w:szCs w:val="20"/>
                <w:color w:val="auto"/>
              </w:rPr>
            </w:pPr>
            <w:r>
              <w:rPr>
                <w:rFonts w:ascii="Arial" w:cs="Arial" w:eastAsia="Arial" w:hAnsi="Arial"/>
                <w:sz w:val="13"/>
                <w:szCs w:val="13"/>
                <w:b w:val="1"/>
                <w:bCs w:val="1"/>
                <w:color w:val="auto"/>
                <w:w w:val="87"/>
              </w:rPr>
              <w:t>( State or other jurisdiction of</w:t>
            </w:r>
          </w:p>
        </w:tc>
        <w:tc>
          <w:tcPr>
            <w:tcW w:w="1100" w:type="dxa"/>
            <w:vAlign w:val="bottom"/>
          </w:tcPr>
          <w:p>
            <w:pPr>
              <w:jc w:val="center"/>
              <w:ind w:left="46"/>
              <w:spacing w:after="0"/>
              <w:rPr>
                <w:sz w:val="20"/>
                <w:szCs w:val="20"/>
                <w:color w:val="auto"/>
              </w:rPr>
            </w:pPr>
            <w:r>
              <w:rPr>
                <w:rFonts w:ascii="Arial" w:cs="Arial" w:eastAsia="Arial" w:hAnsi="Arial"/>
                <w:sz w:val="13"/>
                <w:szCs w:val="13"/>
                <w:b w:val="1"/>
                <w:bCs w:val="1"/>
                <w:color w:val="auto"/>
                <w:w w:val="90"/>
              </w:rPr>
              <w:t>(I.R.S. Employer</w:t>
            </w:r>
          </w:p>
        </w:tc>
      </w:tr>
      <w:tr>
        <w:trPr>
          <w:trHeight w:val="167"/>
        </w:trPr>
        <w:tc>
          <w:tcPr>
            <w:tcW w:w="6320" w:type="dxa"/>
            <w:vAlign w:val="bottom"/>
            <w:gridSpan w:val="3"/>
          </w:tcPr>
          <w:p>
            <w:pPr>
              <w:jc w:val="center"/>
              <w:ind w:right="3680"/>
              <w:spacing w:after="0"/>
              <w:rPr>
                <w:sz w:val="20"/>
                <w:szCs w:val="20"/>
                <w:color w:val="auto"/>
              </w:rPr>
            </w:pPr>
            <w:r>
              <w:rPr>
                <w:rFonts w:ascii="Arial" w:cs="Arial" w:eastAsia="Arial" w:hAnsi="Arial"/>
                <w:sz w:val="13"/>
                <w:szCs w:val="13"/>
                <w:b w:val="1"/>
                <w:bCs w:val="1"/>
                <w:color w:val="auto"/>
                <w:w w:val="88"/>
              </w:rPr>
              <w:t>incorporation or organization)</w:t>
            </w:r>
          </w:p>
        </w:tc>
        <w:tc>
          <w:tcPr>
            <w:tcW w:w="1100" w:type="dxa"/>
            <w:vAlign w:val="bottom"/>
          </w:tcPr>
          <w:p>
            <w:pPr>
              <w:jc w:val="center"/>
              <w:ind w:left="46"/>
              <w:spacing w:after="0"/>
              <w:rPr>
                <w:sz w:val="20"/>
                <w:szCs w:val="20"/>
                <w:color w:val="auto"/>
              </w:rPr>
            </w:pPr>
            <w:r>
              <w:rPr>
                <w:rFonts w:ascii="Arial" w:cs="Arial" w:eastAsia="Arial" w:hAnsi="Arial"/>
                <w:sz w:val="13"/>
                <w:szCs w:val="13"/>
                <w:b w:val="1"/>
                <w:bCs w:val="1"/>
                <w:color w:val="auto"/>
                <w:w w:val="89"/>
              </w:rPr>
              <w:t>Identification No.)</w:t>
            </w:r>
          </w:p>
        </w:tc>
      </w:tr>
      <w:tr>
        <w:trPr>
          <w:trHeight w:val="265"/>
        </w:trPr>
        <w:tc>
          <w:tcPr>
            <w:tcW w:w="6320" w:type="dxa"/>
            <w:vAlign w:val="bottom"/>
            <w:gridSpan w:val="3"/>
          </w:tcPr>
          <w:p>
            <w:pPr>
              <w:jc w:val="center"/>
              <w:ind w:right="3680"/>
              <w:spacing w:after="0" w:line="265" w:lineRule="exact"/>
              <w:rPr>
                <w:sz w:val="20"/>
                <w:szCs w:val="20"/>
                <w:color w:val="auto"/>
              </w:rPr>
            </w:pPr>
            <w:r>
              <w:rPr>
                <w:rFonts w:ascii="Arial" w:cs="Arial" w:eastAsia="Arial" w:hAnsi="Arial"/>
                <w:sz w:val="18"/>
                <w:szCs w:val="18"/>
                <w:b w:val="1"/>
                <w:bCs w:val="1"/>
                <w:color w:val="auto"/>
                <w:w w:val="90"/>
              </w:rPr>
              <w:t>300 One Kendall Square, 3</w:t>
            </w:r>
            <w:r>
              <w:rPr>
                <w:rFonts w:ascii="Arial" w:cs="Arial" w:eastAsia="Arial" w:hAnsi="Arial"/>
                <w:sz w:val="24"/>
                <w:szCs w:val="24"/>
                <w:b w:val="1"/>
                <w:bCs w:val="1"/>
                <w:color w:val="auto"/>
                <w:w w:val="90"/>
                <w:vertAlign w:val="superscript"/>
              </w:rPr>
              <w:t>rd</w:t>
            </w:r>
            <w:r>
              <w:rPr>
                <w:rFonts w:ascii="Arial" w:cs="Arial" w:eastAsia="Arial" w:hAnsi="Arial"/>
                <w:sz w:val="18"/>
                <w:szCs w:val="18"/>
                <w:b w:val="1"/>
                <w:bCs w:val="1"/>
                <w:color w:val="auto"/>
                <w:w w:val="90"/>
              </w:rPr>
              <w:t xml:space="preserve"> Floor</w:t>
            </w:r>
          </w:p>
        </w:tc>
        <w:tc>
          <w:tcPr>
            <w:tcW w:w="1100" w:type="dxa"/>
            <w:vAlign w:val="bottom"/>
          </w:tcPr>
          <w:p>
            <w:pPr>
              <w:spacing w:after="0"/>
              <w:rPr>
                <w:sz w:val="23"/>
                <w:szCs w:val="23"/>
                <w:color w:val="auto"/>
              </w:rPr>
            </w:pPr>
          </w:p>
        </w:tc>
      </w:tr>
      <w:tr>
        <w:trPr>
          <w:trHeight w:val="234"/>
        </w:trPr>
        <w:tc>
          <w:tcPr>
            <w:tcW w:w="632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95"/>
              </w:rPr>
              <w:t>Cambridge, MA</w:t>
            </w:r>
          </w:p>
        </w:tc>
        <w:tc>
          <w:tcPr>
            <w:tcW w:w="1100" w:type="dxa"/>
            <w:vAlign w:val="bottom"/>
          </w:tcPr>
          <w:p>
            <w:pPr>
              <w:jc w:val="right"/>
              <w:ind w:right="186"/>
              <w:spacing w:after="0"/>
              <w:rPr>
                <w:sz w:val="20"/>
                <w:szCs w:val="20"/>
                <w:color w:val="auto"/>
              </w:rPr>
            </w:pPr>
            <w:r>
              <w:rPr>
                <w:rFonts w:ascii="Arial" w:cs="Arial" w:eastAsia="Arial" w:hAnsi="Arial"/>
                <w:sz w:val="18"/>
                <w:szCs w:val="18"/>
                <w:b w:val="1"/>
                <w:bCs w:val="1"/>
                <w:color w:val="auto"/>
              </w:rPr>
              <w:t>02139</w:t>
            </w:r>
          </w:p>
        </w:tc>
      </w:tr>
      <w:tr>
        <w:trPr>
          <w:trHeight w:val="186"/>
        </w:trPr>
        <w:tc>
          <w:tcPr>
            <w:tcW w:w="6320" w:type="dxa"/>
            <w:vAlign w:val="bottom"/>
            <w:gridSpan w:val="3"/>
          </w:tcPr>
          <w:p>
            <w:pPr>
              <w:jc w:val="center"/>
              <w:ind w:right="368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100" w:type="dxa"/>
            <w:vAlign w:val="bottom"/>
          </w:tcPr>
          <w:p>
            <w:pPr>
              <w:jc w:val="center"/>
              <w:ind w:left="46"/>
              <w:spacing w:after="0"/>
              <w:rPr>
                <w:sz w:val="20"/>
                <w:szCs w:val="20"/>
                <w:color w:val="auto"/>
              </w:rPr>
            </w:pPr>
            <w:r>
              <w:rPr>
                <w:rFonts w:ascii="Arial" w:cs="Arial" w:eastAsia="Arial" w:hAnsi="Arial"/>
                <w:sz w:val="13"/>
                <w:szCs w:val="13"/>
                <w:b w:val="1"/>
                <w:bCs w:val="1"/>
                <w:color w:val="auto"/>
                <w:w w:val="90"/>
              </w:rPr>
              <w:t>(Zip Code)</w:t>
            </w:r>
          </w:p>
        </w:tc>
      </w:tr>
    </w:tbl>
    <w:p>
      <w:pPr>
        <w:spacing w:after="0" w:line="10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401-4400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192"/>
        </w:trPr>
        <w:tc>
          <w:tcPr>
            <w:tcW w:w="450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500" w:type="dxa"/>
            <w:vAlign w:val="bottom"/>
          </w:tcPr>
          <w:p>
            <w:pPr>
              <w:ind w:left="20"/>
              <w:spacing w:after="0"/>
              <w:rPr>
                <w:sz w:val="20"/>
                <w:szCs w:val="20"/>
                <w:color w:val="auto"/>
              </w:rPr>
            </w:pPr>
            <w:r>
              <w:rPr>
                <w:rFonts w:ascii="Arial" w:cs="Arial" w:eastAsia="Arial" w:hAnsi="Arial"/>
                <w:sz w:val="16"/>
                <w:szCs w:val="16"/>
                <w:color w:val="auto"/>
              </w:rPr>
              <w:t>Common stock, par value $0.0001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GMTX</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04" w:lineRule="exact"/>
        <w:rPr>
          <w:sz w:val="20"/>
          <w:szCs w:val="20"/>
          <w:color w:val="auto"/>
        </w:rPr>
      </w:pPr>
    </w:p>
    <w:p>
      <w:pPr>
        <w:ind w:firstLine="509"/>
        <w:spacing w:after="0" w:line="22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3" w:lineRule="exact"/>
        <w:rPr>
          <w:sz w:val="20"/>
          <w:szCs w:val="20"/>
          <w:color w:val="auto"/>
        </w:rPr>
      </w:pPr>
    </w:p>
    <w:p>
      <w:pPr>
        <w:ind w:right="180" w:firstLine="509"/>
        <w:spacing w:after="0" w:line="23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11" w:lineRule="exact"/>
        <w:rPr>
          <w:sz w:val="20"/>
          <w:szCs w:val="20"/>
          <w:color w:val="auto"/>
        </w:rPr>
      </w:pPr>
    </w:p>
    <w:p>
      <w:pPr>
        <w:jc w:val="both"/>
        <w:ind w:right="30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00"/>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99"/>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2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0"/>
          <w:szCs w:val="20"/>
          <w:color w:val="auto"/>
        </w:rPr>
      </w:pPr>
    </w:p>
    <w:p>
      <w:pPr>
        <w:ind w:right="80" w:firstLine="50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0"/>
          <w:szCs w:val="20"/>
          <w:color w:val="auto"/>
        </w:rPr>
      </w:pPr>
    </w:p>
    <w:p>
      <w:pPr>
        <w:ind w:left="520" w:right="2120"/>
        <w:spacing w:after="0" w:line="248"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As of November 9, 2021, the registrant had 43,112,742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“anticipate,” “believe,” “contemplate,” “continue,” “could,” “estimate,” “expect,” “intends,” “may,” “might,” “plan,” “possible,” “potential,” “predict,” “project,” “seek,” “should,” “target,” “will,” “would” or the negative of these terms or similar expressions, but the absence of these words does not mean that a statement is not forward-looking.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results of operations, business strategy, short- and long-term business operations and objectives, and financial needs.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referenced in the section titled “Risk Factors” and elsewhere in this Quarterly Report on Form 10-Q.</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forward-looking statements are made only as of the date of this Quarterly Report on Form 10-Q.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Quarterly Report on Form 10-Q to conform these statements to actual results or to changes in our expectations.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 this Quarterly Report on Form 10-Q include, but are not limited to, statements about:</w:t>
      </w:r>
    </w:p>
    <w:p>
      <w:pPr>
        <w:spacing w:after="0" w:line="239"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the ability of our clinical trials to demonstrate acceptable safety and efficacy of our product candidates, including GEM103, our lead product candidate, and other positive results;</w:t>
      </w:r>
    </w:p>
    <w:p>
      <w:pPr>
        <w:spacing w:after="0" w:line="170" w:lineRule="exact"/>
        <w:rPr>
          <w:sz w:val="20"/>
          <w:szCs w:val="20"/>
          <w:color w:val="auto"/>
        </w:rPr>
      </w:pPr>
    </w:p>
    <w:p>
      <w:pPr>
        <w:ind w:left="700"/>
        <w:spacing w:after="0" w:line="359" w:lineRule="auto"/>
        <w:rPr>
          <w:sz w:val="20"/>
          <w:szCs w:val="20"/>
          <w:color w:val="auto"/>
        </w:rPr>
      </w:pPr>
      <w:r>
        <w:rPr>
          <w:rFonts w:ascii="Arial" w:cs="Arial" w:eastAsia="Arial" w:hAnsi="Arial"/>
          <w:sz w:val="16"/>
          <w:szCs w:val="16"/>
          <w:color w:val="auto"/>
        </w:rPr>
        <w:t>the timing, progress and results of our ongoing and planned clinical trials for GEM103 and our other product candidates, including statements regarding the timing of initiation and completion of studies or trials and related preparatory work and of anticipated result from these trials,</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period during which the results of the trials will become available, and our research and development programs;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timing, scope and likelihood of regulatory filings;</w:t>
      </w:r>
    </w:p>
    <w:p>
      <w:pPr>
        <w:spacing w:after="0" w:line="239"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our ability to obtain and maintain marketing approvals of our product candidates and to meet existing or future regulatory standards or comply with post-approval requirements;</w:t>
      </w:r>
    </w:p>
    <w:p>
      <w:pPr>
        <w:spacing w:after="0" w:line="170"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commercialization, marketing and manufacturing capabilities and strategy;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intellectual property position and expectations regarding our ability to obtain and maintain intellectual property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line="293" w:lineRule="auto"/>
        <w:rPr>
          <w:sz w:val="20"/>
          <w:szCs w:val="20"/>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impact of government laws and regulations;</w:t>
      </w:r>
    </w:p>
    <w:p>
      <w:pPr>
        <w:spacing w:after="0" w:line="239"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our competitive position and expectations regarding developments and projections relating to our competitors and any competing therapies that are or become available;</w:t>
      </w:r>
    </w:p>
    <w:p>
      <w:pPr>
        <w:spacing w:after="0" w:line="170" w:lineRule="exact"/>
        <w:rPr>
          <w:sz w:val="20"/>
          <w:szCs w:val="20"/>
          <w:color w:val="auto"/>
        </w:rPr>
      </w:pPr>
    </w:p>
    <w:p>
      <w:pPr>
        <w:ind w:right="2400"/>
        <w:spacing w:after="0" w:line="516" w:lineRule="auto"/>
        <w:rPr>
          <w:sz w:val="20"/>
          <w:szCs w:val="20"/>
          <w:color w:val="auto"/>
        </w:rPr>
      </w:pPr>
      <w:r>
        <w:rPr>
          <w:rFonts w:ascii="Arial" w:cs="Arial" w:eastAsia="Arial" w:hAnsi="Arial"/>
          <w:sz w:val="18"/>
          <w:szCs w:val="18"/>
          <w:color w:val="auto"/>
        </w:rPr>
        <w:t>developments and expectations regarding developments and projections relating to our competitors and industry; the possibility that we may be adversely impacted by other economic, business and/or competitive factors; future exchange and interest rates;</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our ability to contract with and rely on third parties to assist in conducting our clinical trials and manufacturing our product candidates (including sourcing our raw materials);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attract and retain key scientific, medical, commercial or management personnel;</w:t>
      </w:r>
    </w:p>
    <w:p>
      <w:pPr>
        <w:spacing w:after="0" w:line="239"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our estimates regarding expenses, costs and benefits associated with the restructuring, future revenue, capital requirements and needs for additional 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expectations regarding our cash runway;</w:t>
      </w:r>
    </w:p>
    <w:p>
      <w:pPr>
        <w:spacing w:after="0" w:line="239" w:lineRule="exact"/>
        <w:rPr>
          <w:sz w:val="20"/>
          <w:szCs w:val="20"/>
          <w:color w:val="auto"/>
        </w:rPr>
      </w:pPr>
    </w:p>
    <w:p>
      <w:pPr>
        <w:ind w:right="3280"/>
        <w:spacing w:after="0" w:line="543" w:lineRule="auto"/>
        <w:rPr>
          <w:sz w:val="20"/>
          <w:szCs w:val="20"/>
          <w:color w:val="auto"/>
        </w:rPr>
      </w:pPr>
      <w:r>
        <w:rPr>
          <w:rFonts w:ascii="Arial" w:cs="Arial" w:eastAsia="Arial" w:hAnsi="Arial"/>
          <w:sz w:val="18"/>
          <w:szCs w:val="18"/>
          <w:color w:val="auto"/>
        </w:rPr>
        <w:t>the ability to recognize the anticipated benefits of the Business Combination (as defined herein); and the potential impact of the COVID-19 pandemic on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36195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1020" w:top="58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PART I.</w:t>
            </w:r>
          </w:p>
        </w:tc>
        <w:tc>
          <w:tcPr>
            <w:tcW w:w="9300" w:type="dxa"/>
            <w:vAlign w:val="bottom"/>
            <w:gridSpan w:val="18"/>
          </w:tcPr>
          <w:p>
            <w:pPr>
              <w:spacing w:after="0" w:line="182" w:lineRule="exact"/>
              <w:rPr>
                <w:rFonts w:ascii="Arial" w:cs="Arial" w:eastAsia="Arial" w:hAnsi="Arial"/>
                <w:sz w:val="18"/>
                <w:szCs w:val="18"/>
                <w:color w:val="0563C1"/>
              </w:rPr>
            </w:pPr>
            <w:hyperlink w:anchor="page6">
              <w:r>
                <w:rPr>
                  <w:rFonts w:ascii="Arial" w:cs="Arial" w:eastAsia="Arial" w:hAnsi="Arial"/>
                  <w:sz w:val="18"/>
                  <w:szCs w:val="18"/>
                  <w:color w:val="0563C1"/>
                </w:rPr>
                <w:t>FINANCIAL INFORMATION</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563C1"/>
            </w:tcBorders>
            <w:gridSpan w:val="9"/>
          </w:tcPr>
          <w:p>
            <w:pPr>
              <w:spacing w:after="0"/>
              <w:rPr>
                <w:rFonts w:ascii="Arial" w:cs="Arial" w:eastAsia="Arial" w:hAnsi="Arial"/>
                <w:sz w:val="18"/>
                <w:szCs w:val="18"/>
                <w:color w:val="0563C1"/>
                <w:w w:val="89"/>
              </w:rPr>
            </w:pPr>
            <w:hyperlink w:anchor="page6">
              <w:r>
                <w:rPr>
                  <w:rFonts w:ascii="Arial" w:cs="Arial" w:eastAsia="Arial" w:hAnsi="Arial"/>
                  <w:sz w:val="18"/>
                  <w:szCs w:val="18"/>
                  <w:color w:val="0563C1"/>
                  <w:w w:val="89"/>
                </w:rPr>
                <w:t>Financial Statements (Unaudited)</w:t>
              </w:r>
            </w:hyperlink>
          </w:p>
        </w:tc>
        <w:tc>
          <w:tcPr>
            <w:tcW w:w="6880" w:type="dxa"/>
            <w:vAlign w:val="bottom"/>
            <w:gridSpan w:val="9"/>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563C1"/>
              </w:rPr>
            </w:pPr>
            <w:hyperlink w:anchor="page6">
              <w:r>
                <w:rPr>
                  <w:rFonts w:ascii="Arial" w:cs="Arial" w:eastAsia="Arial" w:hAnsi="Arial"/>
                  <w:sz w:val="18"/>
                  <w:szCs w:val="18"/>
                  <w:color w:val="0563C1"/>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20" w:type="dxa"/>
            <w:vAlign w:val="bottom"/>
            <w:tcBorders>
              <w:bottom w:val="single" w:sz="8" w:color="0563C1"/>
            </w:tcBorders>
            <w:gridSpan w:val="16"/>
          </w:tcPr>
          <w:p>
            <w:pPr>
              <w:spacing w:after="0"/>
              <w:rPr>
                <w:rFonts w:ascii="Arial" w:cs="Arial" w:eastAsia="Arial" w:hAnsi="Arial"/>
                <w:sz w:val="18"/>
                <w:szCs w:val="18"/>
                <w:color w:val="0563C1"/>
                <w:w w:val="88"/>
              </w:rPr>
            </w:pPr>
            <w:hyperlink w:anchor="page7">
              <w:r>
                <w:rPr>
                  <w:rFonts w:ascii="Arial" w:cs="Arial" w:eastAsia="Arial" w:hAnsi="Arial"/>
                  <w:sz w:val="18"/>
                  <w:szCs w:val="18"/>
                  <w:color w:val="0563C1"/>
                  <w:w w:val="88"/>
                </w:rPr>
                <w:t>Condensed Consolidated Statements of Operations and Comprehensive Loss</w:t>
              </w:r>
            </w:hyperlink>
          </w:p>
        </w:tc>
        <w:tc>
          <w:tcPr>
            <w:tcW w:w="378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60" w:type="dxa"/>
            <w:vAlign w:val="bottom"/>
            <w:tcBorders>
              <w:bottom w:val="single" w:sz="8" w:color="0563C1"/>
            </w:tcBorders>
            <w:gridSpan w:val="15"/>
          </w:tcPr>
          <w:p>
            <w:pPr>
              <w:spacing w:after="0"/>
              <w:rPr>
                <w:rFonts w:ascii="Arial" w:cs="Arial" w:eastAsia="Arial" w:hAnsi="Arial"/>
                <w:sz w:val="18"/>
                <w:szCs w:val="18"/>
                <w:color w:val="0563C1"/>
                <w:w w:val="91"/>
              </w:rPr>
            </w:pPr>
            <w:hyperlink w:anchor="page8">
              <w:r>
                <w:rPr>
                  <w:rFonts w:ascii="Arial" w:cs="Arial" w:eastAsia="Arial" w:hAnsi="Arial"/>
                  <w:sz w:val="18"/>
                  <w:szCs w:val="18"/>
                  <w:color w:val="0563C1"/>
                  <w:w w:val="91"/>
                </w:rPr>
                <w:t>Condensed Consolidated Statements of Stockholders’ Equity (Deficit)</w:t>
              </w:r>
            </w:hyperlink>
          </w:p>
        </w:tc>
        <w:tc>
          <w:tcPr>
            <w:tcW w:w="424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563C1"/>
              </w:rPr>
            </w:pPr>
            <w:hyperlink w:anchor="page10">
              <w:r>
                <w:rPr>
                  <w:rFonts w:ascii="Arial" w:cs="Arial" w:eastAsia="Arial" w:hAnsi="Arial"/>
                  <w:sz w:val="18"/>
                  <w:szCs w:val="18"/>
                  <w:color w:val="0563C1"/>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563C1"/>
              </w:rPr>
            </w:pPr>
            <w:hyperlink w:anchor="page11">
              <w:r>
                <w:rPr>
                  <w:rFonts w:ascii="Arial" w:cs="Arial" w:eastAsia="Arial" w:hAnsi="Arial"/>
                  <w:sz w:val="18"/>
                  <w:szCs w:val="18"/>
                  <w:color w:val="0563C1"/>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563C1"/>
            </w:tcBorders>
            <w:gridSpan w:val="17"/>
          </w:tcPr>
          <w:p>
            <w:pPr>
              <w:spacing w:after="0"/>
              <w:rPr>
                <w:rFonts w:ascii="Arial" w:cs="Arial" w:eastAsia="Arial" w:hAnsi="Arial"/>
                <w:sz w:val="18"/>
                <w:szCs w:val="18"/>
                <w:color w:val="0563C1"/>
                <w:w w:val="90"/>
              </w:rPr>
            </w:pPr>
            <w:hyperlink w:anchor="page27">
              <w:r>
                <w:rPr>
                  <w:rFonts w:ascii="Arial" w:cs="Arial" w:eastAsia="Arial" w:hAnsi="Arial"/>
                  <w:sz w:val="18"/>
                  <w:szCs w:val="18"/>
                  <w:color w:val="0563C1"/>
                  <w:w w:val="90"/>
                </w:rPr>
                <w:t>Management’s Discussion and Analysis of Financial Condition and Results of Operations</w:t>
              </w:r>
            </w:hyperlink>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563C1"/>
            </w:tcBorders>
            <w:gridSpan w:val="13"/>
          </w:tcPr>
          <w:p>
            <w:pPr>
              <w:spacing w:after="0"/>
              <w:rPr>
                <w:rFonts w:ascii="Arial" w:cs="Arial" w:eastAsia="Arial" w:hAnsi="Arial"/>
                <w:sz w:val="18"/>
                <w:szCs w:val="18"/>
                <w:color w:val="0563C1"/>
                <w:w w:val="92"/>
              </w:rPr>
            </w:pPr>
            <w:hyperlink w:anchor="page39">
              <w:r>
                <w:rPr>
                  <w:rFonts w:ascii="Arial" w:cs="Arial" w:eastAsia="Arial" w:hAnsi="Arial"/>
                  <w:sz w:val="18"/>
                  <w:szCs w:val="18"/>
                  <w:color w:val="0563C1"/>
                  <w:w w:val="92"/>
                </w:rPr>
                <w:t>Quantitative and Qualitative Disclosures About Market Risk</w:t>
              </w:r>
            </w:hyperlink>
          </w:p>
        </w:tc>
        <w:tc>
          <w:tcPr>
            <w:tcW w:w="494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563C1"/>
              </w:rPr>
            </w:pPr>
            <w:hyperlink w:anchor="page39">
              <w:r>
                <w:rPr>
                  <w:rFonts w:ascii="Arial" w:cs="Arial" w:eastAsia="Arial" w:hAnsi="Arial"/>
                  <w:sz w:val="18"/>
                  <w:szCs w:val="18"/>
                  <w:color w:val="0563C1"/>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vMerge w:val="continue"/>
          </w:tcPr>
          <w:p>
            <w:pPr>
              <w:spacing w:after="0"/>
              <w:rPr>
                <w:sz w:val="19"/>
                <w:szCs w:val="19"/>
                <w:color w:val="auto"/>
              </w:rPr>
            </w:pPr>
          </w:p>
        </w:tc>
        <w:tc>
          <w:tcPr>
            <w:tcW w:w="1880" w:type="dxa"/>
            <w:vAlign w:val="bottom"/>
            <w:tcBorders>
              <w:bottom w:val="single" w:sz="8" w:color="0563C1"/>
            </w:tcBorders>
            <w:gridSpan w:val="6"/>
          </w:tcPr>
          <w:p>
            <w:pPr>
              <w:spacing w:after="0"/>
              <w:rPr>
                <w:rFonts w:ascii="Arial" w:cs="Arial" w:eastAsia="Arial" w:hAnsi="Arial"/>
                <w:sz w:val="18"/>
                <w:szCs w:val="18"/>
                <w:color w:val="0563C1"/>
                <w:w w:val="95"/>
              </w:rPr>
            </w:pPr>
            <w:hyperlink w:anchor="page41">
              <w:r>
                <w:rPr>
                  <w:rFonts w:ascii="Arial" w:cs="Arial" w:eastAsia="Arial" w:hAnsi="Arial"/>
                  <w:sz w:val="18"/>
                  <w:szCs w:val="18"/>
                  <w:color w:val="0563C1"/>
                  <w:w w:val="95"/>
                </w:rPr>
                <w:t>OTHER INFORMATION</w:t>
              </w:r>
            </w:hyperlink>
          </w:p>
        </w:tc>
        <w:tc>
          <w:tcPr>
            <w:tcW w:w="742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563C1"/>
              </w:rPr>
            </w:pPr>
            <w:hyperlink w:anchor="page41">
              <w:r>
                <w:rPr>
                  <w:rFonts w:ascii="Arial" w:cs="Arial" w:eastAsia="Arial" w:hAnsi="Arial"/>
                  <w:sz w:val="18"/>
                  <w:szCs w:val="18"/>
                  <w:color w:val="0563C1"/>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563C1"/>
            </w:tcBorders>
            <w:gridSpan w:val="4"/>
          </w:tcPr>
          <w:p>
            <w:pPr>
              <w:spacing w:after="0"/>
              <w:rPr>
                <w:rFonts w:ascii="Arial" w:cs="Arial" w:eastAsia="Arial" w:hAnsi="Arial"/>
                <w:sz w:val="18"/>
                <w:szCs w:val="18"/>
                <w:color w:val="0563C1"/>
              </w:rPr>
            </w:pPr>
            <w:hyperlink w:anchor="page41">
              <w:r>
                <w:rPr>
                  <w:rFonts w:ascii="Arial" w:cs="Arial" w:eastAsia="Arial" w:hAnsi="Arial"/>
                  <w:sz w:val="18"/>
                  <w:szCs w:val="18"/>
                  <w:color w:val="0563C1"/>
                </w:rPr>
                <w:t>Risk Factors</w:t>
              </w:r>
            </w:hyperlink>
          </w:p>
        </w:tc>
        <w:tc>
          <w:tcPr>
            <w:tcW w:w="798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563C1"/>
              </w:rPr>
            </w:pPr>
            <w:hyperlink w:anchor="page41">
              <w:r>
                <w:rPr>
                  <w:rFonts w:ascii="Arial" w:cs="Arial" w:eastAsia="Arial" w:hAnsi="Arial"/>
                  <w:sz w:val="18"/>
                  <w:szCs w:val="18"/>
                  <w:color w:val="0563C1"/>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563C1"/>
              <w:bottom w:val="single" w:sz="8" w:color="0563C1"/>
            </w:tcBorders>
            <w:gridSpan w:val="8"/>
          </w:tcPr>
          <w:p>
            <w:pPr>
              <w:spacing w:after="0"/>
              <w:rPr>
                <w:rFonts w:ascii="Arial" w:cs="Arial" w:eastAsia="Arial" w:hAnsi="Arial"/>
                <w:sz w:val="18"/>
                <w:szCs w:val="18"/>
                <w:color w:val="0563C1"/>
                <w:w w:val="90"/>
              </w:rPr>
            </w:pPr>
            <w:hyperlink w:anchor="page41">
              <w:r>
                <w:rPr>
                  <w:rFonts w:ascii="Arial" w:cs="Arial" w:eastAsia="Arial" w:hAnsi="Arial"/>
                  <w:sz w:val="18"/>
                  <w:szCs w:val="18"/>
                  <w:color w:val="0563C1"/>
                  <w:w w:val="90"/>
                </w:rPr>
                <w:t>Defaults Upon Senior Securities</w:t>
              </w:r>
            </w:hyperlink>
          </w:p>
        </w:tc>
        <w:tc>
          <w:tcPr>
            <w:tcW w:w="2020" w:type="dxa"/>
            <w:vAlign w:val="bottom"/>
            <w:tcBorders>
              <w:top w:val="single" w:sz="8" w:color="0563C1"/>
            </w:tcBorders>
            <w:gridSpan w:val="4"/>
          </w:tcPr>
          <w:p>
            <w:pPr>
              <w:spacing w:after="0"/>
              <w:rPr>
                <w:sz w:val="19"/>
                <w:szCs w:val="19"/>
                <w:color w:val="auto"/>
              </w:rPr>
            </w:pPr>
          </w:p>
        </w:tc>
        <w:tc>
          <w:tcPr>
            <w:tcW w:w="496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563C1"/>
              </w:rPr>
            </w:pPr>
            <w:hyperlink w:anchor="page41">
              <w:r>
                <w:rPr>
                  <w:rFonts w:ascii="Arial" w:cs="Arial" w:eastAsia="Arial" w:hAnsi="Arial"/>
                  <w:sz w:val="18"/>
                  <w:szCs w:val="18"/>
                  <w:color w:val="0563C1"/>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563C1"/>
            </w:tcBorders>
            <w:gridSpan w:val="5"/>
          </w:tcPr>
          <w:p>
            <w:pPr>
              <w:spacing w:after="0"/>
              <w:rPr>
                <w:rFonts w:ascii="Arial" w:cs="Arial" w:eastAsia="Arial" w:hAnsi="Arial"/>
                <w:sz w:val="18"/>
                <w:szCs w:val="18"/>
                <w:color w:val="0563C1"/>
              </w:rPr>
            </w:pPr>
            <w:hyperlink w:anchor="page41">
              <w:r>
                <w:rPr>
                  <w:rFonts w:ascii="Arial" w:cs="Arial" w:eastAsia="Arial" w:hAnsi="Arial"/>
                  <w:sz w:val="18"/>
                  <w:szCs w:val="18"/>
                  <w:color w:val="0563C1"/>
                </w:rPr>
                <w:t>Other Information</w:t>
              </w:r>
            </w:hyperlink>
          </w:p>
        </w:tc>
        <w:tc>
          <w:tcPr>
            <w:tcW w:w="754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563C1"/>
            </w:tcBorders>
            <w:gridSpan w:val="3"/>
          </w:tcPr>
          <w:p>
            <w:pPr>
              <w:spacing w:after="0"/>
              <w:rPr>
                <w:rFonts w:ascii="Arial" w:cs="Arial" w:eastAsia="Arial" w:hAnsi="Arial"/>
                <w:sz w:val="18"/>
                <w:szCs w:val="18"/>
                <w:color w:val="0563C1"/>
              </w:rPr>
            </w:pPr>
            <w:hyperlink w:anchor="page43">
              <w:r>
                <w:rPr>
                  <w:rFonts w:ascii="Arial" w:cs="Arial" w:eastAsia="Arial" w:hAnsi="Arial"/>
                  <w:sz w:val="18"/>
                  <w:szCs w:val="18"/>
                  <w:color w:val="0563C1"/>
                </w:rPr>
                <w:t>Exhibits</w:t>
              </w:r>
            </w:hyperlink>
          </w:p>
        </w:tc>
        <w:tc>
          <w:tcPr>
            <w:tcW w:w="800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rFonts w:ascii="Arial" w:cs="Arial" w:eastAsia="Arial" w:hAnsi="Arial"/>
                <w:sz w:val="18"/>
                <w:szCs w:val="18"/>
                <w:color w:val="0563C1"/>
              </w:rPr>
            </w:pPr>
            <w:hyperlink w:anchor="page44">
              <w:r>
                <w:rPr>
                  <w:rFonts w:ascii="Arial" w:cs="Arial" w:eastAsia="Arial" w:hAnsi="Arial"/>
                  <w:sz w:val="18"/>
                  <w:szCs w:val="18"/>
                  <w:color w:val="0563C1"/>
                </w:rPr>
                <w:t>Signatures</w:t>
              </w:r>
            </w:hyperlink>
          </w:p>
        </w:tc>
        <w:tc>
          <w:tcPr>
            <w:tcW w:w="600" w:type="dxa"/>
            <w:vAlign w:val="bottom"/>
            <w:tcBorders>
              <w:top w:val="single" w:sz="8" w:color="0563C1"/>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563C1"/>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50" w:lineRule="exact"/>
        <w:rPr>
          <w:sz w:val="20"/>
          <w:szCs w:val="20"/>
          <w:color w:val="auto"/>
        </w:rPr>
      </w:pPr>
    </w:p>
    <w:p>
      <w:pPr>
        <w:ind w:left="200" w:right="360" w:hanging="179"/>
        <w:spacing w:after="0" w:line="340" w:lineRule="auto"/>
        <w:rPr>
          <w:sz w:val="20"/>
          <w:szCs w:val="20"/>
          <w:color w:val="auto"/>
        </w:rPr>
      </w:pPr>
      <w:r>
        <w:rPr>
          <w:rFonts w:ascii="Arial" w:cs="Arial" w:eastAsia="Arial" w:hAnsi="Arial"/>
          <w:sz w:val="18"/>
          <w:szCs w:val="18"/>
          <w:color w:val="auto"/>
        </w:rPr>
        <w:t>Prepaid expenses and other current assets Total current assets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and equipment, net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cash</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offering costs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assets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stockholders' equity (deficit)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expenses and other current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loan, current portion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Convertible notes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current liabilities</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Warrant liability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Term loan, net of current portion and discount</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28" w:lineRule="exact"/>
        <w:rPr>
          <w:sz w:val="20"/>
          <w:szCs w:val="20"/>
          <w:color w:val="auto"/>
        </w:rPr>
      </w:pPr>
    </w:p>
    <w:p>
      <w:pPr>
        <w:jc w:val="center"/>
        <w:ind w:right="3640"/>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ind w:right="36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364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3640"/>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95" w:lineRule="exact"/>
        <w:rPr>
          <w:sz w:val="20"/>
          <w:szCs w:val="20"/>
          <w:color w:val="auto"/>
        </w:rPr>
      </w:pPr>
    </w:p>
    <w:tbl>
      <w:tblPr>
        <w:tblLayout w:type="fixed"/>
        <w:tblInd w:w="400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756"/>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150,069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4,503</w:t>
            </w:r>
          </w:p>
        </w:tc>
      </w:tr>
      <w:tr>
        <w:trPr>
          <w:trHeight w:val="263"/>
        </w:trPr>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43"/>
        </w:trPr>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154,800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5,065</w:t>
            </w:r>
          </w:p>
        </w:tc>
      </w:tr>
      <w:tr>
        <w:trPr>
          <w:trHeight w:val="513"/>
        </w:trPr>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57"/>
        </w:trPr>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57"/>
        </w:trPr>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2,637</w:t>
            </w:r>
          </w:p>
        </w:tc>
      </w:tr>
      <w:tr>
        <w:trPr>
          <w:trHeight w:val="263"/>
        </w:trPr>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155,535</w:t>
            </w:r>
          </w:p>
        </w:tc>
        <w:tc>
          <w:tcPr>
            <w:tcW w:w="2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8,319</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99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939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2,377</w:t>
            </w:r>
          </w:p>
        </w:tc>
      </w:tr>
      <w:tr>
        <w:trPr>
          <w:trHeight w:val="257"/>
        </w:trPr>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6,722</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5,810</w:t>
            </w:r>
          </w:p>
        </w:tc>
      </w:tr>
      <w:tr>
        <w:trPr>
          <w:trHeight w:val="256"/>
        </w:trPr>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63"/>
        </w:trPr>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w:t>
            </w:r>
          </w:p>
        </w:tc>
      </w:tr>
      <w:tr>
        <w:trPr>
          <w:trHeight w:val="243"/>
        </w:trPr>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12,661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24,876</w:t>
            </w:r>
          </w:p>
        </w:tc>
      </w:tr>
      <w:tr>
        <w:trPr>
          <w:trHeight w:val="513"/>
        </w:trPr>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6"/>
        </w:trPr>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63"/>
        </w:trPr>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w:t>
            </w:r>
          </w:p>
        </w:tc>
      </w:tr>
      <w:tr>
        <w:trPr>
          <w:trHeight w:val="250"/>
        </w:trPr>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-3977005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-3651250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-3316605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-2990850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-2665095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-2331085</wp:posOffset>
            </wp:positionV>
            <wp:extent cx="71323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-1979295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-1653540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-1327785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-993775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-668020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-342265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280"/>
            <w:col w:w="7600"/>
          </w:cols>
          <w:pgMar w:left="320" w:top="364" w:right="339" w:bottom="1440" w:gutter="0" w:footer="0" w:header="0"/>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$0.0001 par value; 10,000,000 shares authorized; no shares issued</w:t>
            </w:r>
          </w:p>
        </w:tc>
        <w:tc>
          <w:tcPr>
            <w:tcW w:w="7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outstanding as of September 30, 2021 and December 31, 2020</w:t>
            </w:r>
          </w:p>
        </w:tc>
        <w:tc>
          <w:tcPr>
            <w:tcW w:w="7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2"/>
        </w:trPr>
        <w:tc>
          <w:tcPr>
            <w:tcW w:w="7640" w:type="dxa"/>
            <w:vAlign w:val="bottom"/>
          </w:tcPr>
          <w:p>
            <w:pPr>
              <w:ind w:left="200"/>
              <w:spacing w:after="0"/>
              <w:rPr>
                <w:sz w:val="20"/>
                <w:szCs w:val="20"/>
                <w:color w:val="auto"/>
              </w:rPr>
            </w:pPr>
            <w:r>
              <w:rPr>
                <w:rFonts w:ascii="Arial" w:cs="Arial" w:eastAsia="Arial" w:hAnsi="Arial"/>
                <w:sz w:val="18"/>
                <w:szCs w:val="18"/>
                <w:color w:val="auto"/>
              </w:rPr>
              <w:t>Common stock, $0.0001 par value; 250,000,000 shares authorized; 43,112,742 and</w:t>
            </w: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15,565,380 shares issued and outstanding as of September 30, 2021 and December 31,</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640" w:type="dxa"/>
            <w:vAlign w:val="bottom"/>
          </w:tcPr>
          <w:p>
            <w:pPr>
              <w:ind w:left="340"/>
              <w:spacing w:after="0"/>
              <w:rPr>
                <w:sz w:val="20"/>
                <w:szCs w:val="20"/>
                <w:color w:val="auto"/>
              </w:rPr>
            </w:pPr>
            <w:r>
              <w:rPr>
                <w:rFonts w:ascii="Arial" w:cs="Arial" w:eastAsia="Arial" w:hAnsi="Arial"/>
                <w:sz w:val="18"/>
                <w:szCs w:val="18"/>
                <w:color w:val="auto"/>
              </w:rPr>
              <w:t>2020, respectively</w:t>
            </w:r>
          </w:p>
        </w:tc>
        <w:tc>
          <w:tcPr>
            <w:tcW w:w="7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7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307,724</w:t>
            </w: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90,958</w:t>
            </w:r>
          </w:p>
        </w:tc>
        <w:tc>
          <w:tcPr>
            <w:tcW w:w="100" w:type="dxa"/>
            <w:vAlign w:val="bottom"/>
            <w:shd w:val="clear" w:color="auto" w:fill="CFF0FC"/>
          </w:tcPr>
          <w:p>
            <w:pPr>
              <w:spacing w:after="0"/>
              <w:rPr>
                <w:sz w:val="22"/>
                <w:szCs w:val="22"/>
                <w:color w:val="auto"/>
              </w:rPr>
            </w:pP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78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(166,867 )</w:t>
            </w:r>
          </w:p>
        </w:tc>
        <w:tc>
          <w:tcPr>
            <w:tcW w:w="52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(112,821 )</w:t>
            </w:r>
          </w:p>
        </w:tc>
      </w:tr>
      <w:tr>
        <w:trPr>
          <w:trHeight w:val="20"/>
        </w:trPr>
        <w:tc>
          <w:tcPr>
            <w:tcW w:w="7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stockholders' equity (deficit)</w:t>
            </w:r>
          </w:p>
        </w:tc>
        <w:tc>
          <w:tcPr>
            <w:tcW w:w="7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140,861</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(21,861 )</w:t>
            </w:r>
          </w:p>
        </w:tc>
      </w:tr>
      <w:tr>
        <w:trPr>
          <w:trHeight w:val="250"/>
        </w:trPr>
        <w:tc>
          <w:tcPr>
            <w:tcW w:w="7640" w:type="dxa"/>
            <w:vAlign w:val="bottom"/>
            <w:tcBorders>
              <w:top w:val="single" w:sz="8" w:color="CFF0FC"/>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9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 (deficit)</w:t>
            </w: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155,535</w:t>
            </w:r>
          </w:p>
        </w:tc>
        <w:tc>
          <w:tcPr>
            <w:tcW w:w="2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39"/>
        </w:trPr>
        <w:tc>
          <w:tcPr>
            <w:tcW w:w="8420" w:type="dxa"/>
            <w:vAlign w:val="bottom"/>
            <w:gridSpan w:val="2"/>
          </w:tcPr>
          <w:p>
            <w:pPr>
              <w:ind w:left="3000"/>
              <w:spacing w:after="0"/>
              <w:rPr>
                <w:sz w:val="20"/>
                <w:szCs w:val="20"/>
                <w:color w:val="auto"/>
              </w:rPr>
            </w:pPr>
            <w:r>
              <w:rPr>
                <w:rFonts w:ascii="Arial" w:cs="Arial" w:eastAsia="Arial" w:hAnsi="Arial"/>
                <w:sz w:val="18"/>
                <w:szCs w:val="18"/>
                <w:i w:val="1"/>
                <w:iCs w:val="1"/>
                <w:color w:val="auto"/>
                <w:w w:val="93"/>
              </w:rPr>
              <w:t>The accompanying notes are an integral part of the financial statements.</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640" w:type="dxa"/>
            <w:vAlign w:val="bottom"/>
          </w:tcPr>
          <w:p>
            <w:pPr>
              <w:ind w:left="558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6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-1016635</wp:posOffset>
            </wp:positionV>
            <wp:extent cx="1803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-1016635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-685165</wp:posOffset>
            </wp:positionV>
            <wp:extent cx="1803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-668020</wp:posOffset>
            </wp:positionV>
            <wp:extent cx="1803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4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56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13,455</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6,727</w:t>
            </w:r>
          </w:p>
        </w:tc>
        <w:tc>
          <w:tcPr>
            <w:tcW w:w="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36,083</w:t>
            </w:r>
          </w:p>
        </w:tc>
        <w:tc>
          <w:tcPr>
            <w:tcW w:w="2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20,472</w:t>
            </w:r>
          </w:p>
        </w:tc>
        <w:tc>
          <w:tcPr>
            <w:tcW w:w="100" w:type="dxa"/>
            <w:vAlign w:val="bottom"/>
          </w:tcPr>
          <w:p>
            <w:pPr>
              <w:spacing w:after="0"/>
              <w:rPr>
                <w:sz w:val="21"/>
                <w:szCs w:val="21"/>
                <w:color w:val="auto"/>
              </w:rPr>
            </w:pPr>
          </w:p>
        </w:tc>
      </w:tr>
      <w:tr>
        <w:trPr>
          <w:trHeight w:val="257"/>
        </w:trPr>
        <w:tc>
          <w:tcPr>
            <w:tcW w:w="5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15,177</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18,450</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24,246</w:t>
            </w:r>
          </w:p>
        </w:tc>
        <w:tc>
          <w:tcPr>
            <w:tcW w:w="100" w:type="dxa"/>
            <w:vAlign w:val="bottom"/>
          </w:tcPr>
          <w:p>
            <w:pPr>
              <w:spacing w:after="0"/>
              <w:rPr>
                <w:sz w:val="21"/>
                <w:szCs w:val="21"/>
                <w:color w:val="auto"/>
              </w:rPr>
            </w:pPr>
          </w:p>
        </w:tc>
      </w:tr>
      <w:tr>
        <w:trPr>
          <w:trHeight w:val="256"/>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(18,450 )</w:t>
            </w:r>
          </w:p>
        </w:tc>
        <w:tc>
          <w:tcPr>
            <w:tcW w:w="2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(7,949 )</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(51,260 )</w:t>
            </w:r>
          </w:p>
        </w:tc>
        <w:tc>
          <w:tcPr>
            <w:tcW w:w="2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(24,246 )</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(104 )</w:t>
            </w:r>
          </w:p>
        </w:tc>
        <w:tc>
          <w:tcPr>
            <w:tcW w:w="2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(2,047 )</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(2,073 )</w:t>
            </w:r>
          </w:p>
        </w:tc>
        <w:tc>
          <w:tcPr>
            <w:tcW w:w="2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(2,307 )</w:t>
            </w: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conversion of convertible notes</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(711 )</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(8 )</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r>
      <w:tr>
        <w:trPr>
          <w:trHeight w:val="256"/>
        </w:trPr>
        <w:tc>
          <w:tcPr>
            <w:tcW w:w="5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(2 )</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(13 )</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(18,551 )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(10,003 )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(54,046 )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(26,522 )</w:t>
            </w: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(0.43 )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(1.37 )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(1.77 )</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 and diluted</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43,091,822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15,282,987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39,427,476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15,016,038</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-1830705</wp:posOffset>
            </wp:positionV>
            <wp:extent cx="16256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-1830705</wp:posOffset>
            </wp:positionV>
            <wp:extent cx="16319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-1830705</wp:posOffset>
            </wp:positionV>
            <wp:extent cx="15430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-1830705</wp:posOffset>
            </wp:positionV>
            <wp:extent cx="5969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-510540</wp:posOffset>
            </wp:positionV>
            <wp:extent cx="16256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-510540</wp:posOffset>
            </wp:positionV>
            <wp:extent cx="16319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-510540</wp:posOffset>
            </wp:positionV>
            <wp:extent cx="15430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-510540</wp:posOffset>
            </wp:positionV>
            <wp:extent cx="5969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147320</wp:posOffset>
            </wp:positionV>
            <wp:extent cx="3600450" cy="5829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00450" cy="58293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740" w:type="dxa"/>
            <w:vAlign w:val="bottom"/>
            <w:gridSpan w:val="5"/>
            <w:vMerge w:val="restart"/>
          </w:tcPr>
          <w:p>
            <w:pPr>
              <w:jc w:val="right"/>
              <w:ind w:right="740"/>
              <w:spacing w:after="0"/>
              <w:rPr>
                <w:sz w:val="20"/>
                <w:szCs w:val="20"/>
                <w:color w:val="auto"/>
              </w:rPr>
            </w:pPr>
            <w:r>
              <w:rPr>
                <w:rFonts w:ascii="Arial" w:cs="Arial" w:eastAsia="Arial" w:hAnsi="Arial"/>
                <w:sz w:val="13"/>
                <w:szCs w:val="13"/>
                <w:b w:val="1"/>
                <w:bCs w:val="1"/>
                <w:color w:val="auto"/>
              </w:rPr>
              <w:t>Series A</w:t>
            </w:r>
          </w:p>
        </w:tc>
        <w:tc>
          <w:tcPr>
            <w:tcW w:w="10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Series B</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vMerge w:val="restart"/>
          </w:tcPr>
          <w:p>
            <w:pPr>
              <w:jc w:val="right"/>
              <w:ind w:right="600"/>
              <w:spacing w:after="0"/>
              <w:rPr>
                <w:sz w:val="20"/>
                <w:szCs w:val="20"/>
                <w:color w:val="auto"/>
              </w:rPr>
            </w:pPr>
            <w:r>
              <w:rPr>
                <w:rFonts w:ascii="Arial" w:cs="Arial" w:eastAsia="Arial" w:hAnsi="Arial"/>
                <w:sz w:val="13"/>
                <w:szCs w:val="13"/>
                <w:b w:val="1"/>
                <w:bCs w:val="1"/>
                <w:color w:val="auto"/>
              </w:rPr>
              <w:t>Old Gemini</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4"/>
              </w:rPr>
              <w:t>stockholder</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Accumulat</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77"/>
              </w:rPr>
              <w:t>s'</w:t>
            </w:r>
          </w:p>
        </w:tc>
        <w:tc>
          <w:tcPr>
            <w:tcW w:w="0" w:type="dxa"/>
            <w:vAlign w:val="bottom"/>
          </w:tcPr>
          <w:p>
            <w:pPr>
              <w:spacing w:after="0"/>
              <w:rPr>
                <w:sz w:val="1"/>
                <w:szCs w:val="1"/>
                <w:color w:val="auto"/>
              </w:rPr>
            </w:pPr>
          </w:p>
        </w:tc>
      </w:tr>
      <w:tr>
        <w:trPr>
          <w:trHeight w:val="179"/>
        </w:trPr>
        <w:tc>
          <w:tcPr>
            <w:tcW w:w="2160" w:type="dxa"/>
            <w:vAlign w:val="bottom"/>
          </w:tcPr>
          <w:p>
            <w:pPr>
              <w:spacing w:after="0"/>
              <w:rPr>
                <w:sz w:val="15"/>
                <w:szCs w:val="15"/>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8"/>
              </w:rPr>
              <w:t>Convertible Preferred Stock</w:t>
            </w:r>
          </w:p>
        </w:tc>
        <w:tc>
          <w:tcPr>
            <w:tcW w:w="160" w:type="dxa"/>
            <w:vAlign w:val="bottom"/>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9"/>
              </w:rPr>
              <w:t>Convertible Preferred Stock</w:t>
            </w:r>
          </w:p>
        </w:tc>
        <w:tc>
          <w:tcPr>
            <w:tcW w:w="180" w:type="dxa"/>
            <w:vAlign w:val="bottom"/>
          </w:tcPr>
          <w:p>
            <w:pPr>
              <w:spacing w:after="0"/>
              <w:rPr>
                <w:sz w:val="15"/>
                <w:szCs w:val="15"/>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paid-in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78"/>
              </w:rPr>
              <w:t>ed</w:t>
            </w:r>
          </w:p>
        </w:tc>
        <w:tc>
          <w:tcPr>
            <w:tcW w:w="10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3"/>
              </w:rPr>
              <w:t>Amount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9"/>
              </w:rPr>
              <w:t>Amount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9"/>
              </w:rPr>
              <w:t>Amount</w:t>
            </w:r>
          </w:p>
        </w:tc>
        <w:tc>
          <w:tcPr>
            <w:tcW w:w="70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deficit</w:t>
            </w:r>
          </w:p>
        </w:tc>
        <w:tc>
          <w:tcPr>
            <w:tcW w:w="10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(as previously reported)</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39,722,088</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47,113</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9,916,375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13,252</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5,313,766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3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(71,984 )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(70,797 )</w:t>
            </w: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Retroactive application of the</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(39,722,08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160" w:type="dxa"/>
            <w:vAlign w:val="bottom"/>
          </w:tcPr>
          <w:p>
            <w:pPr>
              <w:ind w:left="120"/>
              <w:spacing w:after="0"/>
              <w:rPr>
                <w:sz w:val="20"/>
                <w:szCs w:val="20"/>
                <w:color w:val="auto"/>
              </w:rPr>
            </w:pPr>
            <w:r>
              <w:rPr>
                <w:rFonts w:ascii="Arial" w:cs="Arial" w:eastAsia="Arial" w:hAnsi="Arial"/>
                <w:sz w:val="13"/>
                <w:szCs w:val="13"/>
                <w:color w:val="auto"/>
                <w:w w:val="98"/>
              </w:rPr>
              <w:t>recapitalization due to the Business</w:t>
            </w:r>
          </w:p>
        </w:tc>
        <w:tc>
          <w:tcPr>
            <w:tcW w:w="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20"/>
              <w:spacing w:after="0"/>
              <w:rPr>
                <w:sz w:val="20"/>
                <w:szCs w:val="20"/>
                <w:color w:val="auto"/>
              </w:rPr>
            </w:pPr>
            <w:r>
              <w:rPr>
                <w:rFonts w:ascii="Arial" w:cs="Arial" w:eastAsia="Arial" w:hAnsi="Arial"/>
                <w:sz w:val="13"/>
                <w:szCs w:val="13"/>
                <w:color w:val="auto"/>
              </w:rPr>
              <w:t>Combination (Note 3)</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8 )</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(47,113 )</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(9,916,375 )</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(13,252 )</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(5,313,766 )</w:t>
            </w: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(5 )</w:t>
            </w:r>
          </w:p>
        </w:tc>
        <w:tc>
          <w:tcPr>
            <w:tcW w:w="700" w:type="dxa"/>
            <w:vAlign w:val="bottom"/>
          </w:tcPr>
          <w:p>
            <w:pPr>
              <w:jc w:val="right"/>
              <w:spacing w:after="0"/>
              <w:rPr>
                <w:sz w:val="20"/>
                <w:szCs w:val="20"/>
                <w:color w:val="auto"/>
              </w:rPr>
            </w:pPr>
            <w:r>
              <w:rPr>
                <w:rFonts w:ascii="Arial" w:cs="Arial" w:eastAsia="Arial" w:hAnsi="Arial"/>
                <w:sz w:val="13"/>
                <w:szCs w:val="13"/>
                <w:color w:val="auto"/>
              </w:rPr>
              <w:t>11,979,586</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60,369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60,365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3"/>
              </w:rPr>
              <w:t>Balance at December 31, 2019, effect</w:t>
            </w: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of</w:t>
            </w: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Business Combination (Note 3)</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11,979,586</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61,551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(71,984 )</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(10,432 )</w:t>
            </w: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Series B convertible</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preferred</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w w:val="98"/>
              </w:rPr>
              <w:t>stock, net of issuance costs of $148</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3,242,655</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20,083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options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17,932</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Vesting of restricted common stock</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14,470</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(9,746 )</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(9,746 )</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6"/>
              </w:rPr>
              <w:t>Balance at March 31, 2020, effect of</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15,254,643</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81,738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(81,730 )</w:t>
            </w:r>
          </w:p>
        </w:tc>
        <w:tc>
          <w:tcPr>
            <w:tcW w:w="10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Business Combination (Note 3)</w:t>
            </w:r>
          </w:p>
        </w:tc>
        <w:tc>
          <w:tcPr>
            <w:tcW w:w="6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Borders>
              <w:top w:val="single" w:sz="8" w:color="CFF0FC"/>
              <w:right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5,228</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common stock</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14,470</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(6,773 )</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(6,773 )</w:t>
            </w:r>
          </w:p>
        </w:tc>
        <w:tc>
          <w:tcPr>
            <w:tcW w:w="0" w:type="dxa"/>
            <w:vAlign w:val="bottom"/>
          </w:tcPr>
          <w:p>
            <w:pPr>
              <w:spacing w:after="0"/>
              <w:rPr>
                <w:sz w:val="1"/>
                <w:szCs w:val="1"/>
                <w:color w:val="auto"/>
              </w:rPr>
            </w:pPr>
          </w:p>
        </w:tc>
      </w:tr>
      <w:tr>
        <w:trPr>
          <w:trHeight w:val="22"/>
        </w:trPr>
        <w:tc>
          <w:tcPr>
            <w:tcW w:w="21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6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2020, effect of</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15,274,341</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81,885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(88,503 )</w:t>
            </w:r>
          </w:p>
        </w:tc>
        <w:tc>
          <w:tcPr>
            <w:tcW w:w="10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(6,616 )</w:t>
            </w:r>
          </w:p>
        </w:tc>
        <w:tc>
          <w:tcPr>
            <w:tcW w:w="0" w:type="dxa"/>
            <w:vAlign w:val="bottom"/>
          </w:tcPr>
          <w:p>
            <w:pPr>
              <w:spacing w:after="0"/>
              <w:rPr>
                <w:sz w:val="1"/>
                <w:szCs w:val="1"/>
                <w:color w:val="auto"/>
              </w:rPr>
            </w:pPr>
          </w:p>
        </w:tc>
      </w:tr>
      <w:tr>
        <w:trPr>
          <w:trHeight w:val="165"/>
        </w:trPr>
        <w:tc>
          <w:tcPr>
            <w:tcW w:w="2160" w:type="dxa"/>
            <w:vAlign w:val="bottom"/>
          </w:tcPr>
          <w:p>
            <w:pPr>
              <w:ind w:left="120"/>
              <w:spacing w:after="0"/>
              <w:rPr>
                <w:sz w:val="20"/>
                <w:szCs w:val="20"/>
                <w:color w:val="auto"/>
              </w:rPr>
            </w:pPr>
            <w:r>
              <w:rPr>
                <w:rFonts w:ascii="Arial" w:cs="Arial" w:eastAsia="Arial" w:hAnsi="Arial"/>
                <w:sz w:val="13"/>
                <w:szCs w:val="13"/>
                <w:b w:val="1"/>
                <w:bCs w:val="1"/>
                <w:color w:val="auto"/>
              </w:rPr>
              <w:t>Business Combination (Note 3)</w:t>
            </w: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Beneficial conversion feature relating</w:t>
            </w: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to discount on convertible promissory</w:t>
            </w: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notes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8,177</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8,177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2,180</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common stock</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14,469</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(10,003 )</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(10,003 )</w:t>
            </w:r>
          </w:p>
        </w:tc>
        <w:tc>
          <w:tcPr>
            <w:tcW w:w="0" w:type="dxa"/>
            <w:vAlign w:val="bottom"/>
          </w:tcPr>
          <w:p>
            <w:pPr>
              <w:spacing w:after="0"/>
              <w:rPr>
                <w:sz w:val="1"/>
                <w:szCs w:val="1"/>
                <w:color w:val="auto"/>
              </w:rPr>
            </w:pPr>
          </w:p>
        </w:tc>
      </w:tr>
      <w:tr>
        <w:trPr>
          <w:trHeight w:val="171"/>
        </w:trPr>
        <w:tc>
          <w:tcPr>
            <w:tcW w:w="216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w w:val="91"/>
              </w:rPr>
              <w:t>Balance at September 30, 2020, effect</w:t>
            </w:r>
          </w:p>
        </w:tc>
        <w:tc>
          <w:tcPr>
            <w:tcW w:w="6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b w:val="1"/>
                <w:bCs w:val="1"/>
                <w:color w:val="auto"/>
              </w:rPr>
              <w:t>of</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15,290,990</w:t>
            </w:r>
          </w:p>
        </w:tc>
        <w:tc>
          <w:tcPr>
            <w:tcW w:w="700" w:type="dxa"/>
            <w:vAlign w:val="bottom"/>
            <w:gridSpan w:val="2"/>
            <w:vMerge w:val="restart"/>
          </w:tcPr>
          <w:p>
            <w:pPr>
              <w:jc w:val="right"/>
              <w:ind w:right="397"/>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2</w:t>
            </w:r>
          </w:p>
        </w:tc>
        <w:tc>
          <w:tcPr>
            <w:tcW w:w="220" w:type="dxa"/>
            <w:vAlign w:val="bottom"/>
            <w:gridSpan w:val="2"/>
            <w:vMerge w:val="restart"/>
          </w:tcPr>
          <w:p>
            <w:pPr>
              <w:ind w:left="140"/>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90,226</w:t>
            </w:r>
          </w:p>
        </w:tc>
        <w:tc>
          <w:tcPr>
            <w:tcW w:w="2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(98,506 )</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(8,278 )</w:t>
            </w:r>
          </w:p>
        </w:tc>
        <w:tc>
          <w:tcPr>
            <w:tcW w:w="0" w:type="dxa"/>
            <w:vAlign w:val="bottom"/>
          </w:tcPr>
          <w:p>
            <w:pPr>
              <w:spacing w:after="0"/>
              <w:rPr>
                <w:sz w:val="1"/>
                <w:szCs w:val="1"/>
                <w:color w:val="auto"/>
              </w:rPr>
            </w:pPr>
          </w:p>
        </w:tc>
      </w:tr>
      <w:tr>
        <w:trPr>
          <w:trHeight w:val="140"/>
        </w:trPr>
        <w:tc>
          <w:tcPr>
            <w:tcW w:w="2160" w:type="dxa"/>
            <w:vAlign w:val="bottom"/>
          </w:tcPr>
          <w:p>
            <w:pPr>
              <w:ind w:left="120"/>
              <w:spacing w:after="0" w:line="140" w:lineRule="exact"/>
              <w:rPr>
                <w:sz w:val="20"/>
                <w:szCs w:val="20"/>
                <w:color w:val="auto"/>
              </w:rPr>
            </w:pPr>
            <w:r>
              <w:rPr>
                <w:rFonts w:ascii="Arial" w:cs="Arial" w:eastAsia="Arial" w:hAnsi="Arial"/>
                <w:sz w:val="13"/>
                <w:szCs w:val="13"/>
                <w:b w:val="1"/>
                <w:bCs w:val="1"/>
                <w:color w:val="auto"/>
              </w:rPr>
              <w:t>Business Combination (Note 3)</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-4169410</wp:posOffset>
            </wp:positionV>
            <wp:extent cx="34290" cy="351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-2268220</wp:posOffset>
            </wp:positionV>
            <wp:extent cx="1117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-2268220</wp:posOffset>
            </wp:positionV>
            <wp:extent cx="11112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-2268220</wp:posOffset>
            </wp:positionV>
            <wp:extent cx="11112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-2626360</wp:posOffset>
            </wp:positionV>
            <wp:extent cx="90170" cy="3765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0170" cy="3765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-2268220</wp:posOffset>
            </wp:positionV>
            <wp:extent cx="11112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-2268220</wp:posOffset>
            </wp:positionV>
            <wp:extent cx="1111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-2268220</wp:posOffset>
            </wp:positionV>
            <wp:extent cx="10287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-2268220</wp:posOffset>
            </wp:positionV>
            <wp:extent cx="857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-2268220</wp:posOffset>
            </wp:positionV>
            <wp:extent cx="857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-2268220</wp:posOffset>
            </wp:positionV>
            <wp:extent cx="939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-2268220</wp:posOffset>
            </wp:positionV>
            <wp:extent cx="3429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-1573530</wp:posOffset>
            </wp:positionV>
            <wp:extent cx="11176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-1573530</wp:posOffset>
            </wp:positionV>
            <wp:extent cx="11112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-1573530</wp:posOffset>
            </wp:positionV>
            <wp:extent cx="11112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-1709420</wp:posOffset>
            </wp:positionV>
            <wp:extent cx="3642995" cy="376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42995" cy="3765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-330835</wp:posOffset>
            </wp:positionV>
            <wp:extent cx="11176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-330835</wp:posOffset>
            </wp:positionV>
            <wp:extent cx="11112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-330835</wp:posOffset>
            </wp:positionV>
            <wp:extent cx="1111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-466725</wp:posOffset>
            </wp:positionV>
            <wp:extent cx="3642995" cy="4800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42995" cy="48006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740" w:type="dxa"/>
            <w:vAlign w:val="bottom"/>
            <w:gridSpan w:val="5"/>
            <w:vMerge w:val="restart"/>
          </w:tcPr>
          <w:p>
            <w:pPr>
              <w:jc w:val="right"/>
              <w:ind w:right="740"/>
              <w:spacing w:after="0"/>
              <w:rPr>
                <w:sz w:val="20"/>
                <w:szCs w:val="20"/>
                <w:color w:val="auto"/>
              </w:rPr>
            </w:pPr>
            <w:r>
              <w:rPr>
                <w:rFonts w:ascii="Arial" w:cs="Arial" w:eastAsia="Arial" w:hAnsi="Arial"/>
                <w:sz w:val="13"/>
                <w:szCs w:val="13"/>
                <w:b w:val="1"/>
                <w:bCs w:val="1"/>
                <w:color w:val="auto"/>
              </w:rPr>
              <w:t>Series A</w:t>
            </w:r>
          </w:p>
        </w:tc>
        <w:tc>
          <w:tcPr>
            <w:tcW w:w="10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Series B</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vMerge w:val="restart"/>
          </w:tcPr>
          <w:p>
            <w:pPr>
              <w:jc w:val="right"/>
              <w:ind w:right="600"/>
              <w:spacing w:after="0"/>
              <w:rPr>
                <w:sz w:val="20"/>
                <w:szCs w:val="20"/>
                <w:color w:val="auto"/>
              </w:rPr>
            </w:pPr>
            <w:r>
              <w:rPr>
                <w:rFonts w:ascii="Arial" w:cs="Arial" w:eastAsia="Arial" w:hAnsi="Arial"/>
                <w:sz w:val="13"/>
                <w:szCs w:val="13"/>
                <w:b w:val="1"/>
                <w:bCs w:val="1"/>
                <w:color w:val="auto"/>
              </w:rPr>
              <w:t>Old Gemini</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4"/>
              </w:rPr>
              <w:t>stockholder</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Accumulat</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77"/>
              </w:rPr>
              <w:t>s'</w:t>
            </w:r>
          </w:p>
        </w:tc>
        <w:tc>
          <w:tcPr>
            <w:tcW w:w="0" w:type="dxa"/>
            <w:vAlign w:val="bottom"/>
          </w:tcPr>
          <w:p>
            <w:pPr>
              <w:spacing w:after="0"/>
              <w:rPr>
                <w:sz w:val="1"/>
                <w:szCs w:val="1"/>
                <w:color w:val="auto"/>
              </w:rPr>
            </w:pPr>
          </w:p>
        </w:tc>
      </w:tr>
      <w:tr>
        <w:trPr>
          <w:trHeight w:val="179"/>
        </w:trPr>
        <w:tc>
          <w:tcPr>
            <w:tcW w:w="2160" w:type="dxa"/>
            <w:vAlign w:val="bottom"/>
          </w:tcPr>
          <w:p>
            <w:pPr>
              <w:spacing w:after="0"/>
              <w:rPr>
                <w:sz w:val="15"/>
                <w:szCs w:val="15"/>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8"/>
              </w:rPr>
              <w:t>Convertible Preferred Stock</w:t>
            </w:r>
          </w:p>
        </w:tc>
        <w:tc>
          <w:tcPr>
            <w:tcW w:w="160" w:type="dxa"/>
            <w:vAlign w:val="bottom"/>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9"/>
              </w:rPr>
              <w:t>Convertible Preferred Stock</w:t>
            </w:r>
          </w:p>
        </w:tc>
        <w:tc>
          <w:tcPr>
            <w:tcW w:w="180" w:type="dxa"/>
            <w:vAlign w:val="bottom"/>
          </w:tcPr>
          <w:p>
            <w:pPr>
              <w:spacing w:after="0"/>
              <w:rPr>
                <w:sz w:val="15"/>
                <w:szCs w:val="15"/>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paid-in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78"/>
              </w:rPr>
              <w:t>ed</w:t>
            </w:r>
          </w:p>
        </w:tc>
        <w:tc>
          <w:tcPr>
            <w:tcW w:w="10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3"/>
              </w:rPr>
              <w:t>Amount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9"/>
              </w:rPr>
              <w:t>Amount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9"/>
              </w:rPr>
              <w:t>Amount</w:t>
            </w:r>
          </w:p>
        </w:tc>
        <w:tc>
          <w:tcPr>
            <w:tcW w:w="70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deficit</w:t>
            </w:r>
          </w:p>
        </w:tc>
        <w:tc>
          <w:tcPr>
            <w:tcW w:w="100" w:type="dxa"/>
            <w:vAlign w:val="bottom"/>
          </w:tcPr>
          <w:p>
            <w:pPr>
              <w:spacing w:after="0"/>
              <w:rPr>
                <w:sz w:val="15"/>
                <w:szCs w:val="15"/>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(as previously reported)</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39,722,088</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47,113</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24,790,938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33,336</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6,900,493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3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7"/>
              </w:rPr>
              <w:t>(112,821 )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(102,310 )</w:t>
            </w: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Retroactive application of the</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(39,722,08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160" w:type="dxa"/>
            <w:vAlign w:val="bottom"/>
          </w:tcPr>
          <w:p>
            <w:pPr>
              <w:ind w:left="120"/>
              <w:spacing w:after="0"/>
              <w:rPr>
                <w:sz w:val="20"/>
                <w:szCs w:val="20"/>
                <w:color w:val="auto"/>
              </w:rPr>
            </w:pPr>
            <w:r>
              <w:rPr>
                <w:rFonts w:ascii="Arial" w:cs="Arial" w:eastAsia="Arial" w:hAnsi="Arial"/>
                <w:sz w:val="13"/>
                <w:szCs w:val="13"/>
                <w:color w:val="auto"/>
                <w:w w:val="98"/>
              </w:rPr>
              <w:t>recapitalization due to the Business</w:t>
            </w:r>
          </w:p>
        </w:tc>
        <w:tc>
          <w:tcPr>
            <w:tcW w:w="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20"/>
              <w:spacing w:after="0"/>
              <w:rPr>
                <w:sz w:val="20"/>
                <w:szCs w:val="20"/>
                <w:color w:val="auto"/>
              </w:rPr>
            </w:pPr>
            <w:r>
              <w:rPr>
                <w:rFonts w:ascii="Arial" w:cs="Arial" w:eastAsia="Arial" w:hAnsi="Arial"/>
                <w:sz w:val="13"/>
                <w:szCs w:val="13"/>
                <w:color w:val="auto"/>
              </w:rPr>
              <w:t>Combination (Note 3)</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8 )</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(47,113 )</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(24,790,938 )</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(33,336 )</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(6,900,493 )</w:t>
            </w: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(7 )</w:t>
            </w:r>
          </w:p>
        </w:tc>
        <w:tc>
          <w:tcPr>
            <w:tcW w:w="700" w:type="dxa"/>
            <w:vAlign w:val="bottom"/>
          </w:tcPr>
          <w:p>
            <w:pPr>
              <w:jc w:val="right"/>
              <w:spacing w:after="0"/>
              <w:rPr>
                <w:sz w:val="20"/>
                <w:szCs w:val="20"/>
                <w:color w:val="auto"/>
              </w:rPr>
            </w:pPr>
            <w:r>
              <w:rPr>
                <w:rFonts w:ascii="Arial" w:cs="Arial" w:eastAsia="Arial" w:hAnsi="Arial"/>
                <w:sz w:val="13"/>
                <w:szCs w:val="13"/>
                <w:color w:val="auto"/>
              </w:rPr>
              <w:t>15,565,380</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80,454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80,449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3"/>
              </w:rPr>
              <w:t>Balance at December 31, 2020, effect</w:t>
            </w: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of</w:t>
            </w: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Business Combination (Note 3)</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15,565,380</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90,958</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7"/>
              </w:rPr>
              <w:t>(112,821 )</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(21,861 )</w:t>
            </w: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Business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120"/>
              <w:spacing w:after="0"/>
              <w:rPr>
                <w:sz w:val="20"/>
                <w:szCs w:val="20"/>
                <w:color w:val="auto"/>
              </w:rPr>
            </w:pPr>
            <w:r>
              <w:rPr>
                <w:rFonts w:ascii="Arial" w:cs="Arial" w:eastAsia="Arial" w:hAnsi="Arial"/>
                <w:sz w:val="13"/>
                <w:szCs w:val="13"/>
                <w:color w:val="auto"/>
              </w:rPr>
              <w:t>Combination, net of issuance costs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(Note 3)</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25,041,150</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195,880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195,882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7"/>
              </w:rPr>
              <w:t>Conversion of promissory notes (Note</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3)</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2,341,316</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warrants (Note 3)</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15,257</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common stock</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35,561</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3,480</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(19,048 )</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(19,048 )</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43,002,144</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303,026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7"/>
              </w:rPr>
              <w:t>(131,869 )</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171,161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6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Borders>
              <w:top w:val="single" w:sz="8" w:color="CFF0FC"/>
              <w:right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52,968</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(16,447 )</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(16,447 )</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43,055,112</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305,994</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7"/>
              </w:rPr>
              <w:t>(148,316 )</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157,682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6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Issuance of common stock upon</w:t>
            </w: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Borders>
              <w:top w:val="single" w:sz="8" w:color="CFF0FC"/>
              <w:right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rPr>
              <w:t>exercise of</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57,630</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(18,551 )</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(18,551 )</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43,112,742</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97"/>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307,724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7"/>
              </w:rPr>
              <w:t>(166,867 )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140,861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3740150</wp:posOffset>
            </wp:positionH>
            <wp:positionV relativeFrom="page">
              <wp:posOffset>367665</wp:posOffset>
            </wp:positionV>
            <wp:extent cx="3600450" cy="5829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00450" cy="582930"/>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-3886835</wp:posOffset>
            </wp:positionV>
            <wp:extent cx="34290" cy="351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-1428115</wp:posOffset>
            </wp:positionV>
            <wp:extent cx="1117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-1428115</wp:posOffset>
            </wp:positionV>
            <wp:extent cx="11112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-1428115</wp:posOffset>
            </wp:positionV>
            <wp:extent cx="11112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-1692275</wp:posOffset>
            </wp:positionV>
            <wp:extent cx="90170" cy="282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0170" cy="28257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-1428115</wp:posOffset>
            </wp:positionV>
            <wp:extent cx="11112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-1428115</wp:posOffset>
            </wp:positionV>
            <wp:extent cx="11112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-1428115</wp:posOffset>
            </wp:positionV>
            <wp:extent cx="10287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-1428115</wp:posOffset>
            </wp:positionV>
            <wp:extent cx="8572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-1428115</wp:posOffset>
            </wp:positionV>
            <wp:extent cx="8572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-1428115</wp:posOffset>
            </wp:positionV>
            <wp:extent cx="939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-1428115</wp:posOffset>
            </wp:positionV>
            <wp:extent cx="3429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-725170</wp:posOffset>
            </wp:positionV>
            <wp:extent cx="11176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-725170</wp:posOffset>
            </wp:positionV>
            <wp:extent cx="11112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-725170</wp:posOffset>
            </wp:positionV>
            <wp:extent cx="11112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-989330</wp:posOffset>
            </wp:positionV>
            <wp:extent cx="90170" cy="282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0170" cy="28257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-725170</wp:posOffset>
            </wp:positionV>
            <wp:extent cx="11112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-725170</wp:posOffset>
            </wp:positionV>
            <wp:extent cx="11112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-725170</wp:posOffset>
            </wp:positionV>
            <wp:extent cx="10287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-725170</wp:posOffset>
            </wp:positionV>
            <wp:extent cx="8572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-725170</wp:posOffset>
            </wp:positionV>
            <wp:extent cx="8572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-725170</wp:posOffset>
            </wp:positionV>
            <wp:extent cx="939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-725170</wp:posOffset>
            </wp:positionV>
            <wp:extent cx="3429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-24765</wp:posOffset>
            </wp:positionV>
            <wp:extent cx="1117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-7620</wp:posOffset>
            </wp:positionV>
            <wp:extent cx="1117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-24765</wp:posOffset>
            </wp:positionV>
            <wp:extent cx="1111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-7620</wp:posOffset>
            </wp:positionV>
            <wp:extent cx="111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-24765</wp:posOffset>
            </wp:positionV>
            <wp:extent cx="1111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-7620</wp:posOffset>
            </wp:positionV>
            <wp:extent cx="111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-286385</wp:posOffset>
            </wp:positionV>
            <wp:extent cx="90170" cy="299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0170" cy="29972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1111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111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1111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02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-24765</wp:posOffset>
            </wp:positionV>
            <wp:extent cx="93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-7620</wp:posOffset>
            </wp:positionV>
            <wp:extent cx="939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40" w:type="dxa"/>
            <w:vAlign w:val="bottom"/>
          </w:tcPr>
          <w:p>
            <w:pPr>
              <w:spacing w:after="0"/>
              <w:rPr>
                <w:sz w:val="20"/>
                <w:szCs w:val="20"/>
                <w:color w:val="auto"/>
              </w:rPr>
            </w:pPr>
          </w:p>
        </w:tc>
        <w:tc>
          <w:tcPr>
            <w:tcW w:w="36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Nine Months Ended September 30,</w:t>
            </w:r>
          </w:p>
        </w:tc>
      </w:tr>
      <w:tr>
        <w:trPr>
          <w:trHeight w:val="250"/>
        </w:trPr>
        <w:tc>
          <w:tcPr>
            <w:tcW w:w="764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(54,046 )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(26,522 )</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Depreciation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Non-cash interest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Loss on conversion of convertible notes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711</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 of discount on convertible notes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(4,098 )</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560"/>
              <w:spacing w:after="0"/>
              <w:rPr>
                <w:sz w:val="20"/>
                <w:szCs w:val="20"/>
                <w:color w:val="auto"/>
              </w:rPr>
            </w:pPr>
            <w:r>
              <w:rPr>
                <w:rFonts w:ascii="Arial" w:cs="Arial" w:eastAsia="Arial" w:hAnsi="Arial"/>
                <w:sz w:val="18"/>
                <w:szCs w:val="18"/>
                <w:color w:val="auto"/>
              </w:rPr>
              <w:t>Deferred offering costs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1,341</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(232 )</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(459 )</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(1,478 )</w:t>
            </w:r>
          </w:p>
        </w:tc>
      </w:tr>
      <w:tr>
        <w:trPr>
          <w:trHeight w:val="257"/>
        </w:trPr>
        <w:tc>
          <w:tcPr>
            <w:tcW w:w="7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(47,032 )</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(23,855 )</w:t>
            </w: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560"/>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(61 )</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(22 )</w:t>
            </w:r>
          </w:p>
        </w:tc>
      </w:tr>
      <w:tr>
        <w:trPr>
          <w:trHeight w:val="20"/>
        </w:trPr>
        <w:tc>
          <w:tcPr>
            <w:tcW w:w="7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(61 )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(22 )</w:t>
            </w: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0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Business Combination, net</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195,882</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sale of Series B convertible preferred stock, net</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20,084</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convertible notes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r>
      <w:tr>
        <w:trPr>
          <w:trHeight w:val="257"/>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Principal payments on term loan</w:t>
            </w:r>
          </w:p>
        </w:tc>
        <w:tc>
          <w:tcPr>
            <w:tcW w:w="100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(3,333 )</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Borders>
              <w:top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192,659</w:t>
            </w:r>
          </w:p>
        </w:tc>
        <w:tc>
          <w:tcPr>
            <w:tcW w:w="300" w:type="dxa"/>
            <w:vAlign w:val="bottom"/>
            <w:tcBorders>
              <w:top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tcBorders>
              <w:top w:val="single" w:sz="8" w:color="CFF0FC"/>
            </w:tcBorders>
          </w:tcPr>
          <w:p>
            <w:pPr>
              <w:spacing w:after="0"/>
              <w:rPr>
                <w:sz w:val="21"/>
                <w:szCs w:val="2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cash, cash equivalents and restricted cash</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145,566</w:t>
            </w: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1"/>
                <w:szCs w:val="21"/>
                <w:color w:val="auto"/>
              </w:rPr>
            </w:pP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150,392</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3"/>
        </w:trPr>
        <w:tc>
          <w:tcPr>
            <w:tcW w:w="7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9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Conversion of convertible notes to Series B preferred stock</w:t>
            </w: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14,515</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Exercise of warrants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 included in other current assets</w:t>
            </w: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Discount on convertible notes</w:t>
            </w: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w w:val="92"/>
              </w:rPr>
              <w:t>Deferred offering costs included in accounts payable and accrued expenses and other current liabilities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-4333875</wp:posOffset>
            </wp:positionV>
            <wp:extent cx="19748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-4333875</wp:posOffset>
            </wp:positionV>
            <wp:extent cx="5969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-3656965</wp:posOffset>
            </wp:positionV>
            <wp:extent cx="19748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-3656965</wp:posOffset>
            </wp:positionV>
            <wp:extent cx="5969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-2670810</wp:posOffset>
            </wp:positionV>
            <wp:extent cx="19748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-2670810</wp:posOffset>
            </wp:positionV>
            <wp:extent cx="5969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-1996440</wp:posOffset>
            </wp:positionV>
            <wp:extent cx="1974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-1979295</wp:posOffset>
            </wp:positionV>
            <wp:extent cx="1974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-1996440</wp:posOffset>
            </wp:positionV>
            <wp:extent cx="59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-1979295</wp:posOffset>
            </wp:positionV>
            <wp:extent cx="59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-967740</wp:posOffset>
            </wp:positionV>
            <wp:extent cx="1974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-950595</wp:posOffset>
            </wp:positionV>
            <wp:extent cx="1974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-967740</wp:posOffset>
            </wp:positionV>
            <wp:extent cx="59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-950595</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-590550</wp:posOffset>
            </wp:positionV>
            <wp:extent cx="1974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-573405</wp:posOffset>
            </wp:positionV>
            <wp:extent cx="1974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-590550</wp:posOffset>
            </wp:positionV>
            <wp:extent cx="596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-573405</wp:posOffset>
            </wp:positionV>
            <wp:extent cx="59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-213995</wp:posOffset>
            </wp:positionV>
            <wp:extent cx="1974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-196215</wp:posOffset>
            </wp:positionV>
            <wp:extent cx="1974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-213995</wp:posOffset>
            </wp:positionV>
            <wp:extent cx="596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-196215</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02"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Gemini Therapeutics, Inc. (the “Company” or “Gemini”) is a clinical-stage precision medicine company developing novel therapeutic compounds to treat genetically defined, age-related macular degeneration. The Company was founded on March 3, 2015 and is currently located in Cambridge, Massachusetts.</w:t>
      </w:r>
    </w:p>
    <w:p>
      <w:pPr>
        <w:spacing w:after="0" w:line="9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Unless the context otherwise requires, references in these notes to “Gemini”, “the Company”, “we”, “us” and “our” and any related terms are intended to mean Gemini Therapeutics, Inc. and its consolidated subsidiary following the Business Combination (as defined below).</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Since its inception, the Company has devoted substantially all its efforts and financial resources to organizing and staffing the Company, business planning, raising capital, discovering product candidates and securing related intellectual property rights and conducting research and development activities for our product candidates. The Company’s lead product candidate, GEM103, is currently in Phase 2a clinical development and its other product candidate, GEM307, is in the preclinical stage of development.</w:t>
      </w:r>
    </w:p>
    <w:p>
      <w:pPr>
        <w:spacing w:after="0" w:line="14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the Company’s Common Stock in a private placement of public equity (the “PIPE Financing”). Together with FSDC’s cash resources and funding of the PIPE Financing, the Company received net proceeds of approximately $195.9 million.</w:t>
      </w:r>
    </w:p>
    <w:p>
      <w:pPr>
        <w:spacing w:after="0" w:line="1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For additional information on the Business Combination, please refer to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20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compliance with government regulations and the impact of the novel coronavirus disease (“COVID-19”) pandemic. If the Company does not successfully commercialize any of its product candidates, it will be unable to generate recurring product revenue or achieve profitability.</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consultants, third-party contract research organizations and other third-party organizations.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both"/>
        <w:spacing w:after="0" w:line="306" w:lineRule="auto"/>
        <w:rPr>
          <w:sz w:val="20"/>
          <w:szCs w:val="20"/>
          <w:color w:val="auto"/>
        </w:rPr>
      </w:pPr>
      <w:r>
        <w:rPr>
          <w:rFonts w:ascii="Arial" w:cs="Arial" w:eastAsia="Arial" w:hAnsi="Arial"/>
          <w:sz w:val="16"/>
          <w:szCs w:val="16"/>
          <w:color w:val="auto"/>
        </w:rPr>
        <w:t>Prior to the Business Combination, the Company primarily financed its operations through the sale of convertible preferred stock, borrowings under convertible promissory notes and borrowings under loan agreements. The Company believes that its $150.1 million of cash and cash equivalents as of September 30, 2021 will enable it to fund its planned operations for at least twelve months from the issuance date of these condensed consolidated financial statements, though the Company may pursue additional cash resources through public or private equity or debt financings.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If adequate funds are not available to the Company on a timely basis, on acceptable terms or at all,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COVID-19 Pandemic</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March 2020, the World Health Organization declared the COVID-19 outbreak a pandemic. The ongoing COVID-19 pandemic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ongoing COVID-19 pandemic and related impacts have resulted in and will likely continue to result in significant disruptions to the global economy and capital markets around the world. The Company cannot predict the future progression or full impact of the outbreak and its effects on the Company’s business and operations.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 and its third-party contract manufacturers (“CMOs”), contract research organizations (“CROs”) and clinical sites have experienced and may continue to experience disruptions in supply of product candidates and/or procurement of items that are essential for the Company’s research and development activities, including raw materials used in the manufacturing of its product candidates, medical and laboratory supplies used in its clinical trials or preclinical studies or animals that are used for preclinical testing, in each case, for which there may be shortages because of ongoing efforts to address the pandemic.</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Additionally, the Company has enrolled, and will seek to enroll, patients in its clinical trials at sites located both in the United States and internationally. Most of the Company’s clinical trial sites are in areas that have been affected by COVID-19 and, as a result, its trials have been and may continue to be impacted. The Company cannot predict how long or impactful these delays may be on its clinical trials. In addition, even if sites are initiating and actively recruiting, the Company may face difficulties recruiting or retaining patients in its clinical trials if patients are affected by the virus or are unable to or are fearful of visiting or traveling to clinical trial sites because of the outbreak, or if patients are unable or unwilling to be vaccinated or tested. Prolonged delays or closure to enrollment in the Company’s trials or patient discontinuations could have a material adverse impact on its clinical trial plans and timelines. In addition, the Company’s ability to collect and verify data requested of patients enrolled in its clinical trials during this pandemic is being impacted to varying degrees. Clinical trial data collection continues for each of the Company’s clinical trials but at a slower pace, and with challenges and interruptions in data collection, including, in some instances, disruption of collection of complete study data. This could have a material adverse impact on the Company’s data quality and analysis. In addition, clinical trial sites may be unable or unwilling to initiate a new trial if factors relevant to the pandemic render this impracticable. These COVID-19 related issues may prolong the time required to conduct ongoing clinical trials and/or impact the quality of the data obtained from one or more of these studies.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has not incurred impairment losses in the carrying values of its assets as a result of the ongoing COVID-19 pandemic, and it is not aware of any specific related event or circumstance that would require it to revise its estimates reflected in these condensed consolidated financial statements. Although the COVID-19 pandemic did not have a significant impact on the Company’s condensed consolidated financial results in the third quarter of 2021, the full extent to which the ongoing COVID-19 pandemic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February 5, 2021, Old Gemini and FSDC completed the Business Combination pursuant to the Merger Agreement with Old Gemini surviving the merger as a wholly owned subsidiary of FSDC. Net proceeds from the Business Combination totaled approximately $195.9 million, which included funds held in FSDC’s trust account and the completion of the concurrent PIPE Financing.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jc w:val="both"/>
        <w:spacing w:after="0" w:line="306" w:lineRule="auto"/>
        <w:rPr>
          <w:sz w:val="20"/>
          <w:szCs w:val="20"/>
          <w:color w:val="auto"/>
        </w:rPr>
      </w:pPr>
      <w:r>
        <w:rPr>
          <w:rFonts w:ascii="Arial" w:cs="Arial" w:eastAsia="Arial" w:hAnsi="Arial"/>
          <w:sz w:val="16"/>
          <w:szCs w:val="16"/>
          <w:color w:val="auto"/>
        </w:rPr>
        <w:t>In accordance with the terms and subject to the conditions of the Merger Agreement, at the effective time of the Merger, (i) all shares of Old Gemini’s Series B Preferred Stock (including shares of Series B Preferred Stock issued upon conversion of outstanding convertible promissory notes), Series A Preferred Stock and Common Stock (collectively, “Old Gemini Stock”) issued and outstanding immediately prior to the effective time of the Merger, whether vested or unvested, were converted into the right to receive their pro rata portion of the 17,942,274 shares of FSDC Class A Common Stock (the “Common Stock”) issued as Merger consideration (the “Merger Consideration”), provided that 2,150,000 shares of Common Stock are held in escrow for a period of 12 months from the Closing Date to satisfy any indemnification obligations of Old Gemini under the Merger Agreement; (ii) each option exercisable for Old Gemini Stock that was outstanding immediately prior to effective time of the Merger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“2021 Plan”).</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accounted for the Business Combination as a reverse recapitalization, which is the equivalent of Old Gemini issuing stock for the net assets of FSDC, accompanied by a recapitalization, with FSDC treated as the acquired company for accounting purposes. The determination of FSDC as the “acquired” company for accounting purposes was primarily based on the fact that subsequent to the Business Combination, shareholders of Old Gemini prior to the Business Combination have a majority of the voting power of the combined company, the operations of Old Gemini will comprise all of the ongoing operations of the combined entity, and Old Gemini’s senior management will comprise all of the senior management of the combined company.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the Company) (the “Conversion Ratio”).</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the Company incurred equity issuance costs and other costs considered direct and incremental to the transaction totaling $21.0 million, consisting of legal, accounting, financial advisory and other professional fees. These amounts are reflected within additional paid-in capital in the condensed consolidated balance sheet as of September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Financing</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Concurrent with the execution of the Business Combination, the Company entered into subscription agreements with certain investors (the “PIPE Investors”) pursuant to which the PIPE Investors subscribed for and purchased an aggregate of 9,506,000 shares of Common Stock for an aggregate purchase price of $95.1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Net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elements of the net proceeds from the Business Combination as of September 30, 2021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 FSDC Trust Account and cash (net of redemptions)</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121,782</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Cash - PIPE Financing</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95,060</w:t>
            </w:r>
          </w:p>
        </w:tc>
        <w:tc>
          <w:tcPr>
            <w:tcW w:w="100" w:type="dxa"/>
            <w:vAlign w:val="bottom"/>
          </w:tcPr>
          <w:p>
            <w:pPr>
              <w:spacing w:after="0"/>
              <w:rPr>
                <w:sz w:val="21"/>
                <w:szCs w:val="21"/>
                <w:color w:val="auto"/>
              </w:rPr>
            </w:pPr>
          </w:p>
        </w:tc>
      </w:tr>
      <w:tr>
        <w:trPr>
          <w:trHeight w:val="25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Equity issuance costs and other costs paid</w:t>
            </w:r>
          </w:p>
        </w:tc>
        <w:tc>
          <w:tcPr>
            <w:tcW w:w="7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(20,960 )</w:t>
            </w:r>
          </w:p>
        </w:tc>
      </w:tr>
      <w:tr>
        <w:trPr>
          <w:trHeight w:val="250"/>
        </w:trPr>
        <w:tc>
          <w:tcPr>
            <w:tcW w:w="91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proceeds from the Business Combination</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195,882</w:t>
            </w:r>
          </w:p>
        </w:tc>
        <w:tc>
          <w:tcPr>
            <w:tcW w:w="100" w:type="dxa"/>
            <w:vAlign w:val="bottom"/>
            <w:tcBorders>
              <w:top w:val="single" w:sz="8" w:color="CFF0FC"/>
            </w:tcBorders>
          </w:tcPr>
          <w:p>
            <w:pPr>
              <w:spacing w:after="0"/>
              <w:rPr>
                <w:sz w:val="21"/>
                <w:szCs w:val="21"/>
                <w:color w:val="auto"/>
              </w:rPr>
            </w:pPr>
          </w:p>
        </w:tc>
      </w:tr>
      <w:tr>
        <w:trPr>
          <w:trHeight w:val="20"/>
        </w:trPr>
        <w:tc>
          <w:tcPr>
            <w:tcW w:w="9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Shares Issued</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summarizes the number of shares of Common Stock outstanding immediately following the consummation of the Business Combination: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FSDC shares outstanding prior to the Business Combination</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15,535,150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Shares issued pursuant to the PIPE Financing</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Business Combination and PIPE Financing shares</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25,041,150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Conversion of Old Gemini Series A preferred stock for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8,657,869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Old Gemini Series B preferred stock for common stock</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7,744,785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Conversion of Old Gemini common stock for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1,539,603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Issuance of common stock upon exercise of warrants</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9260" w:type="dxa"/>
            <w:vAlign w:val="bottom"/>
          </w:tcPr>
          <w:p>
            <w:pPr>
              <w:ind w:left="200"/>
              <w:spacing w:after="0"/>
              <w:rPr>
                <w:sz w:val="20"/>
                <w:szCs w:val="20"/>
                <w:color w:val="auto"/>
              </w:rPr>
            </w:pPr>
            <w:r>
              <w:rPr>
                <w:rFonts w:ascii="Arial" w:cs="Arial" w:eastAsia="Arial" w:hAnsi="Arial"/>
                <w:sz w:val="18"/>
                <w:szCs w:val="18"/>
                <w:color w:val="auto"/>
              </w:rPr>
              <w:t>Total shares of the Company's common stock outstanding immediately following</w:t>
            </w: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42,998,664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9260" w:type="dxa"/>
            <w:vAlign w:val="bottom"/>
          </w:tcPr>
          <w:p>
            <w:pPr>
              <w:ind w:left="340"/>
              <w:spacing w:after="0" w:line="203" w:lineRule="exact"/>
              <w:rPr>
                <w:sz w:val="20"/>
                <w:szCs w:val="20"/>
                <w:color w:val="auto"/>
              </w:rPr>
            </w:pPr>
            <w:r>
              <w:rPr>
                <w:rFonts w:ascii="Arial" w:cs="Arial" w:eastAsia="Arial" w:hAnsi="Arial"/>
                <w:sz w:val="18"/>
                <w:szCs w:val="18"/>
                <w:color w:val="auto"/>
              </w:rPr>
              <w:t>the Business Combination</w:t>
            </w:r>
          </w:p>
        </w:tc>
        <w:tc>
          <w:tcPr>
            <w:tcW w:w="1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5580"/>
              <w:spacing w:after="0"/>
              <w:rPr>
                <w:sz w:val="20"/>
                <w:szCs w:val="20"/>
                <w:color w:val="auto"/>
              </w:rPr>
            </w:pPr>
            <w:r>
              <w:rPr>
                <w:rFonts w:ascii="Arial" w:cs="Arial" w:eastAsia="Arial" w:hAnsi="Arial"/>
                <w:sz w:val="18"/>
                <w:szCs w:val="18"/>
                <w:color w:val="auto"/>
              </w:rPr>
              <w:t>8</w:t>
            </w: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9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-828040</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ind w:right="7680" w:firstLine="8"/>
        <w:spacing w:after="0" w:line="479"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accompanying unaudited condensed consolidated financial statements include those of the Company and its subsidiary, Gemini Therapeutics Sub, Inc., after elimination of all intercompany accounts and transactions. The accompanying unaudited condensed consolidated financial statements and notes hereto have been prepared in conformity with the rules and regulations of the Securities and Exchange Commission (“SEC”) for interim financial reporting and, therefore, omit or condense certain footnotes and other information normally included in financial statements prepared in accordance with accounting principles generally accepted in the United States of America (“GAAP”) as set forth in the Financial Accounting Standards Board’s (“FASB”). Any reference in these notes to applicable guidance is meant to refer to the authoritative GAAP as found in the Accounting Standards Codification (“ASC”) and Accounting Standards Updates (“ASU”) of the FASB.</w:t>
      </w:r>
    </w:p>
    <w:p>
      <w:pPr>
        <w:spacing w:after="0" w:line="14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In the opinion of management, all adjustments necessary for a fair statement of the financial information, which are of a normal and recurring nature, have been made for the interim periods reported. Results of operations for the three and nine months ended September 30, 2021 and 2020 are not necessarily indicative of the results for the entire fiscal year or any other period. The condensed consolidated financial information for the three and nine months ended September 30, 2021 and 2020 have been prepared on the same basis as and should be read in conjunction with Old Gemini’s audited financial statements and notes thereto for the year ended December 31, 2020 included in the Company’s Form 8-K/A as filed with the SEC on March 29, 2021.</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As a result of the Business Combination,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For additional information regarding the Business Combination, please refer to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effect the reported amounts of assets and liabilities and disclosure of contingent assets and liabilities at the date of the financial statements and the reported amounts of expenses during the reporting periods. Significant estimates contained within these financial statements include, but are not limited to, the accruals of research and development expenses, share-based awards utilized for stock-based compensation purposes and, prior to the Business Combination, the estimated fair value of the Company’s common stock and warrant liability.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as of September 30, 2021 and 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02"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Restricted cash amounted to $0.3 million as of September 30, 2021 and December 31, 2020, which consists of $0.1 million to collateralize the Company’s credit card and $0.2 million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 reconciliation of the cash and cash equivalents and restricted cash as presented in the Company’s balance sheets to the Company’s statements of cash flows is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9"/>
                <w:szCs w:val="19"/>
                <w:color w:val="auto"/>
              </w:rPr>
            </w:pPr>
          </w:p>
        </w:tc>
      </w:tr>
      <w:tr>
        <w:trPr>
          <w:trHeight w:val="241"/>
        </w:trPr>
        <w:tc>
          <w:tcPr>
            <w:tcW w:w="4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6"/>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150,069</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FF0FC"/>
          </w:tcPr>
          <w:p>
            <w:pPr>
              <w:spacing w:after="0"/>
              <w:rPr>
                <w:sz w:val="22"/>
                <w:szCs w:val="22"/>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r>
      <w:tr>
        <w:trPr>
          <w:trHeight w:val="290"/>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150,392</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00" w:type="dxa"/>
            <w:vAlign w:val="bottom"/>
            <w:shd w:val="clear" w:color="auto" w:fill="CFF0FC"/>
          </w:tcPr>
          <w:p>
            <w:pPr>
              <w:spacing w:after="0"/>
              <w:rPr>
                <w:sz w:val="24"/>
                <w:szCs w:val="24"/>
                <w:color w:val="auto"/>
              </w:rPr>
            </w:pPr>
          </w:p>
        </w:tc>
      </w:tr>
      <w:tr>
        <w:trPr>
          <w:trHeight w:val="662"/>
        </w:trPr>
        <w:tc>
          <w:tcPr>
            <w:tcW w:w="4500" w:type="dxa"/>
            <w:vAlign w:val="bottom"/>
            <w:tcBorders>
              <w:top w:val="single" w:sz="8" w:color="CFF0FC"/>
            </w:tcBorders>
          </w:tcPr>
          <w:p>
            <w:pPr>
              <w:spacing w:after="0"/>
              <w:rPr>
                <w:sz w:val="24"/>
                <w:szCs w:val="24"/>
                <w:color w:val="auto"/>
              </w:rPr>
            </w:pPr>
          </w:p>
        </w:tc>
        <w:tc>
          <w:tcPr>
            <w:tcW w:w="3140" w:type="dxa"/>
            <w:vAlign w:val="bottom"/>
            <w:tcBorders>
              <w:top w:val="single" w:sz="8" w:color="CFF0FC"/>
            </w:tcBorders>
          </w:tcPr>
          <w:p>
            <w:pPr>
              <w:jc w:val="right"/>
              <w:ind w:right="189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-539115</wp:posOffset>
            </wp:positionV>
            <wp:extent cx="1803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-522605</wp:posOffset>
            </wp:positionV>
            <wp:extent cx="1803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0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a straight-line basis over the estimated useful lives of the assets. The estimated useful lives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equipment</w:t>
            </w:r>
          </w:p>
        </w:tc>
        <w:tc>
          <w:tcPr>
            <w:tcW w:w="668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4"/>
              </w:rPr>
              <w:t>3 years</w:t>
            </w:r>
          </w:p>
        </w:tc>
      </w:tr>
      <w:tr>
        <w:trPr>
          <w:trHeight w:val="250"/>
        </w:trPr>
        <w:tc>
          <w:tcPr>
            <w:tcW w:w="456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6680" w:type="dxa"/>
            <w:vAlign w:val="bottom"/>
          </w:tcPr>
          <w:p>
            <w:pPr>
              <w:jc w:val="center"/>
              <w:ind w:left="1010"/>
              <w:spacing w:after="0"/>
              <w:rPr>
                <w:sz w:val="20"/>
                <w:szCs w:val="20"/>
                <w:color w:val="auto"/>
              </w:rPr>
            </w:pPr>
            <w:r>
              <w:rPr>
                <w:rFonts w:ascii="Arial" w:cs="Arial" w:eastAsia="Arial" w:hAnsi="Arial"/>
                <w:sz w:val="18"/>
                <w:szCs w:val="18"/>
                <w:color w:val="auto"/>
                <w:w w:val="84"/>
              </w:rPr>
              <w:t>5 years</w:t>
            </w:r>
          </w:p>
        </w:tc>
      </w:tr>
      <w:tr>
        <w:trPr>
          <w:trHeight w:val="263"/>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Laboratory equipment</w:t>
            </w:r>
          </w:p>
        </w:tc>
        <w:tc>
          <w:tcPr>
            <w:tcW w:w="668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4"/>
              </w:rPr>
              <w:t>3 years</w:t>
            </w:r>
          </w:p>
        </w:tc>
      </w:tr>
      <w:tr>
        <w:trPr>
          <w:trHeight w:val="242"/>
        </w:trPr>
        <w:tc>
          <w:tcPr>
            <w:tcW w:w="456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6680" w:type="dxa"/>
            <w:vAlign w:val="bottom"/>
          </w:tcPr>
          <w:p>
            <w:pPr>
              <w:jc w:val="center"/>
              <w:ind w:left="1010"/>
              <w:spacing w:after="0"/>
              <w:rPr>
                <w:sz w:val="20"/>
                <w:szCs w:val="20"/>
                <w:color w:val="auto"/>
              </w:rPr>
            </w:pPr>
            <w:r>
              <w:rPr>
                <w:rFonts w:ascii="Arial" w:cs="Arial" w:eastAsia="Arial" w:hAnsi="Arial"/>
                <w:sz w:val="18"/>
                <w:szCs w:val="18"/>
                <w:color w:val="auto"/>
                <w:w w:val="90"/>
              </w:rPr>
              <w:t>Shorter of the useful life of the asset</w:t>
            </w:r>
          </w:p>
        </w:tc>
      </w:tr>
      <w:tr>
        <w:trPr>
          <w:trHeight w:val="230"/>
        </w:trPr>
        <w:tc>
          <w:tcPr>
            <w:tcW w:w="4560" w:type="dxa"/>
            <w:vAlign w:val="bottom"/>
          </w:tcPr>
          <w:p>
            <w:pPr>
              <w:spacing w:after="0"/>
              <w:rPr>
                <w:sz w:val="20"/>
                <w:szCs w:val="20"/>
                <w:color w:val="auto"/>
              </w:rPr>
            </w:pPr>
          </w:p>
        </w:tc>
        <w:tc>
          <w:tcPr>
            <w:tcW w:w="6680" w:type="dxa"/>
            <w:vAlign w:val="bottom"/>
          </w:tcPr>
          <w:p>
            <w:pPr>
              <w:jc w:val="center"/>
              <w:ind w:left="1010"/>
              <w:spacing w:after="0"/>
              <w:rPr>
                <w:sz w:val="20"/>
                <w:szCs w:val="20"/>
                <w:color w:val="auto"/>
              </w:rPr>
            </w:pPr>
            <w:r>
              <w:rPr>
                <w:rFonts w:ascii="Arial" w:cs="Arial" w:eastAsia="Arial" w:hAnsi="Arial"/>
                <w:sz w:val="18"/>
                <w:szCs w:val="18"/>
                <w:color w:val="auto"/>
                <w:w w:val="91"/>
              </w:rPr>
              <w:t>or the life of the lease</w:t>
            </w: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normal, recurring or periodic repairs and maintenance activities are charged to expense as incurred.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offering. Should the in-process equity financing be abandoned, the deferred offering costs will be expensed immediately as a charge to operating expenses in the condensed consolidated statements of operations and comprehensive loss. The Company had no deferred offering costs as of September 30, 2021. As of December 31, 2020, the Company recorded deferred offering costs of $2.6 million related to the costs incurred in connection with the Business Combination.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line="293" w:lineRule="auto"/>
        <w:rPr>
          <w:sz w:val="20"/>
          <w:szCs w:val="20"/>
          <w:color w:val="auto"/>
        </w:rPr>
      </w:pPr>
      <w:r>
        <w:rPr>
          <w:rFonts w:ascii="Arial" w:cs="Arial" w:eastAsia="Arial" w:hAnsi="Arial"/>
          <w:sz w:val="18"/>
          <w:szCs w:val="18"/>
          <w:color w:val="auto"/>
        </w:rPr>
        <w:t>classified and disclosed in one of the following three levels of the fair value hierarchy, of which the first two are considered observable and the last is considered unobservable: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Quoted prices in active markets that are identical assets or liabilities.</w:t>
      </w:r>
    </w:p>
    <w:p>
      <w:pPr>
        <w:spacing w:after="0" w:line="198" w:lineRule="exact"/>
        <w:rPr>
          <w:sz w:val="20"/>
          <w:szCs w:val="20"/>
          <w:color w:val="auto"/>
        </w:rPr>
      </w:pPr>
    </w:p>
    <w:p>
      <w:pPr>
        <w:jc w:val="both"/>
        <w:ind w:left="380"/>
        <w:spacing w:after="0" w:line="279"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2" w:lineRule="exact"/>
        <w:rPr>
          <w:sz w:val="20"/>
          <w:szCs w:val="20"/>
          <w:color w:val="auto"/>
        </w:rPr>
      </w:pPr>
    </w:p>
    <w:p>
      <w:pPr>
        <w:jc w:val="both"/>
        <w:ind w:left="380"/>
        <w:spacing w:after="0" w:line="293" w:lineRule="auto"/>
        <w:rPr>
          <w:sz w:val="20"/>
          <w:szCs w:val="20"/>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Company’s cash equivalents and preferred stock warrant liability (outstanding as of December 31, 2020) are carried at fair value, determined according to the fair value hierarchy described above (see Note 5). The carrying values of the Company’s prepaid expenses and other current assets and accounts payable and accrued expenses approximate their fair values due to the short-term nature of these assets and liabilities. The carrying value of the Company’s term loan as of September 30, 2021 and December 31, 2020 (see Note 7) approximated fair value based on interest rates currently available to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February 2019, concurrent with the Company’s term loan agreement (see Note 7), the Company issued warrants to purchase shares of Old Gemini’s Series A preferred stock. The Company accounted for the warrants to purchase Series A preferred stock as a liability as these warrants were freestanding financial instruments that may have required the Company to transfer assets upon exercise. The fair value of the warrants classified as liabilities is estimated using the Black-Scholes Option Pricing Model and adjusted to fair value at the end of each reporting period. Changes in the fair value of the warrants are recognized as a component of other income (expense) in the condensed consolidated statements of operations and comprehensive loss. The estimates in the Black-Scholes Option Pricing Model are based, in part, on subjective assumptions, including stock price volatility, term of the warrants, risk-free interest rate, dividend yield and the fair value of the preferred stock underlying the warrants. Such assumptions could differ materially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of the Business Combination, the warrants were automatically exercised for 15,257 shares of the Company’s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contract costs and accruals</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Research and development expenses include employee payroll, consulting, contract research and manufacturing, depreciation, rent and other corporate costs attributable to research and development activities and are expensed as incurred.</w:t>
      </w:r>
    </w:p>
    <w:p>
      <w:pPr>
        <w:spacing w:after="0" w:line="12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Upfront payments and milestone payments made for the licensing of technology are expensed as research and development expenses in the period in which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Patent costs</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expenses all patent-related costs incurred in connection with filing and prosecuting patent applications. It records such costs within general and administrative expenses in its accompanying statements of operations and comprehensive loss.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Preferred and Common Stock</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Prior to the completion of the Business Combination transaction, given that there had been no public market for the Company’s common stock, the estimated fair value of its common stock was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 Company’s common stock valuations were prepared using an option pricing method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("PWERM") where the equity value in one or more scenarios is calculated using an OPM. The PWERM is a scenario-based methodology that estimates the fair value of the Company’s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5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the Company’s common stock as reported by Nasdaq on the date of grant.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Stock Option Awards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Prior to the Business Combination, the Company was a private company and, therefore, lacked company-specific historical and implied volatility information for its stock. Therefore, it estimated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 w:name="page18"/>
    <w:bookmarkEnd w:id="17"/>
    <w:p>
      <w:pPr>
        <w:jc w:val="both"/>
        <w:ind w:right="20"/>
        <w:spacing w:after="0" w:line="293" w:lineRule="auto"/>
        <w:rPr>
          <w:sz w:val="20"/>
          <w:szCs w:val="20"/>
          <w:color w:val="auto"/>
        </w:rPr>
      </w:pPr>
      <w:r>
        <w:rPr>
          <w:rFonts w:ascii="Arial" w:cs="Arial" w:eastAsia="Arial" w:hAnsi="Arial"/>
          <w:sz w:val="18"/>
          <w:szCs w:val="18"/>
          <w:color w:val="auto"/>
        </w:rPr>
        <w:t>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condensed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2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accounts for uncertainty in income taxes recognized in the condensed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condensed consolidated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Company calculates earnings per share in accordance with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two-class method of computing earnings per share is required for entities that have participating securities. Under the two-class method, net income is allocated between ordinary shares and participating securities based on dividends declared (or accumulated) and participating rights in undistributed earnings as if all the earnings for the reporting period had been distributed.</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loss per share as their effect is anti-dilutive.</w:t>
      </w:r>
    </w:p>
    <w:p>
      <w:pPr>
        <w:spacing w:after="0" w:line="15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three and nine months ended September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at the same time that they become applicable to other public companies that are not EGCs, unless it chooses to early adopt a new or revised accounting standard. As a result of this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jc w:val="both"/>
        <w:spacing w:after="0" w:line="293" w:lineRule="auto"/>
        <w:rPr>
          <w:sz w:val="20"/>
          <w:szCs w:val="20"/>
          <w:color w:val="auto"/>
        </w:rPr>
      </w:pPr>
      <w:r>
        <w:rPr>
          <w:rFonts w:ascii="Arial" w:cs="Arial" w:eastAsia="Arial" w:hAnsi="Arial"/>
          <w:sz w:val="18"/>
          <w:szCs w:val="18"/>
          <w:color w:val="auto"/>
        </w:rPr>
        <w:t>election, the condensed consolidated financial statements may not be comparable to companies that comply with public company FASB standards’ effective dates.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(“ASU 2018-18”). The amendments in this update clarify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standard became effective for the Company on January 1, 2021 and did not have a material impact on its condensed consolidated financial statements as the Company had no transactions applicable to this guidance; however, the standard may impact how the Company accounts for certain business transactions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the FASB Accounting Standards Codification (</w:t>
      </w:r>
      <w:r>
        <w:rPr>
          <w:rFonts w:ascii="Arial" w:cs="Arial" w:eastAsia="Arial" w:hAnsi="Arial"/>
          <w:sz w:val="16"/>
          <w:szCs w:val="16"/>
          <w:color w:val="auto"/>
        </w:rPr>
        <w:t>“ASU 2016-02”), which replaces the existing guidance for leases. ASU 2016-02 requires the identification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guidance is effective for annual reporting periods beginning after December 15, 2021 and interim periods beginning after December 15, 2022, and early adoption is permitted. The Company is currently evaluating the impact that the adoption of ASU 2016-02 will have on its consolidated financial statements and related disclosures. While the Company continues to evaluate the impact of adopting the new standard, the Company currently anticipates applying the modified retrospective approach effective January 1, 2022. The Company currently expects to elect the package of practical expedients which allows entities to not reassess (i) whether an arrangement is or contains a lease, (ii) the classification of its leases, and (iii) the accounting for initial direct costs. Further, the Company currently anticipates electing, by class of underlying asset, the short-term lease exception for leases with terms of twelve months or less. In doing so, the Company will not recognize a lease liability or right-of-use asset on its balance sheets for such short-term leases. Finally, the Company currently expects to elect, by class of underlying asset, the practical expedient to not separate lease and non-lease components. The Company expects the impact of adoption to include: (i) the recognition of right-of-use assets and lease liabilities arising from its leases of office and laboratory space; (ii) the reclassification of deferred rent and unamortized tenant incentives; and (iii) new and expanded disclosure requirements.</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 (Topic 326)—Measurement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has been subsequently amended by ASU No. 2018-19, ASU No. 2019-04, ASU No. 2019-05, ASU No. 2019-10, ASU No. 2019-11 and</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2020-3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potential impact that ASU 2016-13 may have on its consolidated financial statements and related disclosures.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the accounting for income taxes. ASU 2019-12 removes certain exceptions to the general principles in Topic 740 and also clarifies and amends existing guidance to improve consistent application. The new standard will be effective for annual reporting periods beginning after December 15, 2021. The Company does not expect that the adoption of ASU 2018-18 will have a material impact on its consolidated financial statements and related disclosures.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w:t>
      </w:r>
      <w:r>
        <w:rPr>
          <w:rFonts w:ascii="Arial" w:cs="Arial" w:eastAsia="Arial" w:hAnsi="Arial"/>
          <w:sz w:val="18"/>
          <w:szCs w:val="18"/>
          <w:color w:val="auto"/>
        </w:rPr>
        <w:t>(“ASU 2020-06”), which reduces the number of accounting models for convertible 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preferred stock as well as amends the derivatives scope exception for contracts in an entity’s own equity. ASU 2020-06 is effective for the Company on January 1, 2024, with early adoption permitted. The Company is currently evaluating the potential impact that this standard may have on its consolidated financial statements and related disclosures.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5. Fair value measurements</w:t>
      </w:r>
    </w:p>
    <w:p>
      <w:pPr>
        <w:spacing w:after="0" w:line="20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(in thousands) on a recurring basis and indicate the level of the fair value hierarchy used to determine such fair values: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57"/>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Money market funds in cash and cash equivalents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149,318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149,318</w:t>
            </w:r>
          </w:p>
        </w:tc>
        <w:tc>
          <w:tcPr>
            <w:tcW w:w="80" w:type="dxa"/>
            <w:vAlign w:val="bottom"/>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7"/>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4"/>
                <w:szCs w:val="24"/>
                <w:color w:val="auto"/>
              </w:rPr>
            </w:pPr>
          </w:p>
        </w:tc>
      </w:tr>
      <w:tr>
        <w:trPr>
          <w:trHeight w:val="25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Money market funds in cash and cash equivalents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4,015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4,015</w:t>
            </w:r>
          </w:p>
        </w:tc>
        <w:tc>
          <w:tcPr>
            <w:tcW w:w="80" w:type="dxa"/>
            <w:vAlign w:val="bottom"/>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5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76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values of cash equivalents are classified as Level 1 measurements under the fair value hierarchy as these assets have been valued using quoted market prices in active markets and do not have any restrictions on redemption. As of September 30, 2021 and December 31, 2020, cash equivalents were comprised of funds in money market accounts. There were no transfers or reclassifications between Level 1, Level 2 and Level 3 during the three and nine months ended September 30, 2021.</w:t>
      </w:r>
    </w:p>
    <w:p>
      <w:pPr>
        <w:spacing w:after="0" w:line="15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value of the warrant liability is classified as a Level 3 measurement under the fair value hierarchy, as this liability has been valued based on significant inputs not observable in the market.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Series A Preferred Stock</w:t>
      </w:r>
    </w:p>
    <w:p>
      <w:pPr>
        <w:spacing w:after="0" w:line="19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February 2019, concurrent with the Company’s term loan agreement, the Company issued warrants to purchase 15,257 shares of Old Gemini’s Series A preferred stock. The warrants had an exercise price of $5.46 per share and expired in February 2029, representing a contractual term of ten years from issuance. At the closing of the Business Combination, the warrants were automatically exercised for 15,257 shares of the Company’s common stock.</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fair value of the warrants was recorded as a liability on the date of issuance and was revalued at the end of each reporting period until being exercised upon the closing of the Business Combination.</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following table provides a roll-forward of the activity of the Company’s Series A preferred stock warrant liability, which represents a recurring measurement that is classified within Level 3 of the fair value hierarchy wherein fair value is estimated using significant unobservable inputs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2020</w:t>
            </w:r>
          </w:p>
        </w:tc>
        <w:tc>
          <w:tcPr>
            <w:tcW w:w="180" w:type="dxa"/>
            <w:vAlign w:val="bottom"/>
            <w:shd w:val="clear" w:color="auto" w:fill="CFF0FC"/>
          </w:tcPr>
          <w:p>
            <w:pPr>
              <w:spacing w:after="0"/>
              <w:rPr>
                <w:sz w:val="22"/>
                <w:szCs w:val="22"/>
                <w:color w:val="auto"/>
              </w:rPr>
            </w:pPr>
          </w:p>
        </w:tc>
        <w:tc>
          <w:tcPr>
            <w:tcW w:w="17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Warrant exercise</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(76 )</w:t>
            </w: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September 30, 2021</w:t>
            </w:r>
          </w:p>
        </w:tc>
        <w:tc>
          <w:tcPr>
            <w:tcW w:w="18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6"/>
        </w:trPr>
        <w:tc>
          <w:tcPr>
            <w:tcW w:w="7640" w:type="dxa"/>
            <w:vAlign w:val="bottom"/>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64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7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7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and benefits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Accrued external research and development</w:t>
            </w:r>
          </w:p>
        </w:tc>
        <w:tc>
          <w:tcPr>
            <w:tcW w:w="1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4,482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other</w:t>
            </w: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6,722</w:t>
            </w:r>
          </w:p>
        </w:tc>
        <w:tc>
          <w:tcPr>
            <w:tcW w:w="2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-2047875</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-2030730</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-193675</wp:posOffset>
            </wp:positionV>
            <wp:extent cx="18034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February 2019, the Company entered into a term loan facility of up to $10.0 million (the “Term Loan”) with Silicon Valley Bank (“SVB”). The proceeds were used for general corporate and working capital purposes. Concurrent with the Term Loan,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both"/>
        <w:spacing w:after="0" w:line="359" w:lineRule="auto"/>
        <w:rPr>
          <w:sz w:val="20"/>
          <w:szCs w:val="20"/>
          <w:color w:val="auto"/>
        </w:rPr>
      </w:pPr>
      <w:r>
        <w:rPr>
          <w:rFonts w:ascii="Arial" w:cs="Arial" w:eastAsia="Arial" w:hAnsi="Arial"/>
          <w:sz w:val="16"/>
          <w:szCs w:val="16"/>
          <w:color w:val="auto"/>
        </w:rPr>
        <w:t>issued SVB warrants to purchase 15,257 shares of the Company’s Series A preferred stock at an exercise price of $5.46 (see Note 5). As of September 30, 2021 and December 31, 2020, the Company had $6.7 million and $10.0 million, respectively, in principal outstanding under the Term Loan.</w:t>
      </w:r>
    </w:p>
    <w:p>
      <w:pPr>
        <w:spacing w:after="0" w:line="9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Term Loan is governed by a loan and security agreement, entered into in February 2019, between the Company and SVB (the “SVB Loan Agreement”). The SVB Loan Agreement provided for two separate tranches under which the Company could borrow. In April 2019, the Company borrowed $7.5 million under the first tranche, and in December 2019, the Company borrowed $2.5 million under the second tranche.</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Term Loan initially matured in July 2022 and accrues interest at a floating rate per annum equal to the greater of 3.75% or the prime rate minus 1.5% (1.75% as of September 30, 2021). The Term Loan initially provided for monthly interest-only payments until July 2020. Thereafter, payments are payable in equal monthly installments of principal, plus all accrued and unpaid interest. The Company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April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occurred in February 2021. The required monthly interest-only payment was not impacted by the deferral. The Term Loan’s new maturity date is in January 2023. After considering the debt guidance in ASC 470, the Company concluded that it did not meet the indicators of a troubled debt restructuring and accounted for the deferral of principal payment as a debt modification. Since there were no fees paid to SVB in connection with the deferral agreement, the Company did not record any adjustments to the Company’s condensed consolidated financial statements related to this deferral.</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September 30, 2021 and December 31, 2020, the Company had a liability related to the end of term charge of $0.3 million and $0.2 million, respectively, which has been classified within other long-term liabilities.</w:t>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September 30,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As of September 30, 2021, scheduled principal payments for the Term Loan are as follows (in thousands):</w:t>
            </w: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920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(remaining three months)</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22"/>
                <w:szCs w:val="22"/>
                <w:color w:val="auto"/>
              </w:rPr>
            </w:pPr>
          </w:p>
        </w:tc>
      </w:tr>
      <w:tr>
        <w:trPr>
          <w:trHeight w:val="250"/>
        </w:trPr>
        <w:tc>
          <w:tcPr>
            <w:tcW w:w="9200" w:type="dxa"/>
            <w:vAlign w:val="bottom"/>
          </w:tcPr>
          <w:p>
            <w:pPr>
              <w:ind w:left="20"/>
              <w:spacing w:after="0"/>
              <w:rPr>
                <w:sz w:val="20"/>
                <w:szCs w:val="20"/>
                <w:color w:val="auto"/>
              </w:rPr>
            </w:pPr>
            <w:r>
              <w:rPr>
                <w:rFonts w:ascii="Arial" w:cs="Arial" w:eastAsia="Arial" w:hAnsi="Arial"/>
                <w:sz w:val="18"/>
                <w:szCs w:val="18"/>
                <w:color w:val="auto"/>
              </w:rPr>
              <w:t>2022</w:t>
            </w: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r>
      <w:tr>
        <w:trPr>
          <w:trHeight w:val="263"/>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7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8"/>
                <w:szCs w:val="18"/>
                <w:color w:val="auto"/>
              </w:rPr>
              <w:t>Total principal</w:t>
            </w: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21"/>
                <w:szCs w:val="21"/>
                <w:color w:val="auto"/>
              </w:rPr>
            </w:pPr>
          </w:p>
        </w:tc>
      </w:tr>
      <w:tr>
        <w:trPr>
          <w:trHeight w:val="26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Unamortized discounts</w:t>
            </w:r>
          </w:p>
        </w:tc>
        <w:tc>
          <w:tcPr>
            <w:tcW w:w="7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(20 )</w:t>
            </w:r>
          </w:p>
        </w:tc>
      </w:tr>
      <w:tr>
        <w:trPr>
          <w:trHeight w:val="243"/>
        </w:trPr>
        <w:tc>
          <w:tcPr>
            <w:tcW w:w="9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Carrying amount</w:t>
            </w:r>
          </w:p>
        </w:tc>
        <w:tc>
          <w:tcPr>
            <w:tcW w:w="7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100" w:type="dxa"/>
            <w:vAlign w:val="bottom"/>
            <w:tcBorders>
              <w:top w:val="single" w:sz="8" w:color="CFF0FC"/>
            </w:tcBorders>
          </w:tcPr>
          <w:p>
            <w:pPr>
              <w:spacing w:after="0"/>
              <w:rPr>
                <w:sz w:val="21"/>
                <w:szCs w:val="21"/>
                <w:color w:val="auto"/>
              </w:rPr>
            </w:pPr>
          </w:p>
        </w:tc>
      </w:tr>
      <w:tr>
        <w:trPr>
          <w:trHeight w:val="26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7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(5,000 )</w:t>
            </w:r>
          </w:p>
        </w:tc>
      </w:tr>
      <w:tr>
        <w:trPr>
          <w:trHeight w:val="250"/>
        </w:trPr>
        <w:tc>
          <w:tcPr>
            <w:tcW w:w="9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Long-term portion</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top w:val="single" w:sz="8" w:color="CFF0FC"/>
            </w:tcBorders>
          </w:tcPr>
          <w:p>
            <w:pPr>
              <w:spacing w:after="0"/>
              <w:rPr>
                <w:sz w:val="21"/>
                <w:szCs w:val="21"/>
                <w:color w:val="auto"/>
              </w:rPr>
            </w:pPr>
          </w:p>
        </w:tc>
      </w:tr>
      <w:tr>
        <w:trPr>
          <w:trHeight w:val="20"/>
        </w:trPr>
        <w:tc>
          <w:tcPr>
            <w:tcW w:w="9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-862330</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Interest expense was $0.1 million for each of the three months ended September 30, 2021 and 2020 and $0.4 million for each of the nine months ended September 30, 2021 and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promissory notes</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August 2020, Old Gemini entered into a purchase agreement with various investors to issue $14.0 million in convertible promissory notes (the “Notes”). The Notes accrued simple interest at 8% per annum. The Company determined that a beneficial conversion feature (“BCF”) existed and should be recognized on the issuance date. The Company recorded the Notes at the original issuance price, net of the BCF discount. The BCF discount was accreted to the face value of the Notes over the period from the issuance date until the maturity date, offset against interest expense.</w:t>
      </w:r>
    </w:p>
    <w:p>
      <w:pPr>
        <w:spacing w:after="0" w:line="12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Notes served as a bridge loan prior to the PIPE Financing that was completed in connection with the closing of the Business Combination. The Notes were intended to automatically convert into shares of common stock issued in the PIPE Financing at a per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jc w:val="both"/>
        <w:spacing w:after="0" w:line="290" w:lineRule="auto"/>
        <w:rPr>
          <w:sz w:val="20"/>
          <w:szCs w:val="20"/>
          <w:color w:val="auto"/>
        </w:rPr>
      </w:pPr>
      <w:r>
        <w:rPr>
          <w:rFonts w:ascii="Arial" w:cs="Arial" w:eastAsia="Arial" w:hAnsi="Arial"/>
          <w:sz w:val="17"/>
          <w:szCs w:val="17"/>
          <w:color w:val="auto"/>
        </w:rPr>
        <w:t>share conversion price equal to the lowest per share price paid for such shares of common stock in the PIPE Financing.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 and the Notes liability was extinguished. The Company recorded other expense of $0 and $0.7 million for the difference between the reacquisition price of the Notes and the net carrying amount of the Notes in the condensed consolidated statements of operations and comprehensive loss for the three and nine months ended September 30,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As of December 31, 2020, the carrying value of the Notes was as follows (in thousands):</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9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amount</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22"/>
                <w:szCs w:val="22"/>
                <w:color w:val="auto"/>
              </w:rPr>
            </w:pPr>
          </w:p>
        </w:tc>
      </w:tr>
      <w:tr>
        <w:trPr>
          <w:trHeight w:val="257"/>
        </w:trPr>
        <w:tc>
          <w:tcPr>
            <w:tcW w:w="9200" w:type="dxa"/>
            <w:vAlign w:val="bottom"/>
          </w:tcPr>
          <w:p>
            <w:pPr>
              <w:ind w:left="20"/>
              <w:spacing w:after="0"/>
              <w:rPr>
                <w:sz w:val="20"/>
                <w:szCs w:val="20"/>
                <w:color w:val="auto"/>
              </w:rPr>
            </w:pPr>
            <w:r>
              <w:rPr>
                <w:rFonts w:ascii="Arial" w:cs="Arial" w:eastAsia="Arial" w:hAnsi="Arial"/>
                <w:sz w:val="18"/>
                <w:szCs w:val="18"/>
                <w:color w:val="auto"/>
              </w:rPr>
              <w:t>Unamortized discount (beneficial conversion feature)</w:t>
            </w:r>
          </w:p>
        </w:tc>
        <w:tc>
          <w:tcPr>
            <w:tcW w:w="74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(2,311 )</w:t>
            </w:r>
          </w:p>
        </w:tc>
      </w:tr>
      <w:tr>
        <w:trPr>
          <w:trHeight w:val="250"/>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amount</w:t>
            </w:r>
          </w:p>
        </w:tc>
        <w:tc>
          <w:tcPr>
            <w:tcW w:w="74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shd w:val="clear" w:color="auto" w:fill="CFF0FC"/>
          </w:tcPr>
          <w:p>
            <w:pPr>
              <w:spacing w:after="0"/>
              <w:rPr>
                <w:sz w:val="21"/>
                <w:szCs w:val="21"/>
                <w:color w:val="auto"/>
              </w:rPr>
            </w:pPr>
          </w:p>
        </w:tc>
      </w:tr>
      <w:tr>
        <w:trPr>
          <w:trHeight w:val="257"/>
        </w:trPr>
        <w:tc>
          <w:tcPr>
            <w:tcW w:w="920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74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(11,689 )</w:t>
            </w:r>
          </w:p>
        </w:tc>
      </w:tr>
      <w:tr>
        <w:trPr>
          <w:trHeight w:val="290"/>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portion</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Interest expense was approximately of $0 and $1.9 million for the three months ended September 30, 2021 and 2020, respectively, and approximately $1.7 million and $1.9 million for the nine months ended September 30, 2021 and 2020,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(Deficit)</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The condensed consolidated statement of stockholders’ equity (deficit) has been retroactively adjusted for all periods presented to reflect the Business Combination and reverse recapitalization as defined in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Upon closing of the Business Combination and pursuant to the terms of the Amended and Restated Certificate of Incorporation entered into on February 5, 2021, the Company authorized 10,000,000 shares of preferred stock with a par value $0.0001 per share. The Company’s board of directors has the authority, without further action by the stockholders, to issue such shares of preferred stock in one or more series, to establish from time to time the number of shares to be included in each such series, and to fix the designations, powers, voting, and other rights, preferences and privileges of the shares. There were no issued and outstanding shares of preferred stock as of September 30, 2021.</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connection with the closing of the Business Combination, all previously issued and outstanding Series A convertible preferred stock and Series B convertible preferred stock were exchanged for common stock of the Company pursuant to the Conversion Ratio established in the Merger Agreement. All fractional shares were rounded down.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Pursuant to the term of the Amended and Restated Certificate of Incorporation, the Company authorized 250,000,000 shares of common stock with a par value of $0.0001 per share.</w:t>
      </w:r>
    </w:p>
    <w:p>
      <w:pPr>
        <w:spacing w:after="0" w:line="129"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 xml:space="preserve">As discussed in Note 3, </w:t>
      </w:r>
      <w:r>
        <w:rPr>
          <w:rFonts w:ascii="Arial" w:cs="Arial" w:eastAsia="Arial" w:hAnsi="Arial"/>
          <w:sz w:val="16"/>
          <w:szCs w:val="16"/>
          <w:i w:val="1"/>
          <w:iCs w:val="1"/>
          <w:color w:val="auto"/>
        </w:rPr>
        <w:t>Business Combination</w:t>
      </w:r>
      <w:r>
        <w:rPr>
          <w:rFonts w:ascii="Arial" w:cs="Arial" w:eastAsia="Arial" w:hAnsi="Arial"/>
          <w:sz w:val="16"/>
          <w:szCs w:val="16"/>
          <w:color w:val="auto"/>
        </w:rPr>
        <w:t>, the Company has retroactively adjusted the shares issued and outstanding prior to February 5, 2021 to give effect to the Conversion Ratio established in the Merger Agreement to determine the number of shares of common stock into which they were converted.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Common stockholders are entitled to receive dividends, as may be declared by the board of directors. No dividends have been declared to date.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10. Equity incentive plan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Old Gemini Equity Incentive Plan</w:t>
      </w:r>
    </w:p>
    <w:p>
      <w:pPr>
        <w:spacing w:after="0" w:line="19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Old Gemini’s 2017 Stock Option and Grant Plan, as amended (the “2017 Plan”), provided for the Company to grant qualified incentive options, nonqualified options, stock grants and other stock-based awards to employees and non-employees to purchase the Company’s common stock. The 2017 Plan was administered by the board of directors, or at the discretion of the board of directors, by a committee of the board of directors.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exercise price for incentive options was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under the 2017 Plan was determined at the discretion of the board of directors, which was generally four years. For awards granted to employees and non-employees with four-year vesting terms, 25% of the options vest on the first anniversary of the grant date and the remaining options vest equally each month for three years thereafter.</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Upon completion of the Business Combination, the Company ceased granting awards under the 2017 Plan. All awards under the 2017 Plan continue in full force and effect on the same terms and conditions as were previously applicable to such awards, subject to adjustments to the exercise price and number of shares of common stock issuable upon exercise based on the Conversion Ratio.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Awards</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Each Old Gemini option from the 2017 Plan and each option from Old Gemini’s 2015 Stock Option and Grant Plan (the “2015 Plan”) that was outstanding immediately prior to the Business Combination, whether vested or unvested, was converted into an option to purchase a number of shares of common stock (each such option, an "Exchanged Option") equal to the product (rounded down to the nearest whole number) of (i) the number of shares of Old Gemini common stock subject to such Old Gemini option immediately prior to the Business Combination and (ii) the Conversion Ratio, at an exercise price per share (rounded up to the nearest whole cent) equal to (A) the exercise price per share of such Old Gemini option immediately prior to the consummation of the Business Combination, divided by (B) the Conversion Ratio. Each Exchanged Option will continue to be governed by the same terms and conditions (including vesting and exercisability terms) as were applicable to the corresponding former Old Gemini option immediately prior to the consummation of the Business Combination. All stock option activity was retroactively restated to reflect the Exchanged Options.</w:t>
      </w:r>
    </w:p>
    <w:p>
      <w:pPr>
        <w:spacing w:after="0" w:line="12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As of the Closing Date, the 10,567,508 options and 163,157 restricted stock units (“RSUs”) outstanding under the 2017 Plan and 2015 Plan were converted into 2,303,309 options and 35,561 RSUs, respectively, upon completion of the Business Combination after the effect of the Conversion Ratio. This effect of the Conversion Ratio has been retroactively adjusted throughout the Company’s unaudited condensed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Gemini Equity Incentive Plan</w:t>
      </w:r>
    </w:p>
    <w:p>
      <w:pPr>
        <w:spacing w:after="0" w:line="21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February 3, 2021, FSDC’s stockholders approved the 2021 Stock Option and Incentive Plan (the “2021 Plan”), pursuant to which 4,264,341 shares of common stock were reserved for issuance. The 2021 Plan provides for the Company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As of September 30, 2021, 1,307,794 shares remained available for future issuance under the 2021 Plan.</w:t>
      </w:r>
    </w:p>
    <w:p>
      <w:pPr>
        <w:spacing w:after="0" w:line="13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exercise price of each stock option granted under the 2021 Plan will be 100% of the fair market value of the underlying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2021 Inducement Plan</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On February 12, 2021, the Company’s board of directors approved the 2021 Inducement Plan. The 2021 Inducement Plan is a non-stockholder approved stock plan under which the Company grants equity awards to induce highly-qualified prospective officers and employees who are not currently employed by the Company to accept employment and provide them with a proprietary interest in the Company. The Company intends that the 2021 Inducement Plan be reserved for persons to whom the Company may issue securities without stockholder approval as an inducement pursuant to Rule 5635(c)(4) of the Marketplace Rules of the NASDAQ Stock Market, Inc. The 2021 Inducement Plan is administered by the board of directors or the Compensation Committee of the board, which determines the types of awards to be granted, including the number of shares subject to the awards, the exercise price and the vesting schedule. Awards granted under the 2021 Inducement Plan expire no later than ten years from the date of grant. As of September 30, 2021, 983,949 shares were available for issuance under the 2021 Inducement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condensed consolidated statements of operations and comprehensive loss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80" w:type="dxa"/>
            <w:vAlign w:val="bottom"/>
          </w:tcPr>
          <w:p>
            <w:pPr>
              <w:spacing w:after="0"/>
              <w:rPr>
                <w:sz w:val="19"/>
                <w:szCs w:val="19"/>
                <w:color w:val="auto"/>
              </w:rPr>
            </w:pPr>
          </w:p>
        </w:tc>
        <w:tc>
          <w:tcPr>
            <w:tcW w:w="23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r>
      <w:tr>
        <w:trPr>
          <w:trHeight w:val="241"/>
        </w:trPr>
        <w:tc>
          <w:tcPr>
            <w:tcW w:w="568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50"/>
        </w:trPr>
        <w:tc>
          <w:tcPr>
            <w:tcW w:w="56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10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22"/>
                <w:szCs w:val="22"/>
                <w:color w:val="auto"/>
              </w:rPr>
            </w:pP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1,382</w:t>
            </w:r>
          </w:p>
        </w:tc>
        <w:tc>
          <w:tcPr>
            <w:tcW w:w="26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r>
      <w:tr>
        <w:trPr>
          <w:trHeight w:val="290"/>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1,659</w:t>
            </w:r>
          </w:p>
        </w:tc>
        <w:tc>
          <w:tcPr>
            <w:tcW w:w="2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1631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1631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1543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543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1454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1454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a result of the Business Combination, the Company has retroactively restated the weighted average shares outstanding prior to February 5, 2021 to give effect to the Conversion Ratio.</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25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50"/>
        </w:trPr>
        <w:tc>
          <w:tcPr>
            <w:tcW w:w="56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(18,551 )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(10,003 )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(54,046 )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(26,522 )</w:t>
            </w:r>
          </w:p>
        </w:tc>
      </w:tr>
      <w:tr>
        <w:trPr>
          <w:trHeight w:val="250"/>
        </w:trPr>
        <w:tc>
          <w:tcPr>
            <w:tcW w:w="5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43,091,822</w:t>
            </w:r>
          </w:p>
        </w:tc>
        <w:tc>
          <w:tcPr>
            <w:tcW w:w="24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15,282,987</w:t>
            </w:r>
          </w:p>
        </w:tc>
        <w:tc>
          <w:tcPr>
            <w:tcW w:w="26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39,427,476</w:t>
            </w:r>
          </w:p>
        </w:tc>
        <w:tc>
          <w:tcPr>
            <w:tcW w:w="24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15,016,038</w:t>
            </w:r>
          </w:p>
        </w:tc>
        <w:tc>
          <w:tcPr>
            <w:tcW w:w="100" w:type="dxa"/>
            <w:vAlign w:val="bottom"/>
            <w:tcBorders>
              <w:top w:val="single" w:sz="8" w:color="CFF0FC"/>
            </w:tcBorders>
          </w:tcPr>
          <w:p>
            <w:pPr>
              <w:spacing w:after="0"/>
              <w:rPr>
                <w:sz w:val="21"/>
                <w:szCs w:val="21"/>
                <w:color w:val="auto"/>
              </w:rPr>
            </w:pPr>
          </w:p>
        </w:tc>
      </w:tr>
      <w:tr>
        <w:trPr>
          <w:trHeight w:val="27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Net loss per share attributable to common stockholders-basic and diluted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(0.43 )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(1.37 )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(1.77 )</w:t>
            </w: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-365125</wp:posOffset>
            </wp:positionV>
            <wp:extent cx="15430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-365125</wp:posOffset>
            </wp:positionV>
            <wp:extent cx="15430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-365125</wp:posOffset>
            </wp:positionV>
            <wp:extent cx="15430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1543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1543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1543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1543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1543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1543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Company’s unvested restricted common shares have been excluded from the computation of basic net loss per share attributable to common stockholders.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potentially dilutive securities, which include unvested restricted stock, common stock options outstanding and warrants to purchase shares of Series A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from the computation of diluted net loss per share attributable to common stockholders for the periods indicated because including them would have had an anti-dilutive effect: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20" w:type="dxa"/>
            <w:vAlign w:val="bottom"/>
          </w:tcPr>
          <w:p>
            <w:pPr>
              <w:spacing w:after="0"/>
              <w:rPr>
                <w:sz w:val="20"/>
                <w:szCs w:val="20"/>
                <w:color w:val="auto"/>
              </w:rPr>
            </w:pPr>
          </w:p>
        </w:tc>
        <w:tc>
          <w:tcPr>
            <w:tcW w:w="342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As of September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20" w:type="dxa"/>
            <w:vAlign w:val="bottom"/>
          </w:tcPr>
          <w:p>
            <w:pPr>
              <w:spacing w:after="0"/>
              <w:rPr>
                <w:sz w:val="21"/>
                <w:szCs w:val="21"/>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1"/>
                <w:szCs w:val="21"/>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229,532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Common stock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4,988,293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1,740,758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shares of Series A preferred stock (as converted to common stock)</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7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4,988,293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1,985,547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jc w:val="right"/>
              <w:ind w:right="1910"/>
              <w:spacing w:after="0"/>
              <w:rPr>
                <w:sz w:val="20"/>
                <w:szCs w:val="20"/>
                <w:color w:val="auto"/>
              </w:rPr>
            </w:pPr>
            <w:r>
              <w:rPr>
                <w:rFonts w:ascii="Arial" w:cs="Arial" w:eastAsia="Arial" w:hAnsi="Arial"/>
                <w:sz w:val="18"/>
                <w:szCs w:val="18"/>
                <w:color w:val="auto"/>
              </w:rPr>
              <w:t>19</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1"/>
        </w:trPr>
        <w:tc>
          <w:tcPr>
            <w:tcW w:w="77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-853440</wp:posOffset>
            </wp:positionV>
            <wp:extent cx="17970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-853440</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ind w:right="8460" w:firstLine="8"/>
        <w:spacing w:after="0" w:line="464" w:lineRule="auto"/>
        <w:tabs>
          <w:tab w:leader="none" w:pos="27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jc w:val="both"/>
        <w:spacing w:after="0" w:line="257" w:lineRule="auto"/>
        <w:rPr>
          <w:sz w:val="20"/>
          <w:szCs w:val="20"/>
          <w:color w:val="auto"/>
        </w:rPr>
      </w:pPr>
      <w:r>
        <w:rPr>
          <w:rFonts w:ascii="Arial" w:cs="Arial" w:eastAsia="Arial" w:hAnsi="Arial"/>
          <w:sz w:val="18"/>
          <w:szCs w:val="18"/>
          <w:color w:val="auto"/>
        </w:rPr>
        <w:t>The Company’s long-term contractual obligations include commitments entered into in the normal course of business. The Company’s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 The Company also has commitments related to facility leases, debt obligations, license agreements and other purchase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$0.1 million.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The condensed consolidated financial statements as of September 30, 2021 do not include liabilities with respect to this agreement as the Company has not yet generated revenue and the achievement of certain milestones is not deemed probable.</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$0.1 million. In addition, an annual non-refundable, non-creditable development fee of $0.1 million is due on each anniversary date. The 2018 License Agreement includes additional consideration of $0.3 million contingent upon future commercialization of each licensed product. The condensed consolidated financial statements as of September 30, 2021 do not include a liability with respect to the additional consideration under this agreement as the Company has not yet generated revenue.</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In October 2021, the Company terminated the 2019 License Agreement. As consideration for the license, the Company paid a one-time, non-refundable, non-creditable initial license fee of $0.1 million. In addition, an annual non-refundable, non-creditable development fee of $0.1 million was due on each anniversary date, beginning on the second anniversary date. The 2019 License Agreement included additional consideration of $0.4 million contingent upon future commercialization of each licensed product. The condensed consolidated financial statements as of September 30, 2021 do not include a liability with respect to the additional consideration under this agreement as the Company has not yet generated revenue.</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2018, the Company entered into a Master License Agreement with Avitide, Inc. (the “2018 Master License Agreement”) to license, on an exclusive basis, certain of Avitide’s affinity chromatography resins comprised of proprietary ligands for affinity purification of biopharmaceuticals. As consideration for the license, the Company paid an upfront license fee of $0.2 million. In addition, an annual license fee of $0.1 million is due on each anniversary date. The 2018 Master License Agreement includes additional consideration upon the achievement of certain development, commercial and sales milestones totaling up to $0.7 million, $2.2 million and $7.0 million, respectively. Finally, the Company is required to make royalty payments of 1.25% of net product sales if commercialization is achieved. The condensed consolidated financial statements as of September 30, 2021 do not include liabilities with respect to additional consideration under this agreement as the Company has not yet generated revenue and the achievement of certain milestones is not deemed probable.</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$0.1 million, whichever is greater) and other fees after certain milestones are reached. Certain milestone payments may be waived if Catalent manufactures &gt;50% of the total product required for the relevant clinical trial. The condensed consolidated financial statements as of September 30, 2021 do not include liabilities with respect to this agreement as the Company has not yet generated revenue and the achievement of certain milestones is not deemed probable.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condensed consolidated financial statements as of September 30,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September 30, 2021, the Company was not a party to any material legal matters or claims.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engaged a firm managed by an executive of the Company for professional services related to accounting, finance and other administrative functions. For the three and nine months ended September 30, 2021, the costs incurred under this arrangement totaled $0 and $0.1 million, respectively, of which $0.1 million was recorded in stockholders’ equity (deficit) as a reduction to additional paid-in capital as a result of the Business Combination and $10 thousand was recorded as general and administrative expense in the accompanying condensed consolidated statements of operations and comprehensive loss. As of September 30, 2021 and December 31, 2020, amounts owed under this arrangement totaled $0 and $0.3 million, respectively, and is included in accounts payable and/or accrued expenses in the accompanying consolidated balance sheet for each period. The executive of the Company associated with this firm resigned from the Company in February 2021.</w:t>
      </w:r>
    </w:p>
    <w:p>
      <w:pPr>
        <w:spacing w:after="0" w:line="133" w:lineRule="exact"/>
        <w:rPr>
          <w:sz w:val="20"/>
          <w:szCs w:val="20"/>
          <w:color w:val="auto"/>
        </w:rPr>
      </w:pPr>
    </w:p>
    <w:p>
      <w:pPr>
        <w:ind w:right="9300" w:firstLine="8"/>
        <w:spacing w:after="0" w:line="522"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Corporate Restructuring</w:t>
      </w:r>
    </w:p>
    <w:p>
      <w:pPr>
        <w:jc w:val="both"/>
        <w:spacing w:after="0" w:line="271" w:lineRule="auto"/>
        <w:rPr>
          <w:sz w:val="20"/>
          <w:szCs w:val="20"/>
          <w:color w:val="auto"/>
        </w:rPr>
      </w:pPr>
      <w:r>
        <w:rPr>
          <w:rFonts w:ascii="Arial" w:cs="Arial" w:eastAsia="Arial" w:hAnsi="Arial"/>
          <w:sz w:val="17"/>
          <w:szCs w:val="17"/>
          <w:color w:val="auto"/>
        </w:rPr>
        <w:t>On October 4, 2021, the Company announced a restructuring plan to prioritize assets and focus primarily on initiating and executing GEM103’s resource-intensive pivotal trial in geographic atrophy, resulting in a reduction of the Company’s workforce by 11 positions with a majority of these employees’ separation from the business having occurred in mid-October 2021 and the remaining affected employees transitioning by the end of 2021. As a result, the Company estimates in total it will incur costs within the range of $1.3 million to $1.6 million related to severance benefits for the affected employees, including severance payments, limited reimbursement of medical insurance premiums, outplacement services and an extension of the post-termination option exercise period for the vested portion of the affected employees’ outstanding stock options. Each affected employee’s eligibility for the severance benefits is contingent upon such employee’s execution (without revocation) of a separation agreement, which includes a general release of claims against the Company. The restructuring plan is expected to be completed by the end of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Georges Gemayel</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15, 2021, the Company entered into an employment agreement with Dr. Georges Gemayel, the Company's current Executive Chair of its board of directors, who shall serve as an employee of the Company. Details of the employment agreement are set forth below under Item 5 of Part II.</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notes thereto appearing elsewhere in this Quarterly Report on Form 10-Q and Old Gemini’s audited financial statements and notes thereto for the year ended December 31, 2020 included in our Form 8-K/A as filed with the Securities and Exchange Commission on March 29, 2021.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our actual results could differ materially from the results described in or implied by the forward-looking statements contained in the following discussion and analysis.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Management’s Discussion &amp; Analysis of Financial Condition and Results of Operations section to “Gemini,” “we,” “us,” “our” and other similar terms refer to Old Gemini (as defined below) prior to the Business Combination (as defined below) and to Gemini and its consolidated subsidiaries after giving effect to the Business Combination.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lead product candidate, GEM103, is in Phase 2a clinical development and our other product candidate, GEM307, is in the preclinical stage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Prior to the Business Combination (as defined below), we primarily financed our operations through the sale of convertible preferred stock, borrowings under convertible promissory notes and borrowings from our term loan facility with Silicon Valley Bank, (“SVB”).</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Restructuring</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4, 2021, we announced a restructuring plan to prioritize assets and focus primarily on initiating and executing GEM103’s resource-intensive pivotal trial in geographic atrophy, resulting in a reduction of our workforce by 11 positions with a majority of these employees’ separation from the business having occurred in mid-October 2021 and the remaining affected employees transitioning by the end of 2021. As a result, we estimate in total we will incur costs within the range of $1.3 million to $1.6 million related to severance benefits for the affected employees. The restructuring plan is expected to be completed by the end of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Georges Gemayel</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15, 2021, the Company entered into an employment agreement with Dr. Georges Gemayel, the Company's current Executive Chair of its board of directors, who shall serve as an employee of the Company. Details of the employment agreement are set forth below under Item 5 of Part II.</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&amp; liquidity</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To date, we have not had any products approved for sale and have not generated any revenue from product sales and do not expect to do so for several years, if at all. All of our programs are still in preclinical or clinical development. Our ability to generate product revenue will depend on the successful development and eventual commercialization of one or more of our product candidates.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both"/>
        <w:spacing w:after="0" w:line="275" w:lineRule="auto"/>
        <w:rPr>
          <w:sz w:val="20"/>
          <w:szCs w:val="20"/>
          <w:color w:val="auto"/>
        </w:rPr>
      </w:pPr>
      <w:r>
        <w:rPr>
          <w:rFonts w:ascii="Arial" w:cs="Arial" w:eastAsia="Arial" w:hAnsi="Arial"/>
          <w:sz w:val="18"/>
          <w:szCs w:val="18"/>
          <w:color w:val="auto"/>
        </w:rPr>
        <w:t>We have incurred significant operating losses since inception. Our net losses were $54.0 million for the nine months ended September 30, 2021. As of September 30, 2021, we had an accumulated deficit of $166.9 million. We expect to continue to incur net losses for the foreseeable future and to continue to incur research and development expenses and general and administrative expenses as we continue development activities. We expect to continue to incur expenses and capital requirements if and as we:</w:t>
      </w:r>
    </w:p>
    <w:p>
      <w:pPr>
        <w:spacing w:after="0" w:line="77" w:lineRule="exact"/>
        <w:rPr>
          <w:sz w:val="20"/>
          <w:szCs w:val="20"/>
          <w:color w:val="auto"/>
        </w:rPr>
      </w:pPr>
    </w:p>
    <w:p>
      <w:pPr>
        <w:jc w:val="both"/>
        <w:ind w:left="700"/>
        <w:spacing w:after="0" w:line="279" w:lineRule="auto"/>
        <w:rPr>
          <w:sz w:val="20"/>
          <w:szCs w:val="20"/>
          <w:color w:val="auto"/>
        </w:rPr>
      </w:pPr>
      <w:r>
        <w:rPr>
          <w:rFonts w:ascii="Arial" w:cs="Arial" w:eastAsia="Arial" w:hAnsi="Arial"/>
          <w:sz w:val="18"/>
          <w:szCs w:val="18"/>
          <w:color w:val="auto"/>
        </w:rPr>
        <w:t>continue development activities for GEM103, our first product candidate being tested in AMD, including the completion of our Phase 2a clinical trial in geographic atrophy, the ongoing Phase 2a clinical trial in patients with macular atrophy receiving anti-VEGF therapy and the initiation of a Phase 2b or Phase 3 clinical trial in geographic atrophy;</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continue research and development activities to advance our CFH potentiating antibody, GEM307, as a product candidate;</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maintain and protect our intellectual property portfolio;</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seek regulatory approvals for any product candidates that successfully complete clinical trials;</w:t>
      </w:r>
    </w:p>
    <w:p>
      <w:pPr>
        <w:spacing w:after="0" w:line="198"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undertake any pre-commercialization activities to establish sales, marketing and distribution capabilities for any product candidates for which we may receive regulatory approval;</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continue to incur legal, accounting, investor relations and other expenses in operating as a public company; and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determine if further prioritization is necessary for our development activities.</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with other companies or other strategic transactions. To the extent that we raise additional capital through the sale of private or public equity or convertible debt securities, existing ownership interests will be diluted, and the terms of these securities may include liquidation or other preferences that adversely affect the rights of the holders of our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or other strategic transactions with third parties, we may have to relinquish valuable rights to our technologies, future revenue streams, research programs or drug candidates, or grant licenses on terms that may not be favorable to us.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believe that our current cash resources will enable us to fund our operating expenses and capital expenditure requirements into the second half of 2023. Our belief with respect to our ability to fund operations is based on estimates that are subject to risks and uncertainties. If actual results are different from our estimates, we may need to seek additional funding sooner than would otherwise be expected. There can be no assurance that we will be able to obtain additional funding on acceptable terms, if at all. Our future viability beyond that point is dependent on our ability to raise additional capital to finance our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March 2020, the World Health Organization declared the novel coronavirus (“COVID-19”) outbreak a pandemic. The ongoing COVID-19 pandemic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ongoing COVID-19 pandemic and related impacts have resulted in and will likely continue to result in significant disruptions to the global economy and capital markets around the world. The Company cannot predict the future progression or full impact of the outbreak and its effects on the Company’s business and operations.</w:t>
      </w:r>
    </w:p>
    <w:p>
      <w:pPr>
        <w:spacing w:after="0" w:line="15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We and our third-party contract manufacturers (“CMOs”), contract research organizations (“CROs”) and clinical sites have experienced and may continue to experience disruptions in supply of product candidates and/or procuring items that are essential for our research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jc w:val="both"/>
        <w:spacing w:after="0" w:line="279" w:lineRule="auto"/>
        <w:rPr>
          <w:sz w:val="20"/>
          <w:szCs w:val="20"/>
          <w:color w:val="auto"/>
        </w:rPr>
      </w:pPr>
      <w:r>
        <w:rPr>
          <w:rFonts w:ascii="Arial" w:cs="Arial" w:eastAsia="Arial" w:hAnsi="Arial"/>
          <w:sz w:val="18"/>
          <w:szCs w:val="18"/>
          <w:color w:val="auto"/>
        </w:rPr>
        <w:t>and development activities, including raw materials used in the manufacturing of our product candidates, medical and laboratory supplies used in our clinical trials or preclinical studies or animals that are used for preclinical testing, in each case, for which there may be shortages because of ongoing efforts to address the pandemic.</w:t>
      </w:r>
    </w:p>
    <w:p>
      <w:pPr>
        <w:spacing w:after="0" w:line="156"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Additionally, we have enrolled, and will seek to enroll, patients in our clinical trials at sites located both in the United States and internationally. Most of our clinical trial sites are in areas that have been affected by COVID-19 and, as a result, our trials have been and may continue to be impacted. We cannot predict how long or impactful these delays may be on our clinical trials. In addition, even if sites are initiating and actively recruiting, we may face difficulties recruiting or retaining patients in our clinical trials if patients are affected by the virus or are unable to or are fearful of visiting or traveling to our clinical trial sites because of the outbreak, or if patients are unable or unwilling to be vaccinated or tested. Prolonged delays or closure to enrollment in our trials or patient discontinuations could have a material adverse impact on our clinical trial plans and timelines. In addition, our ability to collect and verify data requested of patients enrolled in our clinical trials during this pandemic is being impacted to varying degrees by COVID-19. Clinical trial data collection continues for each of our clinical trials but at a slower pace, and with challenges and interruptions in data collection, including, in some instances, disruption of collection of complete study data. This could have a material adverse impact on our data quality and analysis. In addition, clinical trial sites may be unable or unwilling to initiate a new trial if factors relevant to the pandemic render this impracticable. These COVID-19 related issues may prolong the time required to conduct our ongoing clinical trials and/or impact the quality of the data obtained from one or more of these studies.</w:t>
      </w:r>
    </w:p>
    <w:p>
      <w:pPr>
        <w:spacing w:after="0" w:line="128"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We have not incurred impairment losses in the carrying values of our assets as a result of the ongoing COVID-19 pandemic, and we are not aware of any specific related event or circumstance that would require us to revise our estimates reflected in our condensed consolidated financial statements. Although the COVID-19 pandemic did not have a significant impact on our financial results in the third quarter of 2021, the full extent to which the ongoing COVID-19 pandemic will impact our business, results of operations, financial condition and cash flows will depend on future developments that are highly uncertain, and the estimates of the impact on our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5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our Common Stock in a private placement of public equity (the “PIPE Financing”). Together with FSDC’s cash resources and funding of the PIPE Financing, we received net proceeds of approximately $195.9 million.</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accounted for the Business Combination as a reverse recapitalization, which is the equivalent of Old Gemini issuing stock for the net assets of FSDC, accompanied by a recapitalization, with FSDC treated as the acquired company for accounting purposes.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the Company, o the "Conversion Ratio").</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For additional information on the Business Combination, please read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our unaudited condensed consolidated financial statements included elsewhere in this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February 2019, we entered into a term loan facility of up to $10.0 million (the “Term Loan”) with SVB. The proceeds were used for general corporate and working capital purposes. Concurrent with the Term Loan, we issued SVB warrants to purchase 15,257 shares of Old Gemini’s Series A preferred stock at an exercise price of $5.46. At the closing of the Business Combination, these warrants were automatically exercised for 15,257 shares of our common stock. As of September 30, 2021 and December 31, 2020, we had $6.7 million and $10.0 million, respectively, in principal outstanding under the Term Loan.</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Term Loan is governed by a loan and security agreement, entered into in February 2019, between Gemini and SVB (the “SVB Loan Agreement”). The SVB Loan Agreement provided for two separate tranches under which we could borrow. In April 2019, we borrowed $7.5 million under the first tranche, and in December 2019, we borrowed $2.5 million under the second tranche.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Term Loan matures in January 2023 and accrues interest at a floating rate per annum equal to the greater of 3.75% or the prime rate minus 1.5% (1.75% as of September 30, 2021). The Term Loan provides for monthly interest-only payments until February 2021. Thereafter, payments are payable in equal monthly installments of principal, plus all accrued and unpaid interest. We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April 2020, we entered into a deferral agreement with SVB to defer scheduled principal repayments on its term loan by six months. The deferral agreement was offered in connection with SVB’s venture debt relief initiative, which was started due to the COVID-19 pandemic. Our first principal payment under our credit facility occurred in February 2021. The required monthly interest-only payment was not impacted by the deferral. The Term Loan’s new maturity date is January 2023.</w:t>
      </w:r>
    </w:p>
    <w:p>
      <w:pPr>
        <w:spacing w:after="0" w:line="19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At the end of the loan term (whether at maturity, by prepayment in full or otherwise), we are required to pay a final end of term charge to SVB in the amount of 4.0% of the aggregate original principal amount advanced by SVB.</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August 2020, we entered into a purchase agreement with existing investors to issue $14.0 million in convertible promissory notes, (the “Notes”). The Notes accrued simple interest at 8% per annum and matured in February 2021. The Notes served as a bridge loan prior to the PIPE Financing that was completed in connection with the closing of the Business Combination.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if at all. If our development efforts are successful and we commercialize our products,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Research and development expenses consist primarily of costs incurred for research activities, including drug discovery efforts and the clinical development of our product candidates. We expense research and development costs as incurred, which include: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expenses incurred to conduct the necessary preclinical studies and clinical trials required to obtain regulatory approval;</w:t>
      </w:r>
    </w:p>
    <w:p>
      <w:pPr>
        <w:spacing w:after="0" w:line="198" w:lineRule="exact"/>
        <w:rPr>
          <w:sz w:val="20"/>
          <w:szCs w:val="20"/>
          <w:color w:val="auto"/>
        </w:rPr>
      </w:pPr>
    </w:p>
    <w:p>
      <w:pPr>
        <w:jc w:val="both"/>
        <w:ind w:left="700" w:right="20"/>
        <w:spacing w:after="0" w:line="279" w:lineRule="auto"/>
        <w:rPr>
          <w:sz w:val="20"/>
          <w:szCs w:val="20"/>
          <w:color w:val="auto"/>
        </w:rPr>
      </w:pPr>
      <w:r>
        <w:rPr>
          <w:rFonts w:ascii="Arial" w:cs="Arial" w:eastAsia="Arial" w:hAnsi="Arial"/>
          <w:sz w:val="18"/>
          <w:szCs w:val="18"/>
          <w:color w:val="auto"/>
        </w:rPr>
        <w:t>expenses incurred under agreements with CROs that are primarily engaged in the oversight and conduct of our drug discovery efforts and preclinical studies, clinical trials and CMOs that are primarily engaged to provide preclinical and clinical drug substance and product for our research and development programs;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0" w:name="page31"/>
    <w:bookmarkEnd w:id="30"/>
    <w:p>
      <w:pPr>
        <w:jc w:val="both"/>
        <w:ind w:left="700"/>
        <w:spacing w:after="0" w:line="279" w:lineRule="auto"/>
        <w:rPr>
          <w:sz w:val="20"/>
          <w:szCs w:val="20"/>
          <w:color w:val="auto"/>
        </w:rPr>
      </w:pPr>
      <w:r>
        <w:rPr>
          <w:rFonts w:ascii="Arial" w:cs="Arial" w:eastAsia="Arial" w:hAnsi="Arial"/>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payments made in cash or equity securities under third-party licensing, acquisition and option agreements;</w:t>
      </w:r>
    </w:p>
    <w:p>
      <w:pPr>
        <w:spacing w:after="0" w:line="198"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employee-related expenses, including salaries and benefits, travel and stock-based compensation expense for employees engaged in research and development functions;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costs related to compliance with regulatory requirements; and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allocated facilities-related costs, depreciation and other expenses, which include rent and utilities.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Research and development activities are central to our business model. We anticipate that our research and development expenses will remain consistent in 2022 compared to 2021 as we continue the development of our product candidates while realizing cost benefits from our restructuring. If and when we believe a regulatory approval of a product candidate appears likely, we anticipate an increase in payroll and other expenses as a result of our preparation of regulatory filings and precommercial activities.</w:t>
      </w:r>
    </w:p>
    <w:p>
      <w:pPr>
        <w:spacing w:after="0" w:line="19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w:t>
      </w:r>
    </w:p>
    <w:p>
      <w:pPr>
        <w:spacing w:after="0" w:line="62" w:lineRule="exact"/>
        <w:rPr>
          <w:sz w:val="20"/>
          <w:szCs w:val="20"/>
          <w:color w:val="auto"/>
        </w:rPr>
      </w:pPr>
    </w:p>
    <w:p>
      <w:pPr>
        <w:ind w:left="700" w:right="240"/>
        <w:spacing w:after="0" w:line="455" w:lineRule="auto"/>
        <w:rPr>
          <w:sz w:val="20"/>
          <w:szCs w:val="20"/>
          <w:color w:val="auto"/>
        </w:rPr>
      </w:pPr>
      <w:r>
        <w:rPr>
          <w:rFonts w:ascii="Arial" w:cs="Arial" w:eastAsia="Arial" w:hAnsi="Arial"/>
          <w:sz w:val="17"/>
          <w:szCs w:val="17"/>
          <w:color w:val="auto"/>
        </w:rPr>
        <w:t>the scope, progress, timing, outcome and costs of our preclinical development activities, clinical trials and other related development activities; delays, suspensions, or other setbacks or interruptions encountered, including as a result of the ongoing COVID-19 pandemic;</w:t>
      </w:r>
    </w:p>
    <w:p>
      <w:pPr>
        <w:spacing w:after="0" w:line="1"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establishing an appropriate safety and efficacy profile with Investigational New Drug application ("IND") enabling studies and obtaining clearance for future IND applications;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successful patient enrollment in and the initiation and completion of clinical trials;</w:t>
      </w:r>
    </w:p>
    <w:p>
      <w:pPr>
        <w:spacing w:after="0" w:line="21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the timing, receipt and terms of any marketing approvals from applicable regulatory authorities including the U.S. Food and Drug Administration ("FDA") and non-U.S. regulatory authorities;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extent of any required post-marketing approval commitments to applicable regulatory authorities;</w:t>
      </w:r>
    </w:p>
    <w:p>
      <w:pPr>
        <w:spacing w:after="0" w:line="198"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and scale our products successfully;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ind w:left="700" w:right="20"/>
        <w:spacing w:after="0" w:line="293" w:lineRule="auto"/>
        <w:rPr>
          <w:sz w:val="20"/>
          <w:szCs w:val="20"/>
          <w:color w:val="auto"/>
        </w:rPr>
      </w:pPr>
      <w:r>
        <w:rPr>
          <w:rFonts w:ascii="Arial" w:cs="Arial" w:eastAsia="Arial" w:hAnsi="Arial"/>
          <w:sz w:val="18"/>
          <w:szCs w:val="18"/>
          <w:color w:val="auto"/>
        </w:rPr>
        <w:t>development and timely delivery of clinical-grade and commercial-grade drug formulations that can be used in our clinical trials and for commercial launch;</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obtaining, maintaining, defending and enforcing patent claims and other intellectual property rights;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significant and changing government regulation;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maintaining a continued acceptable safety profile of our product candidates following approval, if any, of our product candidates.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 change in any of these variables with respect to any of our programs would significantly change the costs, timing and viability associated with that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We expense general and administrative costs as incurred.</w:t>
      </w:r>
    </w:p>
    <w:p>
      <w:pPr>
        <w:spacing w:after="0" w:line="169"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anticipate that our general and administrative expenses will remain consistent in 2022 as compared to 2021 as we continue to support the development of our product candidates. If and when we believe a regulatory approval of a product candidate appears likely, we anticipate an increase in payroll and other expenses as a result of our preparation for commercial operations, especially as it relates to the sales and marketing of that product candidate.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Interest expense consists of interest accrued on the Term Loan we entered into in February 2019 and the Notes, including the accretion of the beneficial conversion feature discount recognized on the issuance date of the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income earned on our cash, cash equivalents and restricted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Immediately prior to the closing of the Business Combination, the outstanding principal and interest under the Notes converted into shares of Series B preferred stock, and we recorded other expense equal to the difference between the reacquisition price of the Notes and the net carrying amount of the Notes in the condensed consolidated statements of operations and comprehensive loss.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5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In February 2019, in conjunction with the Term Loan with SVB, we issued warrants to purchase 15,257 shares of Old Gemini’s Series A preferred stock. We accounted for, and classified, these warrants as a liability on our balance sheet because the warrants were freestanding financial instruments. We remeasured this liability to fair value at each reporting date and recognized changes in the fair value of the warrant liability in our statements of operations. At the closing of the Business Combination, these warrants were automatically exercised for 15,257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jc w:val="both"/>
        <w:spacing w:after="0" w:line="30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included in the condensed consolidated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We continue to maintain a full valuation allowance against all of our net deferred tax assets based on our evaluation of all available evidence.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file income tax returns in the U.S. federal tax jurisdiction and state jurisdictions and may become subject to income tax audit and adjustments by related tax authorities. Our tax return period for U.S. federal income taxes for the tax years since 2017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may experience ownership changes as a result of subsequent shifts in our stock ownership.</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6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263"/>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bottom w:val="single" w:sz="8" w:color="CFF0FC"/>
            </w:tcBorders>
            <w:shd w:val="clear" w:color="auto" w:fill="CFF0FC"/>
          </w:tcPr>
          <w:p>
            <w:pPr>
              <w:spacing w:after="0"/>
              <w:rPr>
                <w:sz w:val="22"/>
                <w:szCs w:val="22"/>
                <w:color w:val="auto"/>
              </w:rPr>
            </w:pPr>
          </w:p>
        </w:tc>
        <w:tc>
          <w:tcPr>
            <w:tcW w:w="1040" w:type="dxa"/>
            <w:vAlign w:val="bottom"/>
            <w:tcBorders>
              <w:top w:val="single" w:sz="8" w:color="auto"/>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top w:val="single" w:sz="8" w:color="auto"/>
              <w:bottom w:val="single" w:sz="8" w:color="CFF0FC"/>
            </w:tcBorders>
            <w:shd w:val="clear" w:color="auto" w:fill="CFF0FC"/>
          </w:tcPr>
          <w:p>
            <w:pPr>
              <w:spacing w:after="0"/>
              <w:rPr>
                <w:sz w:val="22"/>
                <w:szCs w:val="22"/>
                <w:color w:val="auto"/>
              </w:rPr>
            </w:pPr>
          </w:p>
        </w:tc>
        <w:tc>
          <w:tcPr>
            <w:tcW w:w="840" w:type="dxa"/>
            <w:vAlign w:val="bottom"/>
            <w:tcBorders>
              <w:top w:val="single" w:sz="8" w:color="auto"/>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CFF0FC"/>
            </w:tcBorders>
            <w:shd w:val="clear" w:color="auto" w:fill="CFF0FC"/>
          </w:tcPr>
          <w:p>
            <w:pPr>
              <w:spacing w:after="0"/>
              <w:rPr>
                <w:sz w:val="22"/>
                <w:szCs w:val="22"/>
                <w:color w:val="auto"/>
              </w:rPr>
            </w:pPr>
          </w:p>
        </w:tc>
        <w:tc>
          <w:tcPr>
            <w:tcW w:w="1060" w:type="dxa"/>
            <w:vAlign w:val="bottom"/>
            <w:tcBorders>
              <w:top w:val="single" w:sz="8" w:color="auto"/>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5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13,455</w:t>
            </w:r>
          </w:p>
        </w:tc>
        <w:tc>
          <w:tcPr>
            <w:tcW w:w="2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6,727</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6,728</w:t>
            </w:r>
          </w:p>
        </w:tc>
        <w:tc>
          <w:tcPr>
            <w:tcW w:w="100" w:type="dxa"/>
            <w:vAlign w:val="bottom"/>
          </w:tcPr>
          <w:p>
            <w:pPr>
              <w:spacing w:after="0"/>
              <w:rPr>
                <w:sz w:val="21"/>
                <w:szCs w:val="21"/>
                <w:color w:val="auto"/>
              </w:rPr>
            </w:pPr>
          </w:p>
        </w:tc>
      </w:tr>
      <w:tr>
        <w:trPr>
          <w:trHeight w:val="257"/>
        </w:trPr>
        <w:tc>
          <w:tcPr>
            <w:tcW w:w="6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2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5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18,450</w:t>
            </w: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Pr>
          <w:p>
            <w:pPr>
              <w:spacing w:after="0"/>
              <w:rPr>
                <w:sz w:val="21"/>
                <w:szCs w:val="21"/>
                <w:color w:val="auto"/>
              </w:rPr>
            </w:pPr>
          </w:p>
        </w:tc>
      </w:tr>
      <w:tr>
        <w:trPr>
          <w:trHeight w:val="256"/>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(18,450 )</w:t>
            </w:r>
          </w:p>
        </w:tc>
        <w:tc>
          <w:tcPr>
            <w:tcW w:w="5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(7,949 )</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(10,501 )</w:t>
            </w:r>
          </w:p>
        </w:tc>
      </w:tr>
      <w:tr>
        <w:trPr>
          <w:trHeight w:val="250"/>
        </w:trPr>
        <w:tc>
          <w:tcPr>
            <w:tcW w:w="65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(104 )</w:t>
            </w:r>
          </w:p>
        </w:tc>
        <w:tc>
          <w:tcPr>
            <w:tcW w:w="5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(2,047 )</w:t>
            </w: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FF0FC"/>
          </w:tcPr>
          <w:p>
            <w:pPr>
              <w:spacing w:after="0"/>
              <w:rPr>
                <w:sz w:val="22"/>
                <w:szCs w:val="22"/>
                <w:color w:val="auto"/>
              </w:rPr>
            </w:pPr>
          </w:p>
        </w:tc>
      </w:tr>
      <w:tr>
        <w:trPr>
          <w:trHeight w:val="250"/>
        </w:trPr>
        <w:tc>
          <w:tcPr>
            <w:tcW w:w="6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r>
      <w:tr>
        <w:trPr>
          <w:trHeight w:val="263"/>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(8 )</w:t>
            </w: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2"/>
                <w:szCs w:val="22"/>
                <w:color w:val="auto"/>
              </w:rPr>
            </w:pPr>
          </w:p>
        </w:tc>
      </w:tr>
      <w:tr>
        <w:trPr>
          <w:trHeight w:val="250"/>
        </w:trPr>
        <w:tc>
          <w:tcPr>
            <w:tcW w:w="654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(2 )</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(18,551 )</w:t>
            </w: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(10,003 )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(8,548 )</w:t>
            </w: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-1350645</wp:posOffset>
            </wp:positionV>
            <wp:extent cx="17970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-1350645</wp:posOffset>
            </wp:positionV>
            <wp:extent cx="16319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-1350645</wp:posOffset>
            </wp:positionV>
            <wp:extent cx="5969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1797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1797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1631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1631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Research and development expenses were $13.5 million for the three months ended September 30, 2021, compared to $6.7 million for the three months ended September 30, 2020. The increase of $6.8 million was primarily due to an increase in external research and development costs related to clinical trial activities of GEM103. In addition, research and development personnel costs were higher period over period, including stock-based compensation, due to an increase in headcount in our research and development function to support the advancement of our programs.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General and administrative expenses were $5.0 million for the three months ended September 30, 2021, compared to $1.2 million for the three months ended September 30, 2020. The increase of $3.8 million was primarily due to higher personnel-related costs, including stock-based compensation, in support of organizational growth and higher legal and other professional fees incurred in connection with operating as a public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Interest expense was $0.1 million for the three months ended September 30, 2021, compared to $2.0 million for the three months ended September 30, 2020. The decrease of $1.9 million is due to the accretion of the beneficial conversion feature discount recognized at the issuance date of the Notes.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6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452"/>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40"/>
        </w:trPr>
        <w:tc>
          <w:tcPr>
            <w:tcW w:w="6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7"/>
        </w:trPr>
        <w:tc>
          <w:tcPr>
            <w:tcW w:w="6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36,083</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20,472</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15,611</w:t>
            </w:r>
          </w:p>
        </w:tc>
        <w:tc>
          <w:tcPr>
            <w:tcW w:w="100" w:type="dxa"/>
            <w:vAlign w:val="bottom"/>
            <w:shd w:val="clear" w:color="auto" w:fill="CFF0FC"/>
          </w:tcPr>
          <w:p>
            <w:pPr>
              <w:spacing w:after="0"/>
              <w:rPr>
                <w:sz w:val="22"/>
                <w:szCs w:val="22"/>
                <w:color w:val="auto"/>
              </w:rPr>
            </w:pPr>
          </w:p>
        </w:tc>
      </w:tr>
      <w:tr>
        <w:trPr>
          <w:trHeight w:val="250"/>
        </w:trPr>
        <w:tc>
          <w:tcPr>
            <w:tcW w:w="65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15,177</w:t>
            </w:r>
          </w:p>
        </w:tc>
        <w:tc>
          <w:tcPr>
            <w:tcW w:w="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w:t>
            </w:r>
          </w:p>
        </w:tc>
        <w:tc>
          <w:tcPr>
            <w:tcW w:w="100" w:type="dxa"/>
            <w:vAlign w:val="bottom"/>
          </w:tcPr>
          <w:p>
            <w:pPr>
              <w:spacing w:after="0"/>
              <w:rPr>
                <w:sz w:val="21"/>
                <w:szCs w:val="21"/>
                <w:color w:val="auto"/>
              </w:rPr>
            </w:pPr>
          </w:p>
        </w:tc>
      </w:tr>
      <w:tr>
        <w:trPr>
          <w:trHeight w:val="250"/>
        </w:trPr>
        <w:tc>
          <w:tcPr>
            <w:tcW w:w="65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51,260</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24,246</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5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(51,260 )</w:t>
            </w:r>
          </w:p>
        </w:tc>
        <w:tc>
          <w:tcPr>
            <w:tcW w:w="5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(24,246 )</w:t>
            </w: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(27,014 )</w:t>
            </w:r>
          </w:p>
        </w:tc>
      </w:tr>
      <w:tr>
        <w:trPr>
          <w:trHeight w:val="263"/>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5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(2,073 )</w:t>
            </w:r>
          </w:p>
        </w:tc>
        <w:tc>
          <w:tcPr>
            <w:tcW w:w="5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(2,307 )</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r>
      <w:tr>
        <w:trPr>
          <w:trHeight w:val="263"/>
        </w:trPr>
        <w:tc>
          <w:tcPr>
            <w:tcW w:w="6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(26 )</w:t>
            </w:r>
          </w:p>
        </w:tc>
      </w:tr>
      <w:tr>
        <w:trPr>
          <w:trHeight w:val="250"/>
        </w:trPr>
        <w:tc>
          <w:tcPr>
            <w:tcW w:w="6500" w:type="dxa"/>
            <w:vAlign w:val="bottom"/>
          </w:tcPr>
          <w:p>
            <w:pPr>
              <w:ind w:left="200"/>
              <w:spacing w:after="0"/>
              <w:rPr>
                <w:sz w:val="20"/>
                <w:szCs w:val="20"/>
                <w:color w:val="auto"/>
              </w:rPr>
            </w:pPr>
            <w:r>
              <w:rPr>
                <w:rFonts w:ascii="Arial" w:cs="Arial" w:eastAsia="Arial" w:hAnsi="Arial"/>
                <w:sz w:val="18"/>
                <w:szCs w:val="18"/>
                <w:color w:val="auto"/>
              </w:rPr>
              <w:t>Loss on conversion of convertible notes</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(711 )</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(711 )</w:t>
            </w:r>
          </w:p>
        </w:tc>
      </w:tr>
      <w:tr>
        <w:trPr>
          <w:trHeight w:val="263"/>
        </w:trPr>
        <w:tc>
          <w:tcPr>
            <w:tcW w:w="6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w:t>
            </w: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2"/>
                <w:szCs w:val="22"/>
                <w:color w:val="auto"/>
              </w:rPr>
            </w:pPr>
          </w:p>
        </w:tc>
      </w:tr>
      <w:tr>
        <w:trPr>
          <w:trHeight w:val="250"/>
        </w:trPr>
        <w:tc>
          <w:tcPr>
            <w:tcW w:w="650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(13 )</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r>
      <w:tr>
        <w:trPr>
          <w:trHeight w:val="20"/>
        </w:trPr>
        <w:tc>
          <w:tcPr>
            <w:tcW w:w="6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(54,046 )</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(26,522 )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(27,524 )</w:t>
            </w: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-1342390</wp:posOffset>
            </wp:positionV>
            <wp:extent cx="17970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-1342390</wp:posOffset>
            </wp:positionV>
            <wp:extent cx="16319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-1342390</wp:posOffset>
            </wp:positionV>
            <wp:extent cx="685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1797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1797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1631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1631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Research and development expenses were $36.1 million for the nine months ended September 30, 2021, compared to $20.5 million for the nine months ended September 30, 2020. The increase of $15.6 million was primarily due to an increase in external research and development costs related to clinical trial activities of GEM103. In addition, research and development personnel costs were higher period over period, including stock-based compensation, due to an increase in headcount in our research and development function to support the advancement of our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General and administrative expenses were $15.2 million for the nine months ended September 30, 2021, compared to $3.8 million for the nine months ended September 30, 2020. The increase of $11.4 million was primarily due to higher personnel-related costs, including stock-based compensation, in support of organizational growth and higher legal and other professional fees incurred in connection with operating as a public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$2.1 million for the nine months ended September 30, 2021, compared to $2.3 million for the nine months ended September 30,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decrease of $0.2 million is due to the accretion of the beneficial conversion feature discount recognized at the issuance date of the Notes.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19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loss on conversion of convertible notes was $0.7 million for the nine months ended September 30, 2021, compared to $0 for the nine months ended September 30, 2020. The increase reflects the difference between the reacquisition price of the Notes and the net carrying amount of the Notes at the time that the Notes converted into shares of Series B preferred stock immediately prior to the closing of the Business Combination.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capital</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expect to generate revenue from sales of any product candidates for several years, if at all. Prior to the Business Combination, we funded our operations to date primarily with proceeds from the sale of preferred stock, borrowings under convertible promissory notes and borrowings under loan agreements. Through September 30, 2021, we have received gross proceeds of $76.0 million from sales of our preferred stock, gross proceeds of $16.9 million from borrowings under convertible promissory notes and $10.0 million of cash proceeds from our term loan with SVB. In connection with the Business Combination, we received net proceeds of $195.9 million.</w:t>
      </w:r>
    </w:p>
    <w:p>
      <w:pPr>
        <w:spacing w:after="0" w:line="122"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As of September 30, 2021, we had cash and cash equivalents of $150.1 million. We have incurred operating losses and experienced negative operating cash flows since inception, and we anticipate that we will continue to incur losses for at least the foreseeable future. Our net losses totaled $54.0 million for the nine months ended September 30, 2021. As of September 30, 2021, we had an accumulated deficit of $166.9 million.</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Continued cash generation is highly dependent on our ability to finance our operations through a combination of equity offerings, debt financings, collaboration arrangements and strategic transactions. Due to our significant research and development expenditures, we have experienced periods of negative cash flows from operations as we have yet to generate any revenue. For the nine months ended September 30, 2021, we experienced a loss from operations and negative cash flows from operations. We anticipate incurring operating losses and negative cash flows from operations for the foreseeable future, particularly as we move forward with our clinical-stage programs.</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117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4"/>
              </w:rPr>
              <w:t>(47,032 )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(23,855 )</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(61 )</w:t>
            </w: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192,659</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Net increase in cash, cash equivalents and restricted cash</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145,566</w:t>
            </w:r>
          </w:p>
        </w:tc>
        <w:tc>
          <w:tcPr>
            <w:tcW w:w="28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-193675</wp:posOffset>
            </wp:positionV>
            <wp:extent cx="1803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do not generate any cash inflows from our operating activities. Our cash flows from operating activities are significantly influenced by our use of cash for operating expenses and working capital requirements to support the business. We have historically experienced negative cash flows from operating activities as we invested in developing our platform, drug discovery efforts and related infrastructure.</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nine months ended September 30, 2021, we used cash in operating activities of $47.0 million, reflecting a net loss of $54.0 million, partially offset by non-cash charges of $8.9 million and a net change of $1.8 million in our operating assets and liabilities. The non-cash charges consist primarily of $6.1 million of stock-based compensation expense, $1.6 million accretion of the discount on the Notes, $0.7 million of expense related to the conversion of the Notes and $0.3 million of non-cash interest expense. The net change in our operating assets and liabilities was primarily due to an increase in prepaid expenses and other current currents, other assets and accrued expenses and other current liabilities, partially offset by a decrease in deferred offering costs and accounts payable.</w:t>
      </w:r>
    </w:p>
    <w:p>
      <w:pPr>
        <w:spacing w:after="0" w:line="16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During the nine months ended September 30, 2020, we used cash in operating activities of $23.9 million, reflecting a net loss of $26.5 million and a decrease in accounts payable, partially offset by a decrease in prepaid expenses and other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During each of the nine months ended September 30, 2021 and 2020, we used cash in investing activities of less than $0.1 million, consisting of purchases of laboratory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Financing activities</w:t>
      </w:r>
    </w:p>
    <w:p>
      <w:pPr>
        <w:spacing w:after="0" w:line="212"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During the nine months ended September 30, 2021, net cash provided by financing activities was $192.7 million, consisting primarily of $195.9 million of net proceeds received in connection with the Business Combination, partially offset by principal payments made on our term loan.</w:t>
      </w:r>
    </w:p>
    <w:p>
      <w:pPr>
        <w:spacing w:after="0" w:line="107"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During the nine months ended September 30, 2020, net cash provided by financing activities was $34.1 million, consisting primarily of $20.1 million of proceeds from the issuance of our Series B preferred stock and $14.0 million of proceeds from the issuance of the convertible promissory notes.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primary use of cash is to fund operating expenses, primarily related to our research and development activities. Cash used to fund operating expenses is impacted by the timing of when we pay these expenses, as reflected in the change in our outstanding accounts payable, accrued expenses and prepaid expenses.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We expect our expenses to remain consistent in 2022 compared to 2021 as we advance the preclinical activities and clinical trials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 our ability to:</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advance preclinical development of our early-stage programs and clinical trials of our product candidates;</w:t>
      </w:r>
    </w:p>
    <w:p>
      <w:pPr>
        <w:spacing w:after="0" w:line="21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manufacture, or have manufactured on our behalf, including sourcing raw materials, our preclinical and clinical drug material and develop processes for late stage and commercial manufacturing;</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seek regulatory approvals for any product candidates that successfully complete clinical trials;</w:t>
      </w:r>
    </w:p>
    <w:p>
      <w:pPr>
        <w:spacing w:after="0" w:line="198"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maintain and protect our intellectual property portfolio;</w:t>
      </w:r>
    </w:p>
    <w:p>
      <w:pPr>
        <w:spacing w:after="0" w:line="198"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manage the costs of preparing, filing and prosecuting patent applications, maintaining and protecting our intellectual property rights, including enforcing and defending intellectual property related claims;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manage the costs of operating as a public company; and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realize the anticipated benefits of our restructuring plan.</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50"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As of September 30, 2021, we had cash and cash equivalents of $150.1 million. We believe that our cash and cash equivalents will enable us to fund our operating expenses and capital expenditure requirements into the second half of 2023. We have based this estimate on assumptions that may prove to be wrong, and we could utilize our available capital resources sooner than we expect.</w:t>
      </w:r>
    </w:p>
    <w:p>
      <w:pPr>
        <w:spacing w:after="0" w:line="15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Until such time as we can generate substantial product revenue, if ever,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 candidates, we are unable to estimate the exact amount of our working capital requirements. Our future funding requirements will depend on and could increase significantly as a result of many factors, including:</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scope, progress, results and costs of researching and developing our product candidates, and conducting preclinical and clinical trials;</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costs, timing and outcome of regulatory review of our product candidates;</w:t>
      </w:r>
    </w:p>
    <w:p>
      <w:pPr>
        <w:spacing w:after="0" w:line="21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the costs, timing and ability to manufacture our product candidates to supply our clinical and preclinical development efforts and our clinical trials;</w:t>
      </w:r>
    </w:p>
    <w:p>
      <w:pPr>
        <w:spacing w:after="0" w:line="129"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costs of raw materials and manufacturing commercial-grade product and necessary inventory to support commercial launch;</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ability to receive additional non-dilutive funding, including grants from organizations and foundations;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210"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establish and maintain collaborations on favorable terms, if at all; and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extent to which we acquire or in-license other product candidates and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generally accepted accounting principles in the United States (“GAAP”). The preparation of our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6"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While our significant accounting policies are described in more detail in Note 4 to the unaudited condensed consolidated financial statements appearing elsewhere in this Quarterly Report on Form 10-Q, we believe that the following accounting policies are those most critical to the judgments and estimates used in the preparation of our condensed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As part of the process of preparing our condensed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condensed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vendors, including research laboratories, in connection with preclinical development activities;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CROs and investigative sites in connection with preclinical studies and clinical trials; and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ind w:left="700"/>
        <w:spacing w:after="0"/>
        <w:rPr>
          <w:sz w:val="20"/>
          <w:szCs w:val="20"/>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our estimated accruals have not differed materially from actual costs incurred.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measure all stock-based awards granted to employees, directors and non-employees based on the fair value on the date of grant and recognize compensation expense of those awards over the requisite service period, which is generally the vesting period of the respective award. Forfeitures are accounted for as they occur. We grant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We estimate the probability that certain performance criteria will be met and do not recognize compensation expense until it is probable that the performance-based vesting condition will be achieved.</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Preferred and Common Stock</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Prior to the completion of the Business Combination, given there had been no public market for our common stock, the estimated fair value of our common stock was determined by our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Our common stock valuations were prepared using an option pricing method ("OPM") or a hybrid</w:t>
      </w:r>
      <w:r>
        <w:rPr>
          <w:rFonts w:ascii="Arial" w:cs="Arial" w:eastAsia="Arial" w:hAnsi="Arial"/>
          <w:sz w:val="16"/>
          <w:szCs w:val="16"/>
          <w:i w:val="1"/>
          <w:iCs w:val="1"/>
          <w:color w:val="auto"/>
        </w:rPr>
        <w:t xml:space="preserve"> </w:t>
      </w:r>
      <w:r>
        <w:rPr>
          <w:rFonts w:ascii="Arial" w:cs="Arial" w:eastAsia="Arial" w:hAnsi="Arial"/>
          <w:sz w:val="16"/>
          <w:szCs w:val="16"/>
          <w:color w:val="auto"/>
        </w:rPr>
        <w:t>method, both of which used market approaches to estimate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("PWERM") where the equity value in one or more scenarios is calculated using an OPM. The PWERM is a scenario-based methodology that estimates the fair value of our common stock based upon an analysis of our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our common stock. These estimates and assumptions include a number of objective and subjective factors, including external market conditions, the prices at which we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our common stock as reported by Nasdaq on the date of grant.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Stock Option Awards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fair value of each restricted common stock award is estimated on the date of grant based on the fair value of our common stock on that same date. The fair value of each option grant is estimated on the date of grant using the Black-Scholes option pricing model,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jc w:val="both"/>
        <w:ind w:right="20"/>
        <w:spacing w:after="0" w:line="293" w:lineRule="auto"/>
        <w:rPr>
          <w:sz w:val="20"/>
          <w:szCs w:val="20"/>
          <w:color w:val="auto"/>
        </w:rPr>
      </w:pPr>
      <w:r>
        <w:rPr>
          <w:rFonts w:ascii="Arial" w:cs="Arial" w:eastAsia="Arial" w:hAnsi="Arial"/>
          <w:sz w:val="18"/>
          <w:szCs w:val="18"/>
          <w:color w:val="auto"/>
        </w:rPr>
        <w:t>requires inputs based on certain subjective assumptions, including the expected stock price volatility, the expected term of the award, the risk-free interest rate and expected dividends.</w:t>
      </w:r>
    </w:p>
    <w:p>
      <w:pPr>
        <w:spacing w:after="0" w:line="18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Prior to the Business Combination, we were a private company and, therefore, lack company-specific historical and implied volatility information for our common stock. Therefore, we estimated our expected stock price volatility based on the historical volatility of publicly traded peer companies and expect to continue to do so until such time as we have adequate historical data regarding the volatility of our own traded stock price. The expected term of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unaudited condensed consolidated financial statements included elsewhere in this Quarterly Report on Form 10-Q for information regarding recently issued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0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are an “emerging growth company,” as defined in the Jumpstart Our Business Startups Act of 2012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w:t>
      </w:r>
    </w:p>
    <w:p>
      <w:pPr>
        <w:spacing w:after="0" w:line="3" w:lineRule="exact"/>
        <w:rPr>
          <w:sz w:val="20"/>
          <w:szCs w:val="20"/>
          <w:color w:val="auto"/>
        </w:rPr>
      </w:pPr>
    </w:p>
    <w:p>
      <w:pPr>
        <w:jc w:val="both"/>
        <w:ind w:firstLine="8"/>
        <w:spacing w:after="0" w:line="274" w:lineRule="auto"/>
        <w:tabs>
          <w:tab w:leader="none" w:pos="2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last day of the fiscal year (a) following the fifth anniversary of the closing of our initial public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are a smaller reporting company as defined by Rule 12b-2 of the Exchange Act and Item 10(f)(1) of Regulation S-K. As such, we are not required to provide the information set forth in this item.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September 30, 2021, our principal executive officer and principal financial officer, after evaluating the effectiveness of our “disclosure controls and procedures” (as defined in the Exchange Act Rule 13a-15(e) or Rule 15d-15(e)), with the participation of our management, have each concluded that, as of the end of the period covered by this Quarterly Report on Form 10-Q, our disclosure controls and procedures were effective and were designed to ensure that information we are required to disclose in the reports that we file or submit under the Securities Exchange Act of 1934, as amended,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Securities and Exchange Commission rules and forms. It should be noted that any system of controls is designed to provide reasonable, but not absolute, assurances that the system will achieve its stated goals under all reasonably foreseeable circumstances. Our principal executive officer and principal financial officer have each concluded that our disclosure controls and procedures as of September 30, 2021 are effective at a level that provides such reasonable assurances.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There were no changes in internal control over financial reporting (as such term is defined in Exchange Act Rules 13a-15(f) and 15d-15(f)) that occurred during the three months ended September 30, 2021 that have materially affected, or that are reasonably likely to materially affect, our internal control over financial reporting.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The matters discussed in this Quarterly Report on Form 10-Q include forward-looking statements that involve risks or uncertainties. These statements are neither promises nor guarantees, but are based on various assumptions by management regarding future circumstances, over many of which we have little or no control. A number of important risks and uncertainties, including those identified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period ended December 31, 2020 and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 our Form 8-K/A as filed with the SEC on March 29, 2021 and in subsequent filings, could cause our actual results to differ materially from those in the forward-looking statements. There are no material changes to the risk factors described in our Annual Report on Form 10-K for the period ended December 31, 2020 and our Form 8-K/A as filed with the SEC on March 29, 2021. We may disclose changes to such factors or disclose additional factors from time to time in our future filings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Recent Sales of Unregistered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Issuer Purchases of Equity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Georges Gemayel</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Effective as of November 15, 2021, the Company entered into an employment agreement (the “Employment Agreement”) with the Company’s current Executive Chair of the Company’s board of directors (the “Board”), Georges Gemayel, Ph.D. Biographical information regarding Dr. Gemayel is contained in and incorporated herein by reference from the Company’s definitive proxy statement filed with the Securities and Exchange Commission on August 17, 2021.</w:t>
      </w:r>
    </w:p>
    <w:p>
      <w:pPr>
        <w:spacing w:after="0" w:line="199"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Pursuant to the Employment Agreement, Dr. Gemayel shall serve as an employee of the Company. The employment of Dr. Gemayel is “at will” and the Company may terminate the Employment Agreement for any reason or no reason and Dr. Gemayel may voluntarily resign for any reason or no reason.</w:t>
      </w:r>
    </w:p>
    <w:p>
      <w:pPr>
        <w:spacing w:after="0" w:line="13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Pursuant to the Employment Agreement, Dr. Gemayel is entitled to receive: (i) a base salary of $300,000 (it being agreed that such fee shall be inclusive of any fees associated with Dr. Gemayel’s services as both a director of the Company and in the capacity of Executive Chair) and (ii) a one-time sign-on bonus equal to $63,300. Under the terms of the Employment Agreement, Dr. Gemayel is eligible to participate in any annual bonus programs as may be established from time to time by the Board. In addition, subject to Board approval, Dr. Gemayel is eligible to receive (a) a stock option to purchase 23,514 shares of Common Stock at an exercise price per share equal to the closing price of the Common Stock on the Nasdaq Global Market on the date of grant following the effective date of the Employment Agreement, which will vest on August 5, 2022; (b) a stock option to purchase 17,245 shares of Common Stock at an exercise price per share equal to the closing price of the Common Stock on the Nasdaq Global Market on the date of grant following the effective date of the Employment Agreement, which will vest on the earlier of the one-year anniversary of the grant date and the Company’s next annual meeting of stockholders, (c) a stock option to purchase 793,274 shares of Common Stock, which shall be granted on January 3, 2022, at an exercise price per share equal to the closing price of the Common Stock on the Nasdaq Global Market on the date of grant, which will vest 50% on August 5, 2022 and the remaining 50% on August 5, 2023, and (d) an annual equity award for an option to purchase such number of shares of Common Stock equal to 0.16% of the then issued and outstanding shares of the Company, which shall vest on the earlier of the one-year anniversary of the grant date and the Company’s next annual meeting of stockholders, with respect to each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both"/>
        <w:spacing w:after="0" w:line="279" w:lineRule="auto"/>
        <w:rPr>
          <w:sz w:val="20"/>
          <w:szCs w:val="20"/>
          <w:color w:val="auto"/>
        </w:rPr>
      </w:pPr>
      <w:r>
        <w:rPr>
          <w:rFonts w:ascii="Arial" w:cs="Arial" w:eastAsia="Arial" w:hAnsi="Arial"/>
          <w:sz w:val="18"/>
          <w:szCs w:val="18"/>
          <w:color w:val="auto"/>
        </w:rPr>
        <w:t>such equity grant, subject to Dr. Gemayel’s continued service relationship with the Company on each such vesting date. The foregoing description of the Employment Agreement is a summary and is qualified in its entirety by reference to the Employment Agreement, which is attached hereto as Exhibit 10.2 and is incorporated by reference herein.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b w:val="1"/>
          <w:bCs w:val="1"/>
          <w:color w:val="auto"/>
        </w:rPr>
        <w:t>Registration No. 333-249785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10200" w:type="dxa"/>
            <w:vAlign w:val="bottom"/>
          </w:tcPr>
          <w:p>
            <w:pPr>
              <w:spacing w:after="0"/>
              <w:rPr>
                <w:sz w:val="15"/>
                <w:szCs w:val="15"/>
                <w:color w:val="auto"/>
              </w:rPr>
            </w:pPr>
          </w:p>
        </w:tc>
      </w:tr>
      <w:tr>
        <w:trPr>
          <w:trHeight w:val="185"/>
        </w:trPr>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10200" w:type="dxa"/>
            <w:vAlign w:val="bottom"/>
            <w:tcBorders>
              <w:bottom w:val="single" w:sz="8" w:color="auto"/>
            </w:tcBorders>
          </w:tcPr>
          <w:p>
            <w:pPr>
              <w:ind w:left="4740"/>
              <w:spacing w:after="0"/>
              <w:rPr>
                <w:sz w:val="20"/>
                <w:szCs w:val="20"/>
                <w:color w:val="auto"/>
              </w:rPr>
            </w:pPr>
            <w:r>
              <w:rPr>
                <w:rFonts w:ascii="Arial" w:cs="Arial" w:eastAsia="Arial" w:hAnsi="Arial"/>
                <w:sz w:val="14"/>
                <w:szCs w:val="14"/>
                <w:b w:val="1"/>
                <w:bCs w:val="1"/>
                <w:color w:val="auto"/>
              </w:rPr>
              <w:t>Description</w:t>
            </w:r>
          </w:p>
        </w:tc>
      </w:tr>
      <w:tr>
        <w:trPr>
          <w:trHeight w:val="371"/>
        </w:trPr>
        <w:tc>
          <w:tcPr>
            <w:tcW w:w="940" w:type="dxa"/>
            <w:vAlign w:val="bottom"/>
          </w:tcPr>
          <w:p>
            <w:pPr>
              <w:jc w:val="right"/>
              <w:ind w:right="4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4"/>
              </w:rPr>
              <w:t>Amended and Restated Articles of Incorporation of Gemini Therapeutics, Inc. (incorporated by reference to Annex B to the Registrant’s</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Proxy Statement/Prospectus on Form S-4 (Registration No. 333-249785)).</w:t>
            </w:r>
          </w:p>
        </w:tc>
      </w:tr>
      <w:tr>
        <w:trPr>
          <w:trHeight w:val="242"/>
        </w:trPr>
        <w:tc>
          <w:tcPr>
            <w:tcW w:w="940" w:type="dxa"/>
            <w:vAlign w:val="bottom"/>
          </w:tcPr>
          <w:p>
            <w:pPr>
              <w:jc w:val="right"/>
              <w:ind w:right="4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Amended and Restated By-laws of Gemini Therapeutics, Inc. (incorporated by reference to Annex C to the Registrant’s Proxy</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Statement/Prospectus on Form S-4 (Registration No. 333-249785)).</w:t>
            </w:r>
          </w:p>
        </w:tc>
      </w:tr>
      <w:tr>
        <w:trPr>
          <w:trHeight w:val="242"/>
        </w:trPr>
        <w:tc>
          <w:tcPr>
            <w:tcW w:w="940" w:type="dxa"/>
            <w:vAlign w:val="bottom"/>
          </w:tcPr>
          <w:p>
            <w:pPr>
              <w:jc w:val="right"/>
              <w:ind w:right="4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3"/>
              </w:rPr>
              <w:t>Form of Specimen Common Stock Certificate (incorporated by reference to Exhibit 4.1 to Form S-4/A (Registration No. 333-249785) filed</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on January 19, 2021).</w:t>
            </w:r>
          </w:p>
        </w:tc>
      </w:tr>
      <w:tr>
        <w:trPr>
          <w:trHeight w:val="243"/>
        </w:trPr>
        <w:tc>
          <w:tcPr>
            <w:tcW w:w="940" w:type="dxa"/>
            <w:vAlign w:val="bottom"/>
          </w:tcPr>
          <w:p>
            <w:pPr>
              <w:jc w:val="right"/>
              <w:ind w:right="3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Retention Agreement, dated as of October 4, 2021, by and between Gemini Therapeutics, Inc. and Dr. Samuel Barone.</w:t>
            </w:r>
          </w:p>
        </w:tc>
      </w:tr>
      <w:tr>
        <w:trPr>
          <w:trHeight w:val="243"/>
        </w:trPr>
        <w:tc>
          <w:tcPr>
            <w:tcW w:w="940" w:type="dxa"/>
            <w:vAlign w:val="bottom"/>
          </w:tcPr>
          <w:p>
            <w:pPr>
              <w:jc w:val="right"/>
              <w:ind w:right="3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3"/>
              </w:rPr>
              <w:t>Executive Chairman Agreement, dated as of November 15, 2021, by and between Gemini Therapeutics, Inc. and Dr. Georges Gemayel.</w:t>
            </w:r>
          </w:p>
        </w:tc>
      </w:tr>
      <w:tr>
        <w:trPr>
          <w:trHeight w:val="242"/>
        </w:trPr>
        <w:tc>
          <w:tcPr>
            <w:tcW w:w="940" w:type="dxa"/>
            <w:vAlign w:val="bottom"/>
          </w:tcPr>
          <w:p>
            <w:pPr>
              <w:jc w:val="right"/>
              <w:ind w:right="33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6"/>
              </w:rPr>
              <w:t>Certification of Principal Executive Officer Pursuant to Rules 13a-14(a) and 15d-14(a) under the Securities Exchange Act of 1934, as</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42"/>
        </w:trPr>
        <w:tc>
          <w:tcPr>
            <w:tcW w:w="940" w:type="dxa"/>
            <w:vAlign w:val="bottom"/>
          </w:tcPr>
          <w:p>
            <w:pPr>
              <w:jc w:val="right"/>
              <w:ind w:right="3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w w:val="96"/>
              </w:rPr>
              <w:t>Certification of Principal Financial Officer Pursuant to Rules 13a-14(a) and 15d-14(a) under the Securities Exchange Act of 1934, as</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43"/>
        </w:trPr>
        <w:tc>
          <w:tcPr>
            <w:tcW w:w="940" w:type="dxa"/>
            <w:vAlign w:val="bottom"/>
          </w:tcPr>
          <w:p>
            <w:pPr>
              <w:jc w:val="right"/>
              <w:ind w:right="33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73"/>
        </w:trPr>
        <w:tc>
          <w:tcPr>
            <w:tcW w:w="94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Inline XBRL Instance Document</w:t>
            </w:r>
          </w:p>
        </w:tc>
      </w:tr>
      <w:tr>
        <w:trPr>
          <w:trHeight w:val="473"/>
        </w:trPr>
        <w:tc>
          <w:tcPr>
            <w:tcW w:w="94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1"/>
                <w:szCs w:val="21"/>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1"/>
                <w:szCs w:val="21"/>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94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1"/>
                <w:szCs w:val="21"/>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2"/>
        </w:trPr>
        <w:tc>
          <w:tcPr>
            <w:tcW w:w="94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1"/>
                <w:szCs w:val="21"/>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940" w:type="dxa"/>
            <w:vAlign w:val="bottom"/>
          </w:tcPr>
          <w:p>
            <w:pPr>
              <w:jc w:val="right"/>
              <w:ind w:right="3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0200" w:type="dxa"/>
            <w:vAlign w:val="bottom"/>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right="300" w:firstLine="8"/>
        <w:spacing w:after="0" w:line="302" w:lineRule="auto"/>
        <w:tabs>
          <w:tab w:leader="none" w:pos="14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GEMINI THERAPEUTICS, INC.</w:t>
      </w:r>
    </w:p>
    <w:p>
      <w:pPr>
        <w:spacing w:after="0" w:line="279"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Jason Meyenburg</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(Principal executive officer)</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Gemini Therapeutics, Inc.</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300" w:type="dxa"/>
            <w:vAlign w:val="bottom"/>
          </w:tcPr>
          <w:p>
            <w:pPr>
              <w:jc w:val="right"/>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Piekos</w:t>
            </w:r>
          </w:p>
        </w:tc>
      </w:tr>
      <w:tr>
        <w:trPr>
          <w:trHeight w:val="218"/>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89"/>
              </w:rPr>
              <w:t>Brian Piekos</w:t>
            </w:r>
          </w:p>
        </w:tc>
      </w:tr>
      <w:tr>
        <w:trPr>
          <w:trHeight w:val="234"/>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8"/>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officer)</w:t>
            </w:r>
          </w:p>
        </w:tc>
      </w:tr>
      <w:tr>
        <w:trPr>
          <w:trHeight w:val="234"/>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Gemini Therapeutics, Inc.</w:t>
            </w:r>
          </w:p>
        </w:tc>
      </w:tr>
      <w:tr>
        <w:trPr>
          <w:trHeight w:val="688"/>
        </w:trPr>
        <w:tc>
          <w:tcPr>
            <w:tcW w:w="3720" w:type="dxa"/>
            <w:vAlign w:val="bottom"/>
          </w:tcPr>
          <w:p>
            <w:pPr>
              <w:spacing w:after="0"/>
              <w:rPr>
                <w:sz w:val="24"/>
                <w:szCs w:val="24"/>
                <w:color w:val="auto"/>
              </w:rPr>
            </w:pP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522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1."/>
      <w:numFmt w:val="decimal"/>
      <w:start w:val="12"/>
    </w:lvl>
  </w:abstractNum>
  <w:abstractNum w:abstractNumId="4">
    <w:nsid w:val="2EB141F2"/>
    <w:multiLevelType w:val="hybridMultilevel"/>
    <w:lvl w:ilvl="0">
      <w:lvlJc w:val="left"/>
      <w:lvlText w:val="%1."/>
      <w:numFmt w:val="decimal"/>
      <w:start w:val="14"/>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2021-11-15T07:38:05Z</dcterms:created>
  <dcterms:modified xsi:type="dcterms:W3CDTF">2021-11-15T07:38:05Z</dcterms:modified>
</cp:coreProperties>
</file>