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85-1612845</w:t>
      </w:r>
    </w:p>
    <w:p>
      <w:pPr>
        <w:spacing w:after="0" w:line="31" w:lineRule="exact"/>
        <w:rPr>
          <w:sz w:val="24"/>
          <w:szCs w:val="24"/>
          <w:color w:val="auto"/>
        </w:rPr>
      </w:pPr>
    </w:p>
    <w:p>
      <w:pPr>
        <w:sectPr>
          <w:pgSz w:w="11900" w:h="16838" w:orient="portrait"/>
          <w:cols w:equalWidth="0" w:num="3">
            <w:col w:w="4504" w:space="720"/>
            <w:col w:w="2880" w:space="720"/>
            <w:col w:w="2200"/>
          </w:cols>
          <w:pgMar w:left="436" w:top="449"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449" w:right="439" w:bottom="1440" w:gutter="0" w:footer="0" w:header="0"/>
          <w:type w:val="continuous"/>
        </w:sectPr>
      </w:pPr>
    </w:p>
    <w:p>
      <w:pPr>
        <w:spacing w:after="0" w:line="5"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321 Arsenal Street, Suite 101</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7"/>
          <w:szCs w:val="17"/>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02472</w:t>
      </w:r>
    </w:p>
    <w:p>
      <w:pPr>
        <w:spacing w:after="0" w:line="62" w:lineRule="exact"/>
        <w:rPr>
          <w:sz w:val="24"/>
          <w:szCs w:val="24"/>
          <w:color w:val="auto"/>
        </w:rPr>
      </w:pPr>
    </w:p>
    <w:p>
      <w:pPr>
        <w:sectPr>
          <w:pgSz w:w="11900" w:h="16838" w:orient="portrait"/>
          <w:cols w:equalWidth="0" w:num="2">
            <w:col w:w="7404" w:space="720"/>
            <w:col w:w="2900"/>
          </w:cols>
          <w:pgMar w:left="436" w:top="449"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0" w:lineRule="exact"/>
        <w:rPr>
          <w:sz w:val="24"/>
          <w:szCs w:val="24"/>
          <w:color w:val="auto"/>
        </w:rPr>
      </w:pPr>
    </w:p>
    <w:p>
      <w:pPr>
        <w:sectPr>
          <w:pgSz w:w="11900" w:h="16838" w:orient="portrait"/>
          <w:cols w:equalWidth="0" w:num="2">
            <w:col w:w="7284" w:space="720"/>
            <w:col w:w="3020"/>
          </w:cols>
          <w:pgMar w:left="436" w:top="449"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9"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9"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13, 2023, Disc Medicine, Inc. (the “Company”) entered into an Underwriting Agreement (the “Underwriting Agreement”) with Morgan Stanley &amp; Co. LLC, SVB Securities LLC, Stifel, Nicolaus &amp; Company, Incorporated, and BMO Capital Markets Corp., as representatives of the several underwriters listed on Schedule I thereto (the “Underwriters”), related to a public offering (the “Offering”) of (i) 2,595,919 shares of common stock of the Company, par value $0.0001 per share (“Common Stock”) at a price to the public of $49.00 per share and (ii) pre-funded warrants to purchase an aggregate of 204,081 shares of Common Stock (the “Pre-Funded Warrants”), at a price to the public of $48.9999 per Pre-Funded Warrant, which represents the per share public offering price for the Common Stock less the $0.0001 per share exercise price for each such Pre-Funded Warrant. In addition, the Company granted the Underwriters an option exercisable for 30 days from the date of the Underwriting Agreement to purchase, at the public offering price less any underwriting discounts and commissions, up to an additional 420,000 shares of Common Stock. The net proceeds from the Offering are expected to be approximately $128.2 million, or approximately $147.6 million if the option to purchase additional shares is exercised in full by the Underwriters, after deducting the underwriting discount and estimated offering expenses. The Company will receive nominal proceeds, if any, from the exercise of the Pre-Funded Warrants. The Offering is expected to close on June 16, 2023, subject to customary closing conditions.</w:t>
      </w:r>
    </w:p>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Each Pre-Funded Warrant will be exercisable for one share Common Stock at an exercise price of $0.0001 per share, or alternatively, at the election of each holder, shares of Common Stock may be issued through a cashless exercise, with the net number of shares of Common Stock determined according to the formula set forth in each Pre-Funded Warrant. The Pre-Funded Warrants will be immediately exercisable and may be exercised at any time until all of the Pre-Funded Warrants are exercised in full. A holder (together with its “attribution parties,” as defined in the Pre-Funded Warrant) may not exercise any portion of the Pre-Funded Warrants if immediately after exercise, the holder (together with its attribution parties),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 if such increase would not result in a change of control under the rules and regulations of the Nasdaq Stock Market LLC.</w:t>
      </w:r>
    </w:p>
    <w:p>
      <w:pPr>
        <w:spacing w:after="0" w:line="18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addition, if the exercise of a Pre-Funded Warrant would result in a holder of Pre-Funded Warrants (together with its attribution parties) acquiring beneficial ownership of Common Stock (together with all other equity owned by such holder at such time) equal to or in excess of the notification threshold applicable to such holder (the “HSR Threshold”) under the Hart-Scott-Rodino Antitrust Improvements Act of 1976, as amended (the “HSR Act”), as of the date of delivery of the applicable exercise notice,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either the HSR Threshold or the Ownership Limit. The Company does not intend to list the Pre-Funded Warrants on the Nasdaq Global Market, any other national securities exchange or any other nationally recognized trading system.</w:t>
      </w:r>
    </w:p>
    <w:p>
      <w:pPr>
        <w:spacing w:after="0" w:line="19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made certain customary representations, warranties and covenants concerning the Company and the registration statement in the Underwriting Agreement and also agreed to indemnify the Underwriters against certain liabilities, including liabilities under the Securities Act of 1933, as amended (the “Securities Act”). The Offering is being made pursuant to the Company’s shelf registration statement on Form S-3 (File</w:t>
      </w:r>
    </w:p>
    <w:p>
      <w:pPr>
        <w:ind w:right="180"/>
        <w:spacing w:after="0" w:line="302" w:lineRule="auto"/>
        <w:rPr>
          <w:sz w:val="20"/>
          <w:szCs w:val="20"/>
          <w:color w:val="auto"/>
        </w:rPr>
      </w:pPr>
      <w:r>
        <w:rPr>
          <w:rFonts w:ascii="Arial" w:cs="Arial" w:eastAsia="Arial" w:hAnsi="Arial"/>
          <w:sz w:val="16"/>
          <w:szCs w:val="16"/>
          <w:color w:val="auto"/>
        </w:rPr>
        <w:t>No. 333-269272), filed with the Securities and Exchange Commission (the “Commission”) on January 18, 2023 and declared effective by the Commission on January 24, 2023, as supplemented by a final prospectus supplement dated June 13, 2023, filed on June 15, 2023. This Current Report on Form 8-K does not constitute an offer to sell or a solicitation of an offer to buy any of the shares of Common Stock or the Pre-Funded Warrants.</w:t>
      </w:r>
    </w:p>
    <w:p>
      <w:pPr>
        <w:spacing w:after="0" w:line="15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foregoing description of certain terms of the Underwriting Agreement and the transactions contemplated thereby does not purport to be complete and is subject to, and qualified in its entirety by, the full text of the Underwriting Agreement, which is attached as Exhibit 1.1 hereto and is incorporated by reference herein. The form of Pre-Funded Warrant to Purchase Common Stock is filed as Exhibit 4.1 to this Current Report on Form 8-K and is incorporated herein by reference, and the foregoing description of the terms of the Pre-Funded Warrants is qualified in its entirety by reference to such exhibit. A copy of the opinion of Goodwin Procter LLP, relating to the legality of the shares of Common Stock, the Pre-Funded Warrants and the shares of Common Stock issuable upon exercise of the Pre-Funded Warrants, is filed as Exhibit 5.1 hereto and is incorporated by reference herein.</w:t>
      </w:r>
    </w:p>
    <w:p>
      <w:pPr>
        <w:spacing w:after="0" w:line="30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June 12, 2023, the Company issued a press release announcing the Offering. On June 13, 2023, the Company issued a press release announcing that it had priced the Offering. A copy of both press releases are attached hereto as Exhibit 99.1 and Exhibit 99.2, respectively, and are incorporated by reference herein.</w:t>
      </w:r>
    </w:p>
    <w:p>
      <w:pPr>
        <w:sectPr>
          <w:pgSz w:w="11900" w:h="16838" w:orient="portrait"/>
          <w:cols w:equalWidth="0" w:num="1">
            <w:col w:w="11000"/>
          </w:cols>
          <w:pgMar w:left="440" w:top="513"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60" w:type="dxa"/>
            <w:vAlign w:val="bottom"/>
            <w:gridSpan w:val="11"/>
          </w:tcPr>
          <w:p>
            <w:pPr>
              <w:ind w:left="3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w w:val="95"/>
              </w:rPr>
              <w:t>(d) Exhibits</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40" w:type="dxa"/>
            <w:vAlign w:val="bottom"/>
            <w:gridSpan w:val="6"/>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0000EE"/>
                <w:w w:val="92"/>
              </w:rPr>
              <w:t>Underwriting Agreement, dated as of June 13, 2023, by and among the Company and Morgan Stanley &amp; Co. LLC, SVB Securities LLC,</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1"/>
              </w:rPr>
              <w:t>Stifel, Nicolaus &amp; Company, Incorporated, and BMO Capital Markets Corp., as representatives of the several underwriters listed on</w:t>
            </w:r>
          </w:p>
        </w:tc>
        <w:tc>
          <w:tcPr>
            <w:tcW w:w="3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8"/>
              </w:rPr>
              <w:t>Schedule A thereto.</w:t>
            </w:r>
          </w:p>
        </w:tc>
        <w:tc>
          <w:tcPr>
            <w:tcW w:w="8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2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Form of Pre-Funded Warrant.</w:t>
            </w:r>
          </w:p>
        </w:tc>
        <w:tc>
          <w:tcPr>
            <w:tcW w:w="78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99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Opinion of Goodwin Procter LLP regarding the issue of Common Stock, Pre-Funded Warrants and Common Stock issuable upon exercise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of the Pre-Funded Warrants being registered.</w:t>
            </w:r>
          </w:p>
        </w:tc>
        <w:tc>
          <w:tcPr>
            <w:tcW w:w="67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0000EE"/>
              </w:rPr>
              <w:t>Consent of Goodwin Procter LLP (included in Exhibit 5.1).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43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Press release announcing the Offering, dated June 12, 2023.</w:t>
            </w:r>
          </w:p>
        </w:tc>
        <w:tc>
          <w:tcPr>
            <w:tcW w:w="5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99.2</w:t>
            </w:r>
          </w:p>
        </w:tc>
        <w:tc>
          <w:tcPr>
            <w:tcW w:w="420" w:type="dxa"/>
            <w:vAlign w:val="bottom"/>
          </w:tcPr>
          <w:p>
            <w:pPr>
              <w:spacing w:after="0"/>
              <w:rPr>
                <w:sz w:val="24"/>
                <w:szCs w:val="24"/>
                <w:color w:val="auto"/>
              </w:rPr>
            </w:pPr>
          </w:p>
        </w:tc>
        <w:tc>
          <w:tcPr>
            <w:tcW w:w="5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Press release announcing the pricing of the Offering, dated June 13, 2023.</w:t>
            </w:r>
          </w:p>
        </w:tc>
        <w:tc>
          <w:tcPr>
            <w:tcW w:w="4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96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840"/>
          </w:cols>
          <w:pgMar w:left="440" w:top="513" w:right="6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p>
    <w:bookmarkStart w:id="3" w:name="page4"/>
    <w:bookmarkEnd w:id="3"/>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spacing w:after="0"/>
        <w:tabs>
          <w:tab w:leader="none" w:pos="5480" w:val="left"/>
          <w:tab w:leader="none" w:pos="6140" w:val="left"/>
        </w:tabs>
        <w:rPr>
          <w:sz w:val="20"/>
          <w:szCs w:val="20"/>
          <w:color w:val="auto"/>
        </w:rPr>
      </w:pPr>
      <w:r>
        <w:rPr>
          <w:rFonts w:ascii="Arial" w:cs="Arial" w:eastAsia="Arial" w:hAnsi="Arial"/>
          <w:sz w:val="18"/>
          <w:szCs w:val="18"/>
          <w:color w:val="auto"/>
        </w:rPr>
        <w:t>Date: June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Name:</w:t>
        <w:tab/>
        <w:t>John Quisel, J.D., Ph.D.</w:t>
      </w:r>
    </w:p>
    <w:p>
      <w:pPr>
        <w:spacing w:after="0" w:line="9"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ectPr>
          <w:pgSz w:w="11900" w:h="16838" w:orient="portrait"/>
          <w:cols w:equalWidth="0" w:num="1">
            <w:col w:w="10260"/>
          </w:cols>
          <w:pgMar w:left="440" w:top="51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2,595,919 SHARES OF COMMON STOCK (PAR VALUE $0.0001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PRE-FUNDED WARRANTS TO PURCHASE 204,081 SHARES OF COMMON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(PAR VALUE $0.0001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 MEDICINE,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13, 2023</w:t>
      </w:r>
    </w:p>
    <w:p>
      <w:pPr>
        <w:sectPr>
          <w:pgSz w:w="11900" w:h="16838" w:orient="portrait"/>
          <w:cols w:equalWidth="0" w:num="1">
            <w:col w:w="11020"/>
          </w:cols>
          <w:pgMar w:left="440"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June 13,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ectPr>
          <w:pgSz w:w="11900" w:h="16838" w:orient="portrait"/>
          <w:cols w:equalWidth="0" w:num="1">
            <w:col w:w="11020"/>
          </w:cols>
          <w:pgMar w:left="440" w:top="49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220"/>
            <w:col w:w="10580"/>
          </w:cols>
          <w:pgMar w:left="440" w:top="490" w:right="43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 State Street, 40</w:t>
      </w:r>
      <w:r>
        <w:rPr>
          <w:rFonts w:ascii="Arial" w:cs="Arial" w:eastAsia="Arial" w:hAnsi="Arial"/>
          <w:sz w:val="13"/>
          <w:szCs w:val="13"/>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02109</w:t>
      </w:r>
    </w:p>
    <w:p>
      <w:pPr>
        <w:spacing w:after="0" w:line="200" w:lineRule="exact"/>
        <w:rPr>
          <w:sz w:val="20"/>
          <w:szCs w:val="20"/>
          <w:color w:val="auto"/>
        </w:rPr>
      </w:pPr>
    </w:p>
    <w:p>
      <w:pPr>
        <w:sectPr>
          <w:pgSz w:w="11900" w:h="16838" w:orient="portrait"/>
          <w:cols w:equalWidth="0" w:num="2">
            <w:col w:w="220" w:space="220"/>
            <w:col w:w="10580"/>
          </w:cols>
          <w:pgMar w:left="440" w:top="490" w:right="43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11</w:t>
      </w:r>
      <w:r>
        <w:rPr>
          <w:rFonts w:ascii="Arial" w:cs="Arial" w:eastAsia="Arial" w:hAnsi="Arial"/>
          <w:sz w:val="13"/>
          <w:szCs w:val="13"/>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0" w:lineRule="exact"/>
        <w:rPr>
          <w:sz w:val="20"/>
          <w:szCs w:val="20"/>
          <w:color w:val="auto"/>
        </w:rPr>
      </w:pPr>
    </w:p>
    <w:p>
      <w:pPr>
        <w:sectPr>
          <w:pgSz w:w="11900" w:h="16838" w:orient="portrait"/>
          <w:cols w:equalWidth="0" w:num="2">
            <w:col w:w="220" w:space="220"/>
            <w:col w:w="10580"/>
          </w:cols>
          <w:pgMar w:left="440" w:top="490" w:right="4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151 W 42nd Street, 32nd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0" w:lineRule="exact"/>
        <w:rPr>
          <w:sz w:val="20"/>
          <w:szCs w:val="20"/>
          <w:color w:val="auto"/>
        </w:rPr>
      </w:pPr>
    </w:p>
    <w:p>
      <w:pPr>
        <w:sectPr>
          <w:pgSz w:w="11900" w:h="16838" w:orient="portrait"/>
          <w:cols w:equalWidth="0" w:num="2">
            <w:col w:w="220" w:space="220"/>
            <w:col w:w="10580"/>
          </w:cols>
          <w:pgMar w:left="440" w:top="490"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Disc Medicine,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named in Schedule I hereto (the “</w:t>
      </w:r>
      <w:r>
        <w:rPr>
          <w:rFonts w:ascii="Arial" w:cs="Arial" w:eastAsia="Arial" w:hAnsi="Arial"/>
          <w:sz w:val="18"/>
          <w:szCs w:val="18"/>
          <w:b w:val="1"/>
          <w:bCs w:val="1"/>
          <w:color w:val="auto"/>
        </w:rPr>
        <w:t>Underwriters</w:t>
      </w:r>
      <w:r>
        <w:rPr>
          <w:rFonts w:ascii="Arial" w:cs="Arial" w:eastAsia="Arial" w:hAnsi="Arial"/>
          <w:sz w:val="18"/>
          <w:szCs w:val="18"/>
          <w:color w:val="auto"/>
        </w:rPr>
        <w:t>”) (a) 2,595,919 shares of its common stock, par value $0.0001 per share (the “</w:t>
      </w:r>
      <w:r>
        <w:rPr>
          <w:rFonts w:ascii="Arial" w:cs="Arial" w:eastAsia="Arial" w:hAnsi="Arial"/>
          <w:sz w:val="18"/>
          <w:szCs w:val="18"/>
          <w:b w:val="1"/>
          <w:bCs w:val="1"/>
          <w:color w:val="auto"/>
        </w:rPr>
        <w:t>Firm Shares</w:t>
      </w:r>
      <w:r>
        <w:rPr>
          <w:rFonts w:ascii="Arial" w:cs="Arial" w:eastAsia="Arial" w:hAnsi="Arial"/>
          <w:sz w:val="18"/>
          <w:szCs w:val="18"/>
          <w:color w:val="auto"/>
        </w:rPr>
        <w:t>”) and (b) pre-funded warrants to purchase up to 204,081 shares of the Company’s common stock, par value $0.0001 per share, in a form to be mutually agreed upon by the Company and the Representatives (as defined below) (the “</w:t>
      </w:r>
      <w:r>
        <w:rPr>
          <w:rFonts w:ascii="Arial" w:cs="Arial" w:eastAsia="Arial" w:hAnsi="Arial"/>
          <w:sz w:val="18"/>
          <w:szCs w:val="18"/>
          <w:b w:val="1"/>
          <w:bCs w:val="1"/>
          <w:color w:val="auto"/>
        </w:rPr>
        <w:t>Pre-Funded Warrants</w:t>
      </w:r>
      <w:r>
        <w:rPr>
          <w:rFonts w:ascii="Arial" w:cs="Arial" w:eastAsia="Arial" w:hAnsi="Arial"/>
          <w:sz w:val="18"/>
          <w:szCs w:val="18"/>
          <w:color w:val="auto"/>
        </w:rPr>
        <w:t>” and, together with the Firm Shares, the “</w:t>
      </w:r>
      <w:r>
        <w:rPr>
          <w:rFonts w:ascii="Arial" w:cs="Arial" w:eastAsia="Arial" w:hAnsi="Arial"/>
          <w:sz w:val="18"/>
          <w:szCs w:val="18"/>
          <w:b w:val="1"/>
          <w:bCs w:val="1"/>
          <w:color w:val="auto"/>
        </w:rPr>
        <w:t>Firm Securities</w:t>
      </w:r>
      <w:r>
        <w:rPr>
          <w:rFonts w:ascii="Arial" w:cs="Arial" w:eastAsia="Arial" w:hAnsi="Arial"/>
          <w:sz w:val="18"/>
          <w:szCs w:val="18"/>
          <w:color w:val="auto"/>
        </w:rPr>
        <w:t>”) at an exercise price of $0.0001.</w:t>
      </w:r>
    </w:p>
    <w:p>
      <w:pPr>
        <w:spacing w:after="0" w:line="187"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The Company also proposes to issue and sell to the several Underwriters not more than an additional 420,000 shares of its common stock, par value $0.0001 per share (the “</w:t>
      </w:r>
      <w:r>
        <w:rPr>
          <w:rFonts w:ascii="Arial" w:cs="Arial" w:eastAsia="Arial" w:hAnsi="Arial"/>
          <w:sz w:val="17"/>
          <w:szCs w:val="17"/>
          <w:b w:val="1"/>
          <w:bCs w:val="1"/>
          <w:color w:val="auto"/>
        </w:rPr>
        <w:t>Additional Shares</w:t>
      </w:r>
      <w:r>
        <w:rPr>
          <w:rFonts w:ascii="Arial" w:cs="Arial" w:eastAsia="Arial" w:hAnsi="Arial"/>
          <w:sz w:val="17"/>
          <w:szCs w:val="17"/>
          <w:color w:val="auto"/>
        </w:rPr>
        <w:t>”), if and to the extent that Morgan Stanley &amp; Co. LLC, SVB Securities LLC, Stifel, Nicolaus &amp; Company, Incorporated and BMO Capital Markets Corp. (collectively, the “</w:t>
      </w:r>
      <w:r>
        <w:rPr>
          <w:rFonts w:ascii="Arial" w:cs="Arial" w:eastAsia="Arial" w:hAnsi="Arial"/>
          <w:sz w:val="17"/>
          <w:szCs w:val="17"/>
          <w:b w:val="1"/>
          <w:bCs w:val="1"/>
          <w:color w:val="auto"/>
        </w:rPr>
        <w:t>Representatives</w:t>
      </w:r>
      <w:r>
        <w:rPr>
          <w:rFonts w:ascii="Arial" w:cs="Arial" w:eastAsia="Arial" w:hAnsi="Arial"/>
          <w:sz w:val="17"/>
          <w:szCs w:val="17"/>
          <w:color w:val="auto"/>
        </w:rPr>
        <w:t>”), as representatives of the offering,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7"/>
          <w:szCs w:val="17"/>
          <w:b w:val="1"/>
          <w:bCs w:val="1"/>
          <w:color w:val="auto"/>
        </w:rPr>
        <w:t>Shares</w:t>
      </w:r>
      <w:r>
        <w:rPr>
          <w:rFonts w:ascii="Arial" w:cs="Arial" w:eastAsia="Arial" w:hAnsi="Arial"/>
          <w:sz w:val="17"/>
          <w:szCs w:val="17"/>
          <w:color w:val="auto"/>
        </w:rPr>
        <w:t>” and, together with the Pre-Funded Warrants, the “</w:t>
      </w:r>
      <w:r>
        <w:rPr>
          <w:rFonts w:ascii="Arial" w:cs="Arial" w:eastAsia="Arial" w:hAnsi="Arial"/>
          <w:sz w:val="17"/>
          <w:szCs w:val="17"/>
          <w:b w:val="1"/>
          <w:bCs w:val="1"/>
          <w:color w:val="auto"/>
        </w:rPr>
        <w:t>Securities</w:t>
      </w:r>
      <w:r>
        <w:rPr>
          <w:rFonts w:ascii="Arial" w:cs="Arial" w:eastAsia="Arial" w:hAnsi="Arial"/>
          <w:sz w:val="17"/>
          <w:szCs w:val="17"/>
          <w:color w:val="auto"/>
        </w:rPr>
        <w:t>.” The shares of the Company’s common stock, par value $0.0001 per share, issuable upon exercise of the Pre-Funded Warrants are herein referred to as the “</w:t>
      </w:r>
      <w:r>
        <w:rPr>
          <w:rFonts w:ascii="Arial" w:cs="Arial" w:eastAsia="Arial" w:hAnsi="Arial"/>
          <w:sz w:val="17"/>
          <w:szCs w:val="17"/>
          <w:b w:val="1"/>
          <w:bCs w:val="1"/>
          <w:color w:val="auto"/>
        </w:rPr>
        <w:t>Warrant Shares</w:t>
      </w:r>
      <w:r>
        <w:rPr>
          <w:rFonts w:ascii="Arial" w:cs="Arial" w:eastAsia="Arial" w:hAnsi="Arial"/>
          <w:sz w:val="17"/>
          <w:szCs w:val="17"/>
          <w:color w:val="auto"/>
        </w:rPr>
        <w:t>.” The shares of common stock, par value $0.0001 per share, of the Company to be outstanding after giving effect to the sales contemplated hereby are hereinafter referred to as the “</w:t>
      </w:r>
      <w:r>
        <w:rPr>
          <w:rFonts w:ascii="Arial" w:cs="Arial" w:eastAsia="Arial" w:hAnsi="Arial"/>
          <w:sz w:val="17"/>
          <w:szCs w:val="17"/>
          <w:b w:val="1"/>
          <w:bCs w:val="1"/>
          <w:color w:val="auto"/>
        </w:rPr>
        <w:t>Common Stock.</w:t>
      </w:r>
      <w:r>
        <w:rPr>
          <w:rFonts w:ascii="Arial" w:cs="Arial" w:eastAsia="Arial" w:hAnsi="Arial"/>
          <w:sz w:val="17"/>
          <w:szCs w:val="17"/>
          <w:color w:val="auto"/>
        </w:rPr>
        <w:t>”</w:t>
      </w:r>
    </w:p>
    <w:p>
      <w:pPr>
        <w:sectPr>
          <w:pgSz w:w="11900" w:h="16838" w:orient="portrait"/>
          <w:cols w:equalWidth="0" w:num="1">
            <w:col w:w="11020"/>
          </w:cols>
          <w:pgMar w:left="440" w:top="490" w:right="439" w:bottom="1440" w:gutter="0" w:footer="0" w:header="0"/>
          <w:type w:val="continuous"/>
        </w:sectPr>
      </w:pPr>
    </w:p>
    <w:bookmarkStart w:id="6" w:name="page7"/>
    <w:bookmarkEnd w:id="6"/>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on Form S-3 (File No. 333-269272), relating to the various securities (the “</w:t>
      </w:r>
      <w:r>
        <w:rPr>
          <w:rFonts w:ascii="Arial" w:cs="Arial" w:eastAsia="Arial" w:hAnsi="Arial"/>
          <w:sz w:val="16"/>
          <w:szCs w:val="16"/>
          <w:b w:val="1"/>
          <w:bCs w:val="1"/>
          <w:color w:val="auto"/>
        </w:rPr>
        <w:t>Shelf Securities</w:t>
      </w:r>
      <w:r>
        <w:rPr>
          <w:rFonts w:ascii="Arial" w:cs="Arial" w:eastAsia="Arial" w:hAnsi="Arial"/>
          <w:sz w:val="16"/>
          <w:szCs w:val="16"/>
          <w:color w:val="auto"/>
        </w:rPr>
        <w:t>”), including the Securities,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covering the Shelf Securities dated January 24, 2023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any preliminary form of the Prospectus. If the Company has filed an abbreviated registration statement to register additional shares of Common Stock pursuant to Rule 462(b) under the Securities Act (a “</w:t>
      </w:r>
      <w:r>
        <w:rPr>
          <w:rFonts w:ascii="Arial" w:cs="Arial" w:eastAsia="Arial" w:hAnsi="Arial"/>
          <w:sz w:val="16"/>
          <w:szCs w:val="16"/>
          <w:b w:val="1"/>
          <w:bCs w:val="1"/>
          <w:color w:val="auto"/>
        </w:rPr>
        <w:t>Rule 462 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then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 Registration Statement.</w:t>
      </w:r>
    </w:p>
    <w:p>
      <w:pPr>
        <w:spacing w:after="0" w:line="168"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b w:val="1"/>
          <w:bCs w:val="1"/>
          <w:color w:val="auto"/>
        </w:rPr>
        <w:t>free writing prospectus</w:t>
      </w:r>
      <w:r>
        <w:rPr>
          <w:rFonts w:ascii="Arial" w:cs="Arial" w:eastAsia="Arial" w:hAnsi="Arial"/>
          <w:sz w:val="17"/>
          <w:szCs w:val="17"/>
          <w:color w:val="auto"/>
        </w:rPr>
        <w:t>” has the meaning set forth in Rule 405 under the Securities Act,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means the documents and pricing information set forth in Schedule II hereto, and “</w:t>
      </w:r>
      <w:r>
        <w:rPr>
          <w:rFonts w:ascii="Arial" w:cs="Arial" w:eastAsia="Arial" w:hAnsi="Arial"/>
          <w:sz w:val="17"/>
          <w:szCs w:val="17"/>
          <w:b w:val="1"/>
          <w:bCs w:val="1"/>
          <w:color w:val="auto"/>
        </w:rPr>
        <w:t>broadly available road show</w:t>
      </w:r>
      <w:r>
        <w:rPr>
          <w:rFonts w:ascii="Arial" w:cs="Arial" w:eastAsia="Arial" w:hAnsi="Arial"/>
          <w:sz w:val="17"/>
          <w:szCs w:val="17"/>
          <w:color w:val="auto"/>
        </w:rPr>
        <w:t>” means a “</w:t>
      </w:r>
      <w:r>
        <w:rPr>
          <w:rFonts w:ascii="Arial" w:cs="Arial" w:eastAsia="Arial" w:hAnsi="Arial"/>
          <w:sz w:val="17"/>
          <w:szCs w:val="17"/>
          <w:b w:val="1"/>
          <w:bCs w:val="1"/>
          <w:color w:val="auto"/>
        </w:rPr>
        <w:t>bona fide electronic road show</w:t>
      </w:r>
      <w:r>
        <w:rPr>
          <w:rFonts w:ascii="Arial" w:cs="Arial" w:eastAsia="Arial" w:hAnsi="Arial"/>
          <w:sz w:val="17"/>
          <w:szCs w:val="17"/>
          <w:color w:val="auto"/>
        </w:rPr>
        <w:t>” as defined in Rule 433(h)(5) under the Securities Act that has been made available without restriction to any person. As used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the terms “</w:t>
      </w:r>
      <w:r>
        <w:rPr>
          <w:rFonts w:ascii="Arial" w:cs="Arial" w:eastAsia="Arial" w:hAnsi="Arial"/>
          <w:sz w:val="17"/>
          <w:szCs w:val="17"/>
          <w:b w:val="1"/>
          <w:bCs w:val="1"/>
          <w:color w:val="auto"/>
        </w:rPr>
        <w:t>Registration Statement</w:t>
      </w:r>
      <w:r>
        <w:rPr>
          <w:rFonts w:ascii="Arial" w:cs="Arial" w:eastAsia="Arial" w:hAnsi="Arial"/>
          <w:sz w:val="17"/>
          <w:szCs w:val="17"/>
          <w:color w:val="auto"/>
        </w:rPr>
        <w:t>,” “</w:t>
      </w:r>
      <w:r>
        <w:rPr>
          <w:rFonts w:ascii="Arial" w:cs="Arial" w:eastAsia="Arial" w:hAnsi="Arial"/>
          <w:sz w:val="17"/>
          <w:szCs w:val="17"/>
          <w:b w:val="1"/>
          <w:bCs w:val="1"/>
          <w:color w:val="auto"/>
        </w:rPr>
        <w:t>Basic Prospectus</w:t>
      </w:r>
      <w:r>
        <w:rPr>
          <w:rFonts w:ascii="Arial" w:cs="Arial" w:eastAsia="Arial" w:hAnsi="Arial"/>
          <w:sz w:val="17"/>
          <w:szCs w:val="17"/>
          <w:color w:val="auto"/>
        </w:rPr>
        <w:t>,” “</w:t>
      </w:r>
      <w:r>
        <w:rPr>
          <w:rFonts w:ascii="Arial" w:cs="Arial" w:eastAsia="Arial" w:hAnsi="Arial"/>
          <w:sz w:val="17"/>
          <w:szCs w:val="17"/>
          <w:b w:val="1"/>
          <w:bCs w:val="1"/>
          <w:color w:val="auto"/>
        </w:rPr>
        <w:t>preliminary prospectus</w:t>
      </w:r>
      <w:r>
        <w:rPr>
          <w:rFonts w:ascii="Arial" w:cs="Arial" w:eastAsia="Arial" w:hAnsi="Arial"/>
          <w:sz w:val="17"/>
          <w:szCs w:val="17"/>
          <w:color w:val="auto"/>
        </w:rPr>
        <w:t>,” “</w:t>
      </w:r>
      <w:r>
        <w:rPr>
          <w:rFonts w:ascii="Arial" w:cs="Arial" w:eastAsia="Arial" w:hAnsi="Arial"/>
          <w:sz w:val="17"/>
          <w:szCs w:val="17"/>
          <w:b w:val="1"/>
          <w:bCs w:val="1"/>
          <w:color w:val="auto"/>
        </w:rPr>
        <w:t>Time of Sale Prospectus</w:t>
      </w:r>
      <w:r>
        <w:rPr>
          <w:rFonts w:ascii="Arial" w:cs="Arial" w:eastAsia="Arial" w:hAnsi="Arial"/>
          <w:sz w:val="17"/>
          <w:szCs w:val="17"/>
          <w:color w:val="auto"/>
        </w:rPr>
        <w:t>” and “</w:t>
      </w:r>
      <w:r>
        <w:rPr>
          <w:rFonts w:ascii="Arial" w:cs="Arial" w:eastAsia="Arial" w:hAnsi="Arial"/>
          <w:sz w:val="17"/>
          <w:szCs w:val="17"/>
          <w:b w:val="1"/>
          <w:bCs w:val="1"/>
          <w:color w:val="auto"/>
        </w:rPr>
        <w:t>Prospectus</w:t>
      </w:r>
      <w:r>
        <w:rPr>
          <w:rFonts w:ascii="Arial" w:cs="Arial" w:eastAsia="Arial" w:hAnsi="Arial"/>
          <w:sz w:val="17"/>
          <w:szCs w:val="17"/>
          <w:color w:val="auto"/>
        </w:rPr>
        <w:t>” shall include the documents, if any, incorporated by reference therein as of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 Statement, the Prospectus, the Time of Sale Prospectus or the Prospectus shall include all documents subsequently filed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68" w:lineRule="exact"/>
        <w:rPr>
          <w:sz w:val="20"/>
          <w:szCs w:val="20"/>
          <w:color w:val="auto"/>
        </w:rPr>
      </w:pPr>
    </w:p>
    <w:p>
      <w:pPr>
        <w:ind w:left="1040" w:hanging="181"/>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117" w:lineRule="exact"/>
        <w:rPr>
          <w:rFonts w:ascii="Arial" w:cs="Arial" w:eastAsia="Arial" w:hAnsi="Arial"/>
          <w:sz w:val="18"/>
          <w:szCs w:val="18"/>
          <w:color w:val="auto"/>
        </w:rPr>
      </w:pPr>
    </w:p>
    <w:p>
      <w:pPr>
        <w:ind w:left="220" w:right="60" w:firstLine="428"/>
        <w:spacing w:after="0" w:line="263" w:lineRule="auto"/>
        <w:tabs>
          <w:tab w:leader="none" w:pos="8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knowledge of the Company, threatened by the Commission.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486" w:right="539" w:bottom="1440" w:gutter="0" w:footer="0" w:header="0"/>
        </w:sectPr>
      </w:pPr>
    </w:p>
    <w:bookmarkStart w:id="7" w:name="page8"/>
    <w:bookmarkEnd w:id="7"/>
    <w:p>
      <w:pPr>
        <w:ind w:firstLine="428"/>
        <w:spacing w:after="0" w:line="285"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of such Underwriter through the Representatives expressly for use therein, it being understood and agreed upon that the only such information in the Prospectus furnished on behalf of each Underwriter is the concession figure appearing in the fourth paragraph under the caption “Underwriters,” and the information contained in the thirteenth paragraph under the caption “Underwriters” regarding stabilizing transactions (the “</w:t>
      </w:r>
      <w:r>
        <w:rPr>
          <w:rFonts w:ascii="Arial" w:cs="Arial" w:eastAsia="Arial" w:hAnsi="Arial"/>
          <w:sz w:val="16"/>
          <w:szCs w:val="16"/>
          <w:b w:val="1"/>
          <w:bCs w:val="1"/>
          <w:color w:val="auto"/>
        </w:rPr>
        <w:t>Underwriter Information</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jc w:val="both"/>
        <w:ind w:firstLine="428"/>
        <w:spacing w:after="0" w:line="263" w:lineRule="auto"/>
        <w:tabs>
          <w:tab w:leader="none" w:pos="67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an “ineligible issuer” pursuant to Rules 164, 405 and 433 under the Securities Act, and accordingly has not prepared, used or referred to, and will not, prepare, use or refer to any free writing prospectus, including any broadly available roadshow, as such term is defined in Rule 405 under the Securities Act, in connection with the offer and sale of the Securities.</w:t>
      </w:r>
    </w:p>
    <w:p>
      <w:pPr>
        <w:spacing w:after="0" w:line="75" w:lineRule="exact"/>
        <w:rPr>
          <w:rFonts w:ascii="Arial" w:cs="Arial" w:eastAsia="Arial" w:hAnsi="Arial"/>
          <w:sz w:val="18"/>
          <w:szCs w:val="18"/>
          <w:color w:val="auto"/>
        </w:rPr>
      </w:pPr>
    </w:p>
    <w:p>
      <w:pPr>
        <w:ind w:right="240" w:firstLine="428"/>
        <w:spacing w:after="0" w:line="263"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5" w:lineRule="exact"/>
        <w:rPr>
          <w:rFonts w:ascii="Arial" w:cs="Arial" w:eastAsia="Arial" w:hAnsi="Arial"/>
          <w:sz w:val="18"/>
          <w:szCs w:val="18"/>
          <w:color w:val="auto"/>
        </w:rPr>
      </w:pPr>
    </w:p>
    <w:p>
      <w:pPr>
        <w:ind w:right="80" w:firstLine="428"/>
        <w:spacing w:after="0" w:line="263" w:lineRule="auto"/>
        <w:tabs>
          <w:tab w:leader="none" w:pos="676"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Company’s Registration Statement on Form S-1 (File No. 333-240098) to the Commission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1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80"/>
          </w:cols>
          <w:pgMar w:left="660" w:top="490" w:right="559" w:bottom="1440" w:gutter="0" w:footer="0" w:header="0"/>
        </w:sectPr>
      </w:pPr>
    </w:p>
    <w:bookmarkStart w:id="8" w:name="page9"/>
    <w:bookmarkEnd w:id="8"/>
    <w:p>
      <w:pPr>
        <w:jc w:val="both"/>
        <w:ind w:right="100" w:firstLine="428"/>
        <w:spacing w:after="0" w:line="263" w:lineRule="auto"/>
        <w:tabs>
          <w:tab w:leader="none" w:pos="653"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interactive data in eXtensible Business Reporting Language included or incorporated by reference in the Registration Statement, Time of Sale Prospectus and the Prospectus fairly presents the information called for in all material respects and has been prepared in accordance with the Commission’s rules and guidelines applicable thereto.</w:t>
      </w:r>
    </w:p>
    <w:p>
      <w:pPr>
        <w:spacing w:after="0" w:line="75" w:lineRule="exact"/>
        <w:rPr>
          <w:rFonts w:ascii="Arial" w:cs="Arial" w:eastAsia="Arial" w:hAnsi="Arial"/>
          <w:sz w:val="18"/>
          <w:szCs w:val="18"/>
          <w:color w:val="auto"/>
        </w:rPr>
      </w:pPr>
    </w:p>
    <w:p>
      <w:pPr>
        <w:ind w:right="20" w:firstLine="428"/>
        <w:spacing w:after="0" w:line="293" w:lineRule="auto"/>
        <w:tabs>
          <w:tab w:leader="none" w:pos="68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is subject to and in compliance in all material respects with the reporting requirements of Section 13 or Section 15(d) of the Exchange Act. The Common Stock is registered pursuant to Section 12(b) of the Exchange Act and is listed on the Nasdaq Global Market (“</w:t>
      </w:r>
      <w:r>
        <w:rPr>
          <w:rFonts w:ascii="Arial" w:cs="Arial" w:eastAsia="Arial" w:hAnsi="Arial"/>
          <w:sz w:val="16"/>
          <w:szCs w:val="16"/>
          <w:b w:val="1"/>
          <w:bCs w:val="1"/>
          <w:color w:val="auto"/>
        </w:rPr>
        <w:t>Nasdaq</w:t>
      </w:r>
      <w:r>
        <w:rPr>
          <w:rFonts w:ascii="Arial" w:cs="Arial" w:eastAsia="Arial" w:hAnsi="Arial"/>
          <w:sz w:val="16"/>
          <w:szCs w:val="16"/>
          <w:color w:val="auto"/>
        </w:rPr>
        <w:t>”),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Shares and the Warrant Shares.</w:t>
      </w:r>
    </w:p>
    <w:p>
      <w:pPr>
        <w:spacing w:after="0" w:line="56" w:lineRule="exact"/>
        <w:rPr>
          <w:rFonts w:ascii="Arial" w:cs="Arial" w:eastAsia="Arial" w:hAnsi="Arial"/>
          <w:sz w:val="16"/>
          <w:szCs w:val="16"/>
          <w:color w:val="auto"/>
        </w:rPr>
      </w:pPr>
    </w:p>
    <w:p>
      <w:pPr>
        <w:ind w:left="680" w:hanging="252"/>
        <w:spacing w:after="0"/>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person (as such term is defined in Rule 1-02 of Regulation S-X promulgated under the Securities Act) has the right to act as an</w:t>
      </w:r>
    </w:p>
    <w:p>
      <w:pPr>
        <w:spacing w:after="0" w:line="34" w:lineRule="exact"/>
        <w:rPr>
          <w:rFonts w:ascii="Arial" w:cs="Arial" w:eastAsia="Arial" w:hAnsi="Arial"/>
          <w:sz w:val="17"/>
          <w:szCs w:val="17"/>
          <w:color w:val="auto"/>
        </w:rPr>
      </w:pPr>
    </w:p>
    <w:p>
      <w:pPr>
        <w:spacing w:after="0" w:line="273" w:lineRule="auto"/>
        <w:rPr>
          <w:rFonts w:ascii="Arial" w:cs="Arial" w:eastAsia="Arial" w:hAnsi="Arial"/>
          <w:sz w:val="17"/>
          <w:szCs w:val="17"/>
          <w:color w:val="auto"/>
        </w:rPr>
      </w:pPr>
      <w:r>
        <w:rPr>
          <w:rFonts w:ascii="Arial" w:cs="Arial" w:eastAsia="Arial" w:hAnsi="Arial"/>
          <w:sz w:val="17"/>
          <w:szCs w:val="17"/>
          <w:color w:val="auto"/>
        </w:rPr>
        <w:t>underwriter or as a financial advisor to the Company in connection with the offer and sale of the Securities hereunder, whether as a result of the filing or effectiveness of the Registration Statement or the sale of the Securities as contemplated hereby or otherwise. Except for the Underwriters,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68" w:lineRule="exact"/>
        <w:rPr>
          <w:rFonts w:ascii="Arial" w:cs="Arial" w:eastAsia="Arial" w:hAnsi="Arial"/>
          <w:sz w:val="17"/>
          <w:szCs w:val="17"/>
          <w:color w:val="auto"/>
        </w:rPr>
      </w:pPr>
    </w:p>
    <w:p>
      <w:pPr>
        <w:ind w:right="120" w:firstLine="428"/>
        <w:spacing w:after="0" w:line="271" w:lineRule="auto"/>
        <w:tabs>
          <w:tab w:leader="none" w:pos="64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jurisdiction of its incorporation, has the corporate power and authority to own, lease and operate its property and to conduct its business as described in each of the Registration Statement, the Time of Sale Prospectus and the Prospectus and to enter into and perform its obligations under this Agreement.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condition (financial or otherwise), earnings, results of operations, business, prospects, properties, operations, assets, liabilities or prospects of the Company and its Subsidiaries, taken as a whole, whether or not arising from transactions in the ordinary course of business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1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0"/>
          </w:cols>
          <w:pgMar w:left="660" w:top="490" w:right="479" w:bottom="1440" w:gutter="0" w:footer="0" w:header="0"/>
        </w:sectPr>
      </w:pPr>
    </w:p>
    <w:bookmarkStart w:id="9" w:name="page10"/>
    <w:bookmarkEnd w:id="9"/>
    <w:p>
      <w:pPr>
        <w:ind w:left="6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(j) Each of the Company’s “subsidiaries” (for purposes of this Agreement, as defined in Rule 405 under the Securities Act) (each, a</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has been duly incorporated, organized or formed and is validly existing in good standing</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 such concept exists) under the laws of the jurisdiction of its incorporation or organization and has full power and authority to acquire, own,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lease and operate its properties, and to conduct its business as described in the Registration Statement, the Time of Sale Prospectus and the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Prospectus. Each Subsidiary is duly qualified to transact business and is in good standing (where such concept exists) under the laws of each</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jurisdiction that requires such qualification, whether by reason of the ownership or leasing of property or the conduct of business, except to the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extent that the failure to be so qualified or in good standing could not reasonably be expected, individually or in the aggregate, to have a Material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Adverse Effect. All of the issued and outstanding share capital or other equity or ownership interests of each Subsidiary has been duly authorized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and validly issued, is fully paid and nonassessable, has been issued in compliance with federal state and securities laws and is owned by the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Company, directly or through other wholly-owned Subsidiaries, free and clear of any security interest, mortgage, pledge, lien, encumbrance or</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adverse claim. Except for Disc Medicine Opco, Inc., a Delaware corporation, Disc Medicine B.V., a Netherlands private limited company, and</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Disc Medicine Securities Corp., a Delaware corporation, the Company does not own or control, directly or indirectly, any corporation, association</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or other entity. Only Disc Medicine Opco, Inc. constitutes a “significant subsidiary” within the meaning of Rule 1-02 of Regulation S-X. No</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Subsidiary is prohibited or restricted, directly or indirectly, from paying dividends to the Company, from making any other distribution with</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respect to such Subsidiary’s equity securities, from repaying to the Company or any other Subsidiary any amounts that may from time to time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become due under any loans or advances to such Subsidiary from the Company or from transferring any property or assets to the Company or to</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other Subsidiary.</w:t>
      </w:r>
    </w:p>
    <w:p>
      <w:pPr>
        <w:spacing w:after="0" w:line="103" w:lineRule="exact"/>
        <w:rPr>
          <w:sz w:val="20"/>
          <w:szCs w:val="20"/>
          <w:color w:val="auto"/>
        </w:rPr>
      </w:pPr>
    </w:p>
    <w:p>
      <w:pPr>
        <w:ind w:left="220" w:right="40" w:firstLine="419"/>
        <w:spacing w:after="0" w:line="277" w:lineRule="auto"/>
        <w:tabs>
          <w:tab w:leader="none" w:pos="89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Registration Statement, the Time of Sale Prospectus and the Prospectus.</w:t>
      </w:r>
    </w:p>
    <w:p>
      <w:pPr>
        <w:spacing w:after="0" w:line="62" w:lineRule="exact"/>
        <w:rPr>
          <w:rFonts w:ascii="Arial" w:cs="Arial" w:eastAsia="Arial" w:hAnsi="Arial"/>
          <w:sz w:val="18"/>
          <w:szCs w:val="18"/>
          <w:color w:val="auto"/>
        </w:rPr>
      </w:pPr>
    </w:p>
    <w:p>
      <w:pPr>
        <w:ind w:right="20" w:firstLine="752"/>
        <w:spacing w:after="0" w:line="289" w:lineRule="auto"/>
        <w:tabs>
          <w:tab w:leader="none" w:pos="967"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Common Stock conforms in all material respects to the description thereof contained in the Registration Statement, the Time of Sale Prospectus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w:t>
      </w:r>
      <w:r>
        <w:rPr>
          <w:rFonts w:ascii="Arial" w:cs="Arial" w:eastAsia="Arial" w:hAnsi="Arial"/>
          <w:sz w:val="16"/>
          <w:szCs w:val="16"/>
          <w:b w:val="1"/>
          <w:bCs w:val="1"/>
          <w:color w:val="auto"/>
        </w:rPr>
        <w:t>Stock Plans</w:t>
      </w:r>
      <w:r>
        <w:rPr>
          <w:rFonts w:ascii="Arial" w:cs="Arial" w:eastAsia="Arial" w:hAnsi="Arial"/>
          <w:sz w:val="16"/>
          <w:szCs w:val="16"/>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660" w:top="490" w:right="459" w:bottom="1440" w:gutter="0" w:footer="0" w:header="0"/>
        </w:sectPr>
      </w:pPr>
    </w:p>
    <w:bookmarkStart w:id="10" w:name="page11"/>
    <w:bookmarkEnd w:id="10"/>
    <w:p>
      <w:pPr>
        <w:ind w:right="220" w:firstLine="428"/>
        <w:spacing w:after="0" w:line="286" w:lineRule="auto"/>
        <w:tabs>
          <w:tab w:leader="none" w:pos="733"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Shares have been duly authorized and, when issued, delivered and paid for in accordance with the terms of this Agreement, will be validly issued, fully paid and non-assessable, and the issuance of the Securities will not be subject to any preemptive or similar rights that have not been validly waived. This Agreement has been duly authorized, executed and delivered by the Company.</w:t>
      </w:r>
    </w:p>
    <w:p>
      <w:pPr>
        <w:spacing w:after="0" w:line="57" w:lineRule="exact"/>
        <w:rPr>
          <w:rFonts w:ascii="Arial" w:cs="Arial" w:eastAsia="Arial" w:hAnsi="Arial"/>
          <w:sz w:val="17"/>
          <w:szCs w:val="17"/>
          <w:color w:val="auto"/>
        </w:rPr>
      </w:pPr>
    </w:p>
    <w:p>
      <w:pPr>
        <w:ind w:firstLine="428"/>
        <w:spacing w:after="0" w:line="290" w:lineRule="auto"/>
        <w:tabs>
          <w:tab w:leader="none" w:pos="68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Pre-Funded Warrants have been duly authorized and, when executed and delivered by the Company in accordance with this Agreement, will be valid and legally binding agreements of the Company, enforceable against the Company in accordance with their terms except as the enforcement thereof may be limited by applicable bankruptcy, insolvency, reorganization, moratorium or other similar laws relating to or affecting the rights and remedies of creditors or by general equitable principles. The maximum number of Warrant Shares to be issued by the Company upon exercise of the Pre-Funded Warrants in accordance therewith have been duly authorized and have been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or similar rights not otherwise validly waived or satisfied.</w:t>
      </w:r>
    </w:p>
    <w:p>
      <w:pPr>
        <w:spacing w:after="0" w:line="57" w:lineRule="exact"/>
        <w:rPr>
          <w:rFonts w:ascii="Arial" w:cs="Arial" w:eastAsia="Arial" w:hAnsi="Arial"/>
          <w:sz w:val="16"/>
          <w:szCs w:val="16"/>
          <w:color w:val="auto"/>
        </w:rPr>
      </w:pPr>
    </w:p>
    <w:p>
      <w:pPr>
        <w:jc w:val="both"/>
        <w:ind w:firstLine="428"/>
        <w:spacing w:after="0" w:line="263"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75" w:lineRule="exact"/>
        <w:rPr>
          <w:rFonts w:ascii="Arial" w:cs="Arial" w:eastAsia="Arial" w:hAnsi="Arial"/>
          <w:sz w:val="18"/>
          <w:szCs w:val="18"/>
          <w:color w:val="auto"/>
        </w:rPr>
      </w:pPr>
    </w:p>
    <w:p>
      <w:pPr>
        <w:ind w:firstLine="428"/>
        <w:spacing w:after="0" w:line="290" w:lineRule="auto"/>
        <w:tabs>
          <w:tab w:leader="none" w:pos="68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will not contravene any provision of (i) applicable law, (ii) the certificate of incorporation or by 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 (i)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Securities.</w:t>
      </w:r>
    </w:p>
    <w:p>
      <w:pPr>
        <w:spacing w:after="0" w:line="57" w:lineRule="exact"/>
        <w:rPr>
          <w:rFonts w:ascii="Arial" w:cs="Arial" w:eastAsia="Arial" w:hAnsi="Arial"/>
          <w:sz w:val="16"/>
          <w:szCs w:val="16"/>
          <w:color w:val="auto"/>
        </w:rPr>
      </w:pPr>
    </w:p>
    <w:p>
      <w:pPr>
        <w:ind w:right="20" w:firstLine="428"/>
        <w:spacing w:after="0" w:line="263"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has not occurred any Material Adverse Effect, or any development involving a prospective Material Adverse Effect, in the condition, financial or otherwise, or in the earnings, business or operations of the Company and its subsidiaries, taken as a whole, from that set forth in the Time of Sale Prospectus.</w:t>
      </w:r>
    </w:p>
    <w:p>
      <w:pPr>
        <w:spacing w:after="0" w:line="1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80"/>
          </w:cols>
          <w:pgMar w:left="660" w:top="490" w:right="459" w:bottom="1440" w:gutter="0" w:footer="0" w:header="0"/>
        </w:sectPr>
      </w:pPr>
    </w:p>
    <w:bookmarkStart w:id="11" w:name="page12"/>
    <w:bookmarkEnd w:id="11"/>
    <w:p>
      <w:pPr>
        <w:ind w:right="80" w:firstLine="428"/>
        <w:spacing w:after="0" w:line="259" w:lineRule="auto"/>
        <w:tabs>
          <w:tab w:leader="none" w:pos="653"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 except as have been validly waived or complied with in connection with the issuance and sale of the Securities contemplated hereby.</w:t>
      </w:r>
    </w:p>
    <w:p>
      <w:pPr>
        <w:spacing w:after="0" w:line="78" w:lineRule="exact"/>
        <w:rPr>
          <w:rFonts w:ascii="Arial" w:cs="Arial" w:eastAsia="Arial" w:hAnsi="Arial"/>
          <w:sz w:val="18"/>
          <w:szCs w:val="18"/>
          <w:color w:val="auto"/>
        </w:rPr>
      </w:pPr>
    </w:p>
    <w:p>
      <w:pPr>
        <w:ind w:firstLine="428"/>
        <w:spacing w:after="0" w:line="284" w:lineRule="auto"/>
        <w:tabs>
          <w:tab w:leader="none" w:pos="66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consolidated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6"/>
          <w:szCs w:val="16"/>
          <w:b w:val="1"/>
          <w:bCs w:val="1"/>
          <w:color w:val="auto"/>
        </w:rPr>
        <w:t>U.S. GAAP</w:t>
      </w:r>
      <w:r>
        <w:rPr>
          <w:rFonts w:ascii="Arial" w:cs="Arial" w:eastAsia="Arial" w:hAnsi="Arial"/>
          <w:sz w:val="16"/>
          <w:szCs w:val="16"/>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 the Time of Sale Prospectus or the Prospectus that are not included or incorporated by reference therein as required. The Company and the Subsidiaries do not have any material liabilities or obligations, direct or contingent (including any off-balance sheet obligations), not disclosed in the Registration Statement, the Time of Sale Prospectus and the Prospectus. All disclosures contained in the Registration Statement, the Time of Sale Prospectus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10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80"/>
          </w:cols>
          <w:pgMar w:left="660" w:top="490" w:right="459" w:bottom="1440" w:gutter="0" w:footer="0" w:header="0"/>
        </w:sectPr>
      </w:pPr>
    </w:p>
    <w:bookmarkStart w:id="12" w:name="page13"/>
    <w:bookmarkEnd w:id="12"/>
    <w:p>
      <w:pPr>
        <w:ind w:firstLine="428"/>
        <w:spacing w:after="0" w:line="289" w:lineRule="auto"/>
        <w:tabs>
          <w:tab w:leader="none" w:pos="643"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58" w:lineRule="exact"/>
        <w:rPr>
          <w:rFonts w:ascii="Arial" w:cs="Arial" w:eastAsia="Arial" w:hAnsi="Arial"/>
          <w:sz w:val="16"/>
          <w:szCs w:val="16"/>
          <w:color w:val="auto"/>
        </w:rPr>
      </w:pPr>
    </w:p>
    <w:p>
      <w:pPr>
        <w:ind w:right="60" w:firstLine="428"/>
        <w:spacing w:after="0" w:line="293" w:lineRule="auto"/>
        <w:tabs>
          <w:tab w:leader="none" w:pos="687" w:val="left"/>
        </w:tabs>
        <w:numPr>
          <w:ilvl w:val="0"/>
          <w:numId w:val="9"/>
        </w:numPr>
        <w:rPr>
          <w:rFonts w:ascii="Arial" w:cs="Arial" w:eastAsia="Arial" w:hAnsi="Arial"/>
          <w:sz w:val="16"/>
          <w:szCs w:val="16"/>
          <w:color w:val="auto"/>
        </w:rPr>
      </w:pPr>
      <w:r>
        <w:rPr>
          <w:rFonts w:ascii="Arial" w:cs="Arial" w:eastAsia="Arial" w:hAnsi="Arial"/>
          <w:sz w:val="16"/>
          <w:szCs w:val="16"/>
          <w:color w:val="auto"/>
        </w:rPr>
        <w:t>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Ernst &amp; Young LLP has not been engaged by the Company to perform any “prohibited activities” or provided to the Company any “non-audit services” (as defined in Section 10A of the Exchange Act).</w:t>
      </w:r>
    </w:p>
    <w:p>
      <w:pPr>
        <w:spacing w:after="0" w:line="56" w:lineRule="exact"/>
        <w:rPr>
          <w:rFonts w:ascii="Arial" w:cs="Arial" w:eastAsia="Arial" w:hAnsi="Arial"/>
          <w:sz w:val="16"/>
          <w:szCs w:val="16"/>
          <w:color w:val="auto"/>
        </w:rPr>
      </w:pPr>
    </w:p>
    <w:p>
      <w:pPr>
        <w:ind w:right="200" w:firstLine="428"/>
        <w:spacing w:after="0" w:line="263" w:lineRule="auto"/>
        <w:tabs>
          <w:tab w:leader="none" w:pos="68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Securities.</w:t>
      </w:r>
    </w:p>
    <w:p>
      <w:pPr>
        <w:spacing w:after="0" w:line="75" w:lineRule="exact"/>
        <w:rPr>
          <w:rFonts w:ascii="Arial" w:cs="Arial" w:eastAsia="Arial" w:hAnsi="Arial"/>
          <w:sz w:val="18"/>
          <w:szCs w:val="18"/>
          <w:color w:val="auto"/>
        </w:rPr>
      </w:pPr>
    </w:p>
    <w:p>
      <w:pPr>
        <w:ind w:firstLine="428"/>
        <w:spacing w:after="0" w:line="259" w:lineRule="auto"/>
        <w:tabs>
          <w:tab w:leader="none" w:pos="727"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11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80"/>
          </w:cols>
          <w:pgMar w:left="660" w:top="490" w:right="459" w:bottom="1440" w:gutter="0" w:footer="0" w:header="0"/>
        </w:sectPr>
      </w:pPr>
    </w:p>
    <w:bookmarkStart w:id="13" w:name="page14"/>
    <w:bookmarkEnd w:id="13"/>
    <w:p>
      <w:pPr>
        <w:ind w:left="4" w:right="100" w:firstLine="428"/>
        <w:spacing w:after="0" w:line="255"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pacing w:after="0" w:line="84" w:lineRule="exact"/>
        <w:rPr>
          <w:rFonts w:ascii="Arial" w:cs="Arial" w:eastAsia="Arial" w:hAnsi="Arial"/>
          <w:sz w:val="18"/>
          <w:szCs w:val="18"/>
          <w:color w:val="auto"/>
        </w:rPr>
      </w:pPr>
    </w:p>
    <w:p>
      <w:pPr>
        <w:ind w:left="4" w:right="60" w:firstLine="428"/>
        <w:spacing w:after="0" w:line="293" w:lineRule="auto"/>
        <w:tabs>
          <w:tab w:leader="none" w:pos="6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w:t>
      </w:r>
    </w:p>
    <w:p>
      <w:pPr>
        <w:spacing w:after="0" w:line="56" w:lineRule="exact"/>
        <w:rPr>
          <w:rFonts w:ascii="Arial" w:cs="Arial" w:eastAsia="Arial" w:hAnsi="Arial"/>
          <w:sz w:val="16"/>
          <w:szCs w:val="16"/>
          <w:color w:val="auto"/>
        </w:rPr>
      </w:pPr>
    </w:p>
    <w:p>
      <w:pPr>
        <w:ind w:left="4" w:right="60" w:firstLine="428"/>
        <w:spacing w:after="0" w:line="255" w:lineRule="auto"/>
        <w:tabs>
          <w:tab w:leader="none" w:pos="6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its Subsidiaries possess and are operating in material compliance with all certificates, authorizations and permits issued by the appropriate federal, state or foreign regulatory authorities necessary to conduct their respective businesses as described in the Registration Statement, the Time of Sale Prospectus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w:t>
      </w:r>
    </w:p>
    <w:p>
      <w:pPr>
        <w:spacing w:after="0" w:line="84" w:lineRule="exact"/>
        <w:rPr>
          <w:sz w:val="20"/>
          <w:szCs w:val="20"/>
          <w:color w:val="auto"/>
        </w:rPr>
      </w:pPr>
    </w:p>
    <w:p>
      <w:pPr>
        <w:ind w:left="4" w:firstLine="428"/>
        <w:spacing w:after="0" w:line="285" w:lineRule="auto"/>
        <w:tabs>
          <w:tab w:leader="none" w:pos="7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existing assets at reasonable intervals and appropriate action is taken with respect to any differences. Since the end of the Company’s most recent audited fiscal year,</w:t>
      </w:r>
    </w:p>
    <w:p>
      <w:pPr>
        <w:spacing w:after="0" w:line="1" w:lineRule="exact"/>
        <w:rPr>
          <w:rFonts w:ascii="Arial" w:cs="Arial" w:eastAsia="Arial" w:hAnsi="Arial"/>
          <w:sz w:val="16"/>
          <w:szCs w:val="16"/>
          <w:color w:val="auto"/>
        </w:rPr>
      </w:pPr>
    </w:p>
    <w:p>
      <w:pPr>
        <w:ind w:left="4" w:right="20" w:hanging="4"/>
        <w:spacing w:after="0" w:line="253" w:lineRule="auto"/>
        <w:tabs>
          <w:tab w:leader="none" w:pos="21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 and (ii) the interactive data in the eXtensible Business Reporting Language included or incorporated by reference in the Registration Statement fairly presents the information called for in all respects and has been prepared in accordance with the Commission’s rules and guidelines applicable thereto.</w:t>
      </w:r>
    </w:p>
    <w:p>
      <w:pPr>
        <w:spacing w:after="0" w:line="123" w:lineRule="exact"/>
        <w:rPr>
          <w:sz w:val="20"/>
          <w:szCs w:val="20"/>
          <w:color w:val="auto"/>
        </w:rPr>
      </w:pPr>
    </w:p>
    <w:p>
      <w:pPr>
        <w:jc w:val="center"/>
        <w:ind w:right="13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4"/>
          </w:cols>
          <w:pgMar w:left="656" w:top="490" w:right="519" w:bottom="1440" w:gutter="0" w:footer="0" w:header="0"/>
        </w:sectPr>
      </w:pPr>
    </w:p>
    <w:bookmarkStart w:id="14" w:name="page15"/>
    <w:bookmarkEnd w:id="14"/>
    <w:p>
      <w:pPr>
        <w:jc w:val="both"/>
        <w:ind w:right="100" w:firstLine="428"/>
        <w:spacing w:after="0" w:line="275" w:lineRule="auto"/>
        <w:tabs>
          <w:tab w:leader="none" w:pos="777"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Neither the Company, nor any of its Subsidiaries, nor to the knowledge of the Company, any of its or their respective directors, officers or controlling persons has taken, directly or indirectly, without giving effect to any actions taken by the Underwriters, (i) any action designed to or that might constitute or reasonably be expected to cause or result in, under the Exchange Act or otherwise, stabilization or manipulation of the price of any security of the Company to facilitate the sale or resale of the Securities or (ii) any action designed to or that might constitute or reasonably be expected to cause or result in a violation of Regulation M under the Exchange Act.</w:t>
      </w:r>
    </w:p>
    <w:p>
      <w:pPr>
        <w:spacing w:after="0" w:line="68" w:lineRule="exact"/>
        <w:rPr>
          <w:rFonts w:ascii="Arial" w:cs="Arial" w:eastAsia="Arial" w:hAnsi="Arial"/>
          <w:sz w:val="17"/>
          <w:szCs w:val="17"/>
          <w:color w:val="auto"/>
        </w:rPr>
      </w:pPr>
    </w:p>
    <w:p>
      <w:pPr>
        <w:ind w:right="80" w:firstLine="428"/>
        <w:spacing w:after="0" w:line="254" w:lineRule="auto"/>
        <w:tabs>
          <w:tab w:leader="none" w:pos="7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8"/>
          <w:szCs w:val="18"/>
          <w:b w:val="1"/>
          <w:bCs w:val="1"/>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86" w:lineRule="exact"/>
        <w:rPr>
          <w:rFonts w:ascii="Arial" w:cs="Arial" w:eastAsia="Arial" w:hAnsi="Arial"/>
          <w:sz w:val="18"/>
          <w:szCs w:val="18"/>
          <w:color w:val="auto"/>
        </w:rPr>
      </w:pPr>
    </w:p>
    <w:p>
      <w:pPr>
        <w:ind w:right="180" w:firstLine="428"/>
        <w:spacing w:after="0" w:line="259" w:lineRule="auto"/>
        <w:tabs>
          <w:tab w:leader="none" w:pos="7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8" w:lineRule="exact"/>
        <w:rPr>
          <w:rFonts w:ascii="Arial" w:cs="Arial" w:eastAsia="Arial" w:hAnsi="Arial"/>
          <w:sz w:val="18"/>
          <w:szCs w:val="18"/>
          <w:color w:val="auto"/>
        </w:rPr>
      </w:pPr>
    </w:p>
    <w:p>
      <w:pPr>
        <w:ind w:firstLine="428"/>
        <w:spacing w:after="0" w:line="269" w:lineRule="auto"/>
        <w:tabs>
          <w:tab w:leader="none" w:pos="756"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and the regulations and published interpretations thereunder with respect to a Plan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its Subsidiaries that would reasonably be expected to have a 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w:t>
      </w:r>
    </w:p>
    <w:p>
      <w:pPr>
        <w:spacing w:after="0" w:line="11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00"/>
          </w:cols>
          <w:pgMar w:left="660" w:top="490" w:right="4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Arial" w:cs="Arial" w:eastAsia="Arial" w:hAnsi="Arial"/>
          <w:sz w:val="18"/>
          <w:szCs w:val="18"/>
          <w:b w:val="1"/>
          <w:bCs w:val="1"/>
          <w:color w:val="auto"/>
        </w:rPr>
        <w:t>Plan</w:t>
      </w:r>
      <w:r>
        <w:rPr>
          <w:rFonts w:ascii="Arial" w:cs="Arial" w:eastAsia="Arial" w:hAnsi="Arial"/>
          <w:sz w:val="18"/>
          <w:szCs w:val="18"/>
          <w:color w:val="auto"/>
        </w:rPr>
        <w:t>” means a plan (within the meaning of Section 3(3) of ERISA) subject to Title IV of ERISA with respect to which the Company or any of its Subsidiaries may have any liability.</w:t>
      </w:r>
    </w:p>
    <w:p>
      <w:pPr>
        <w:spacing w:after="0" w:line="192" w:lineRule="exact"/>
        <w:rPr>
          <w:sz w:val="20"/>
          <w:szCs w:val="20"/>
          <w:color w:val="auto"/>
        </w:rPr>
      </w:pPr>
    </w:p>
    <w:p>
      <w:pPr>
        <w:ind w:right="120" w:firstLine="428"/>
        <w:spacing w:after="0" w:line="275" w:lineRule="auto"/>
        <w:tabs>
          <w:tab w:leader="none" w:pos="71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has taken all necessary actions to ensure that it is in compliance with all applicable provisions of the Sarbanes-Oxley Act of 2002 and the rules and regulations promulgated in connection therewith (the “</w:t>
      </w:r>
      <w:r>
        <w:rPr>
          <w:rFonts w:ascii="Arial" w:cs="Arial" w:eastAsia="Arial" w:hAnsi="Arial"/>
          <w:sz w:val="17"/>
          <w:szCs w:val="17"/>
          <w:b w:val="1"/>
          <w:bCs w:val="1"/>
          <w:color w:val="auto"/>
        </w:rPr>
        <w:t>Sarbanes-Oxley Act</w:t>
      </w:r>
      <w:r>
        <w:rPr>
          <w:rFonts w:ascii="Arial" w:cs="Arial" w:eastAsia="Arial" w:hAnsi="Arial"/>
          <w:sz w:val="17"/>
          <w:szCs w:val="17"/>
          <w:color w:val="auto"/>
        </w:rPr>
        <w:t>”)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w:t>
      </w:r>
    </w:p>
    <w:p>
      <w:pPr>
        <w:spacing w:after="0" w:line="176" w:lineRule="exact"/>
        <w:rPr>
          <w:rFonts w:ascii="Arial" w:cs="Arial" w:eastAsia="Arial" w:hAnsi="Arial"/>
          <w:sz w:val="17"/>
          <w:szCs w:val="17"/>
          <w:color w:val="auto"/>
        </w:rPr>
      </w:pPr>
    </w:p>
    <w:p>
      <w:pPr>
        <w:ind w:right="20" w:firstLine="428"/>
        <w:spacing w:after="0" w:line="287" w:lineRule="auto"/>
        <w:tabs>
          <w:tab w:leader="none" w:pos="7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6"/>
          <w:szCs w:val="16"/>
          <w:b w:val="1"/>
          <w:bCs w:val="1"/>
          <w:color w:val="auto"/>
        </w:rPr>
        <w:t>Government Official</w:t>
      </w:r>
      <w:r>
        <w:rPr>
          <w:rFonts w:ascii="Arial" w:cs="Arial" w:eastAsia="Arial" w:hAnsi="Arial"/>
          <w:sz w:val="16"/>
          <w:szCs w:val="16"/>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0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80"/>
          </w:cols>
          <w:pgMar w:left="660" w:top="490" w:right="459" w:bottom="1440" w:gutter="0" w:footer="0" w:header="0"/>
        </w:sectPr>
      </w:pPr>
    </w:p>
    <w:bookmarkStart w:id="16" w:name="page17"/>
    <w:bookmarkEnd w:id="16"/>
    <w:p>
      <w:pPr>
        <w:ind w:left="180" w:right="20" w:firstLine="428"/>
        <w:spacing w:after="0" w:line="254" w:lineRule="auto"/>
        <w:tabs>
          <w:tab w:leader="none" w:pos="953"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83" w:lineRule="exact"/>
        <w:rPr>
          <w:rFonts w:ascii="Arial" w:cs="Arial" w:eastAsia="Arial" w:hAnsi="Arial"/>
          <w:sz w:val="18"/>
          <w:szCs w:val="18"/>
          <w:color w:val="auto"/>
        </w:rPr>
      </w:pPr>
    </w:p>
    <w:p>
      <w:pPr>
        <w:jc w:val="both"/>
        <w:ind w:left="180" w:right="100" w:firstLine="428"/>
        <w:spacing w:after="0" w:line="263" w:lineRule="auto"/>
        <w:tabs>
          <w:tab w:leader="none" w:pos="8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75" w:lineRule="exact"/>
        <w:rPr>
          <w:rFonts w:ascii="Arial" w:cs="Arial" w:eastAsia="Arial" w:hAnsi="Arial"/>
          <w:sz w:val="18"/>
          <w:szCs w:val="18"/>
          <w:color w:val="auto"/>
        </w:rPr>
      </w:pPr>
    </w:p>
    <w:p>
      <w:pPr>
        <w:ind w:left="940" w:firstLine="408"/>
        <w:spacing w:after="0" w:line="263" w:lineRule="auto"/>
        <w:tabs>
          <w:tab w:leader="none" w:pos="1636"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40" w:right="100" w:firstLine="408"/>
        <w:spacing w:after="0" w:line="308" w:lineRule="auto"/>
        <w:tabs>
          <w:tab w:leader="none" w:pos="1626" w:val="left"/>
        </w:tabs>
        <w:numPr>
          <w:ilvl w:val="2"/>
          <w:numId w:val="15"/>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Crimea, the so-called Donetsk People’s Republic or the so-called Luhansk People’s Republic, Cuba, Iran, North Korea and Syria).</w:t>
      </w:r>
    </w:p>
    <w:p>
      <w:pPr>
        <w:spacing w:after="0" w:line="146" w:lineRule="exact"/>
        <w:rPr>
          <w:rFonts w:ascii="Arial" w:cs="Arial" w:eastAsia="Arial" w:hAnsi="Arial"/>
          <w:sz w:val="17"/>
          <w:szCs w:val="17"/>
          <w:color w:val="auto"/>
        </w:rPr>
      </w:pPr>
    </w:p>
    <w:p>
      <w:pPr>
        <w:ind w:left="-40" w:right="540" w:firstLine="767"/>
        <w:spacing w:after="0" w:line="277" w:lineRule="auto"/>
        <w:tabs>
          <w:tab w:leader="none" w:pos="99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62" w:lineRule="exact"/>
        <w:rPr>
          <w:rFonts w:ascii="Arial" w:cs="Arial" w:eastAsia="Arial" w:hAnsi="Arial"/>
          <w:sz w:val="18"/>
          <w:szCs w:val="18"/>
          <w:color w:val="auto"/>
        </w:rPr>
      </w:pPr>
    </w:p>
    <w:p>
      <w:pPr>
        <w:ind w:left="940" w:firstLine="408"/>
        <w:spacing w:after="0" w:line="308" w:lineRule="auto"/>
        <w:tabs>
          <w:tab w:leader="none" w:pos="1636" w:val="left"/>
        </w:tabs>
        <w:numPr>
          <w:ilvl w:val="2"/>
          <w:numId w:val="15"/>
        </w:numPr>
        <w:rPr>
          <w:rFonts w:ascii="Arial" w:cs="Arial" w:eastAsia="Arial" w:hAnsi="Arial"/>
          <w:sz w:val="17"/>
          <w:szCs w:val="17"/>
          <w:color w:val="auto"/>
        </w:rPr>
      </w:pPr>
      <w:r>
        <w:rPr>
          <w:rFonts w:ascii="Arial" w:cs="Arial" w:eastAsia="Arial" w:hAnsi="Arial"/>
          <w:sz w:val="17"/>
          <w:szCs w:val="17"/>
          <w:color w:val="auto"/>
        </w:rPr>
        <w:t>to fund or facilitate any activities or business of or with any Person or in any country or territory that, at the time of such funding or facilitation, is the subject of Sanctions, except to the extent permitted for a Person required to comply with Sanctions; or</w:t>
      </w:r>
    </w:p>
    <w:p>
      <w:pPr>
        <w:spacing w:after="0" w:line="38" w:lineRule="exact"/>
        <w:rPr>
          <w:rFonts w:ascii="Arial" w:cs="Arial" w:eastAsia="Arial" w:hAnsi="Arial"/>
          <w:sz w:val="17"/>
          <w:szCs w:val="17"/>
          <w:color w:val="auto"/>
        </w:rPr>
      </w:pPr>
    </w:p>
    <w:p>
      <w:pPr>
        <w:ind w:left="940" w:right="60" w:firstLine="408"/>
        <w:spacing w:after="0" w:line="277" w:lineRule="auto"/>
        <w:tabs>
          <w:tab w:leader="none" w:pos="1626" w:val="left"/>
        </w:tabs>
        <w:numPr>
          <w:ilvl w:val="2"/>
          <w:numId w:val="15"/>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40" w:right="260" w:firstLine="767"/>
        <w:spacing w:after="0" w:line="263" w:lineRule="auto"/>
        <w:tabs>
          <w:tab w:leader="none" w:pos="104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490" w:right="499" w:bottom="1440" w:gutter="0" w:footer="0" w:header="0"/>
        </w:sectPr>
      </w:pPr>
    </w:p>
    <w:bookmarkStart w:id="17" w:name="page18"/>
    <w:bookmarkEnd w:id="17"/>
    <w:p>
      <w:pPr>
        <w:ind w:firstLine="428"/>
        <w:spacing w:after="0" w:line="267" w:lineRule="auto"/>
        <w:tabs>
          <w:tab w:leader="none" w:pos="697"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 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189" w:lineRule="exact"/>
        <w:rPr>
          <w:rFonts w:ascii="Arial" w:cs="Arial" w:eastAsia="Arial" w:hAnsi="Arial"/>
          <w:sz w:val="17"/>
          <w:szCs w:val="17"/>
          <w:color w:val="auto"/>
        </w:rPr>
      </w:pPr>
    </w:p>
    <w:p>
      <w:pPr>
        <w:ind w:firstLine="428"/>
        <w:spacing w:after="0" w:line="254" w:lineRule="auto"/>
        <w:tabs>
          <w:tab w:leader="none" w:pos="7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Arial" w:cs="Arial" w:eastAsia="Arial" w:hAnsi="Arial"/>
          <w:sz w:val="18"/>
          <w:szCs w:val="18"/>
          <w:b w:val="1"/>
          <w:bCs w:val="1"/>
          <w:color w:val="auto"/>
        </w:rPr>
        <w:t>Open Source Software</w:t>
      </w:r>
      <w:r>
        <w:rPr>
          <w:rFonts w:ascii="Arial" w:cs="Arial" w:eastAsia="Arial" w:hAnsi="Arial"/>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191" w:lineRule="exact"/>
        <w:rPr>
          <w:rFonts w:ascii="Arial" w:cs="Arial" w:eastAsia="Arial" w:hAnsi="Arial"/>
          <w:sz w:val="18"/>
          <w:szCs w:val="18"/>
          <w:color w:val="auto"/>
        </w:rPr>
      </w:pPr>
    </w:p>
    <w:p>
      <w:pPr>
        <w:jc w:val="both"/>
        <w:ind w:right="20" w:firstLine="428"/>
        <w:spacing w:after="0" w:line="286" w:lineRule="auto"/>
        <w:tabs>
          <w:tab w:leader="none" w:pos="697"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Arial" w:cs="Arial" w:eastAsia="Arial" w:hAnsi="Arial"/>
          <w:sz w:val="17"/>
          <w:szCs w:val="17"/>
          <w:b w:val="1"/>
          <w:bCs w:val="1"/>
          <w:color w:val="auto"/>
        </w:rPr>
        <w:t>Data</w:t>
      </w:r>
    </w:p>
    <w:p>
      <w:pPr>
        <w:spacing w:after="0" w:line="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660" w:top="490" w:right="479" w:bottom="1440" w:gutter="0" w:footer="0" w:header="0"/>
        </w:sectPr>
      </w:pPr>
    </w:p>
    <w:bookmarkStart w:id="18" w:name="page19"/>
    <w:bookmarkEnd w:id="18"/>
    <w:p>
      <w:pPr>
        <w:ind w:right="32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Security Obligations</w:t>
      </w:r>
      <w:r>
        <w:rPr>
          <w:rFonts w:ascii="Arial" w:cs="Arial" w:eastAsia="Arial" w:hAnsi="Arial"/>
          <w:sz w:val="17"/>
          <w:szCs w:val="17"/>
          <w:color w:val="auto"/>
        </w:rPr>
        <w:t>”, and such data, “</w:t>
      </w:r>
      <w:r>
        <w:rPr>
          <w:rFonts w:ascii="Arial" w:cs="Arial" w:eastAsia="Arial" w:hAnsi="Arial"/>
          <w:sz w:val="17"/>
          <w:szCs w:val="17"/>
          <w:b w:val="1"/>
          <w:bCs w:val="1"/>
          <w:color w:val="auto"/>
        </w:rPr>
        <w:t>Data</w:t>
      </w:r>
      <w:r>
        <w:rPr>
          <w:rFonts w:ascii="Arial" w:cs="Arial" w:eastAsia="Arial" w:hAnsi="Arial"/>
          <w:sz w:val="17"/>
          <w:szCs w:val="17"/>
          <w:color w:val="auto"/>
        </w:rPr>
        <w:t>”); (ii) the Company has not received any notification of or complaint regarding any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non-compliance 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162" w:lineRule="exact"/>
        <w:rPr>
          <w:sz w:val="20"/>
          <w:szCs w:val="20"/>
          <w:color w:val="auto"/>
        </w:rPr>
      </w:pPr>
    </w:p>
    <w:p>
      <w:pPr>
        <w:ind w:firstLine="428"/>
        <w:spacing w:after="0" w:line="270" w:lineRule="auto"/>
        <w:tabs>
          <w:tab w:leader="none" w:pos="8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Arial" w:cs="Arial" w:eastAsia="Arial" w:hAnsi="Arial"/>
          <w:sz w:val="17"/>
          <w:szCs w:val="17"/>
          <w:b w:val="1"/>
          <w:bCs w:val="1"/>
          <w:color w:val="auto"/>
        </w:rPr>
        <w:t>Breach</w:t>
      </w:r>
      <w:r>
        <w:rPr>
          <w:rFonts w:ascii="Arial" w:cs="Arial" w:eastAsia="Arial" w:hAnsi="Arial"/>
          <w:sz w:val="17"/>
          <w:szCs w:val="17"/>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180" w:lineRule="exact"/>
        <w:rPr>
          <w:rFonts w:ascii="Arial" w:cs="Arial" w:eastAsia="Arial" w:hAnsi="Arial"/>
          <w:sz w:val="17"/>
          <w:szCs w:val="17"/>
          <w:color w:val="auto"/>
        </w:rPr>
      </w:pPr>
    </w:p>
    <w:p>
      <w:pPr>
        <w:ind w:right="40" w:firstLine="428"/>
        <w:spacing w:after="0" w:line="268" w:lineRule="auto"/>
        <w:tabs>
          <w:tab w:leader="none" w:pos="7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preclinical studies and tests and clinical trials conducted by or on behalf of the Company that are described in the Registration Statement, the Time of Sale Prospectus and the Prospectus (the “</w:t>
      </w:r>
      <w:r>
        <w:rPr>
          <w:rFonts w:ascii="Arial" w:cs="Arial" w:eastAsia="Arial" w:hAnsi="Arial"/>
          <w:sz w:val="17"/>
          <w:szCs w:val="17"/>
          <w:b w:val="1"/>
          <w:bCs w:val="1"/>
          <w:color w:val="auto"/>
        </w:rPr>
        <w:t>Company Studies and Trials</w:t>
      </w:r>
      <w:r>
        <w:rPr>
          <w:rFonts w:ascii="Arial" w:cs="Arial" w:eastAsia="Arial" w:hAnsi="Arial"/>
          <w:sz w:val="17"/>
          <w:szCs w:val="17"/>
          <w:color w:val="auto"/>
        </w:rPr>
        <w:t>”)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 the Time of Sale Prospectus and the Prospectus are accurate in all material respects; the Company has no knowledge of any other studies or trials not described in the Registration Statement, the Time of Sale Prospectus and the Prospectus, the results of which are inconsistent with or reasonably call into question the results described or referred to in such documents when viewed in the context in which such results are described and the stage of development; and the Company has not received any written notices, correspondence or other written communication from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or any foreign, state or local governmental body exercising comparable authority requiring the termination, suspension or material modification of any Company Studies and Trials, where such termination, suspension or material modification would reasonably be expected to have a Material Adverse Effect and, to the Company’s knowledge, there are no reasonable grounds for the same. To the Company’s knowledge, none of the Company Studies and Trials involved any investigator 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11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80"/>
          </w:cols>
          <w:pgMar w:left="660" w:top="486" w:right="459" w:bottom="1440" w:gutter="0" w:footer="0" w:header="0"/>
        </w:sectPr>
      </w:pPr>
    </w:p>
    <w:bookmarkStart w:id="19" w:name="page20"/>
    <w:bookmarkEnd w:id="19"/>
    <w:p>
      <w:pPr>
        <w:ind w:firstLine="419"/>
        <w:spacing w:after="0" w:line="284" w:lineRule="auto"/>
        <w:tabs>
          <w:tab w:leader="none" w:pos="768"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Except as described in the Registration Statement, the Time of Sale Prospectus and the Prospectus, as applicable, the Company (i) is and at all times has been in material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 Act (21 U.S.C. § 301 et seq.), and the federal Anti-kickback Statute (42 U.S.C. § 1320a-7b(b)), the regulations promulgated pursuant to such laws, and any successor government programs, and comparable state laws (collectively, the “</w:t>
      </w:r>
      <w:r>
        <w:rPr>
          <w:rFonts w:ascii="Arial" w:cs="Arial" w:eastAsia="Arial" w:hAnsi="Arial"/>
          <w:sz w:val="16"/>
          <w:szCs w:val="16"/>
          <w:b w:val="1"/>
          <w:bCs w:val="1"/>
          <w:color w:val="auto"/>
        </w:rPr>
        <w:t>Applicable Laws</w:t>
      </w:r>
      <w:r>
        <w:rPr>
          <w:rFonts w:ascii="Arial" w:cs="Arial" w:eastAsia="Arial" w:hAnsi="Arial"/>
          <w:sz w:val="16"/>
          <w:szCs w:val="16"/>
          <w:color w:val="auto"/>
        </w:rPr>
        <w:t>”), except for such non-compliance as would not, individually or in the aggregate, have a Material Adverse Effect; (ii) has not received any written notice from any court or arbitrator or governmental or regulatory authority alleging or asserting non-compliance with any Applicable Laws or any licenses, exemptions, certificates, approvals, clearances, authorizations, permits and registrations required by any such Applicable Laws (“</w:t>
      </w:r>
      <w:r>
        <w:rPr>
          <w:rFonts w:ascii="Arial" w:cs="Arial" w:eastAsia="Arial" w:hAnsi="Arial"/>
          <w:sz w:val="16"/>
          <w:szCs w:val="16"/>
          <w:b w:val="1"/>
          <w:bCs w:val="1"/>
          <w:color w:val="auto"/>
        </w:rPr>
        <w:t>Authorizations</w:t>
      </w:r>
      <w:r>
        <w:rPr>
          <w:rFonts w:ascii="Arial" w:cs="Arial" w:eastAsia="Arial" w:hAnsi="Arial"/>
          <w:sz w:val="16"/>
          <w:szCs w:val="16"/>
          <w:color w:val="auto"/>
        </w:rPr>
        <w:t>”), except for such non-compliance as would not, individually or in the aggregate, have a Material Adverse Effect; (iii) possesses all material Authorizations and such Authorizations are valid and in full force and effect and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except such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such as would not, individually or in the aggregate, have a Material Adverse Effect; (vi) has filed, obtained, maintained or submitted all material reports, documents, forms, notices, applications, records and claims as required by any 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490" w:right="459" w:bottom="1440" w:gutter="0" w:footer="0" w:header="0"/>
        </w:sectPr>
      </w:pPr>
    </w:p>
    <w:bookmarkStart w:id="20" w:name="page21"/>
    <w:bookmarkEnd w:id="20"/>
    <w:p>
      <w:pPr>
        <w:ind w:right="80" w:firstLine="428"/>
        <w:spacing w:after="0" w:line="290" w:lineRule="auto"/>
        <w:tabs>
          <w:tab w:leader="none" w:pos="773"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any member firm of FINRA. To the Company’s knowledge, no relationship, direct or indirect, exists between or among the Company, on the one hand, and the directors, officers or shareholders of the Company, on the other hand, which is required by the rules of FINRA to be described in the Registration Statement, the Time of Sale Prospectus and the Prospectus, which is not so described. All of the information (including, but not limited to, information regarding affiliations, security ownership and trading activity) provided to the Agent or its counsel by the Company in connection with the filing to be made and other supplemental information to be provided to FINRA pursuant to FINRA Rule 5110 in connection with the transactions contemplated by this Agreement is true, complete and correct.</w:t>
      </w:r>
    </w:p>
    <w:p>
      <w:pPr>
        <w:spacing w:after="0" w:line="165" w:lineRule="exact"/>
        <w:rPr>
          <w:rFonts w:ascii="Arial" w:cs="Arial" w:eastAsia="Arial" w:hAnsi="Arial"/>
          <w:sz w:val="16"/>
          <w:szCs w:val="16"/>
          <w:color w:val="auto"/>
        </w:rPr>
      </w:pPr>
    </w:p>
    <w:p>
      <w:pPr>
        <w:ind w:right="180" w:firstLine="428"/>
        <w:spacing w:after="0" w:line="263" w:lineRule="auto"/>
        <w:tabs>
          <w:tab w:leader="none" w:pos="7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Neither the issuance, sale and delivery of the Securities nor the application of the proceeds thereof by the Company as described in the Registration Statement, the Time of Sale Prospectus and the Prospectus will violate Regulation T, U or X of the Board of Governors of the Federal Reserve System or any other regulation of such Board of Governors.</w:t>
      </w:r>
    </w:p>
    <w:p>
      <w:pPr>
        <w:spacing w:after="0" w:line="183" w:lineRule="exact"/>
        <w:rPr>
          <w:rFonts w:ascii="Arial" w:cs="Arial" w:eastAsia="Arial" w:hAnsi="Arial"/>
          <w:sz w:val="18"/>
          <w:szCs w:val="18"/>
          <w:color w:val="auto"/>
        </w:rPr>
      </w:pPr>
    </w:p>
    <w:p>
      <w:pPr>
        <w:ind w:right="140" w:firstLine="428"/>
        <w:spacing w:after="0" w:line="259" w:lineRule="auto"/>
        <w:tabs>
          <w:tab w:leader="none" w:pos="7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the independent directors (or independent director nominees, once appointed, if applicable) named in the Registration Statement, the Time of Sale Prospectus and Prospectus satisfies the independence standards established by Nasdaq and, with respect to members of the Company’s audit committee, the enhanced independence standards contained in Rule 10A-3(b)(1) promulgated by the Commission under the Exchange Act.</w:t>
      </w:r>
    </w:p>
    <w:p>
      <w:pPr>
        <w:spacing w:after="0" w:line="186" w:lineRule="exact"/>
        <w:rPr>
          <w:rFonts w:ascii="Arial" w:cs="Arial" w:eastAsia="Arial" w:hAnsi="Arial"/>
          <w:sz w:val="18"/>
          <w:szCs w:val="18"/>
          <w:color w:val="auto"/>
        </w:rPr>
      </w:pPr>
    </w:p>
    <w:p>
      <w:pPr>
        <w:ind w:left="740" w:hanging="312"/>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financial or operational projection or other “forward-looking statement” (as defined by Section 27A of the Securities Act or</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91" w:lineRule="exact"/>
        <w:rPr>
          <w:sz w:val="20"/>
          <w:szCs w:val="20"/>
          <w:color w:val="auto"/>
        </w:rPr>
      </w:pPr>
    </w:p>
    <w:p>
      <w:pPr>
        <w:ind w:firstLine="428"/>
        <w:spacing w:after="0" w:line="255" w:lineRule="auto"/>
        <w:tabs>
          <w:tab w:leader="none" w:pos="6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the Time of Sale Prospectus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2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20"/>
          </w:cols>
          <w:pgMar w:left="660" w:top="490" w:right="519" w:bottom="1440" w:gutter="0" w:footer="0" w:header="0"/>
        </w:sectPr>
      </w:pPr>
    </w:p>
    <w:bookmarkStart w:id="21" w:name="page22"/>
    <w:bookmarkEnd w:id="21"/>
    <w:p>
      <w:pPr>
        <w:ind w:left="760" w:hanging="332"/>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Company is not in or subject to a bankruptcy or insolvency proceeding in any jurisdiction.</w:t>
      </w:r>
    </w:p>
    <w:p>
      <w:pPr>
        <w:spacing w:after="0" w:line="225" w:lineRule="exact"/>
        <w:rPr>
          <w:rFonts w:ascii="Arial" w:cs="Arial" w:eastAsia="Arial" w:hAnsi="Arial"/>
          <w:sz w:val="18"/>
          <w:szCs w:val="18"/>
          <w:color w:val="auto"/>
        </w:rPr>
      </w:pPr>
    </w:p>
    <w:p>
      <w:pPr>
        <w:ind w:right="20" w:firstLine="428"/>
        <w:spacing w:after="0" w:line="287" w:lineRule="auto"/>
        <w:tabs>
          <w:tab w:leader="none" w:pos="767"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U.S.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p>
      <w:pPr>
        <w:spacing w:after="0" w:line="167" w:lineRule="exact"/>
        <w:rPr>
          <w:rFonts w:ascii="Arial" w:cs="Arial" w:eastAsia="Arial" w:hAnsi="Arial"/>
          <w:sz w:val="16"/>
          <w:szCs w:val="16"/>
          <w:color w:val="auto"/>
        </w:rPr>
      </w:pPr>
    </w:p>
    <w:p>
      <w:pPr>
        <w:ind w:firstLine="428"/>
        <w:spacing w:after="0" w:line="293" w:lineRule="auto"/>
        <w:tabs>
          <w:tab w:leader="none" w:pos="847"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the close of trading on Nasdaq on January 24, 2023,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Arial" w:cs="Arial" w:eastAsia="Arial" w:hAnsi="Arial"/>
          <w:sz w:val="16"/>
          <w:szCs w:val="16"/>
          <w:b w:val="1"/>
          <w:bCs w:val="1"/>
          <w:color w:val="auto"/>
        </w:rPr>
        <w:t>Non-Affiliate Shares</w:t>
      </w:r>
      <w:r>
        <w:rPr>
          <w:rFonts w:ascii="Arial" w:cs="Arial" w:eastAsia="Arial" w:hAnsi="Arial"/>
          <w:sz w:val="16"/>
          <w:szCs w:val="16"/>
          <w:color w:val="auto"/>
        </w:rPr>
        <w:t>”), was approximately $150.6 million (calculated by multiplying (x) the price at which the common equity of the Company was last sold on Nasdaq on January 24, 2023 by (y) the number of Non-Affiliate Shares outstanding on January 24, 2023). The Company is not a shell company (as defined in Rule 405) and has not been a shell company for at least 12 calendar months previously.</w:t>
      </w:r>
    </w:p>
    <w:p>
      <w:pPr>
        <w:spacing w:after="0" w:line="164" w:lineRule="exact"/>
        <w:rPr>
          <w:rFonts w:ascii="Arial" w:cs="Arial" w:eastAsia="Arial" w:hAnsi="Arial"/>
          <w:sz w:val="16"/>
          <w:szCs w:val="16"/>
          <w:color w:val="auto"/>
        </w:rPr>
      </w:pPr>
    </w:p>
    <w:p>
      <w:pPr>
        <w:ind w:right="200" w:firstLine="428"/>
        <w:spacing w:after="0" w:line="296" w:lineRule="auto"/>
        <w:tabs>
          <w:tab w:leader="none" w:pos="77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(i) has not alone engaged in any Testing-the-Waters Communication with any person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w:t>
      </w:r>
      <w:r>
        <w:rPr>
          <w:rFonts w:ascii="Arial" w:cs="Arial" w:eastAsia="Arial" w:hAnsi="Arial"/>
          <w:sz w:val="16"/>
          <w:szCs w:val="16"/>
          <w:b w:val="1"/>
          <w:bCs w:val="1"/>
          <w:color w:val="auto"/>
        </w:rPr>
        <w:t>Testing-the-Waters Communication</w:t>
      </w:r>
      <w:r>
        <w:rPr>
          <w:rFonts w:ascii="Arial" w:cs="Arial" w:eastAsia="Arial" w:hAnsi="Arial"/>
          <w:sz w:val="16"/>
          <w:szCs w:val="16"/>
          <w:color w:val="auto"/>
        </w:rPr>
        <w:t>” means any communication with potential investors undertaken in reliance on Section 5(d) or Rule 163B of the Securities Act.</w:t>
      </w:r>
    </w:p>
    <w:p>
      <w:pPr>
        <w:spacing w:after="0" w:line="9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80"/>
          </w:cols>
          <w:pgMar w:left="660" w:top="490" w:right="459" w:bottom="1440" w:gutter="0" w:footer="0" w:header="0"/>
        </w:sectPr>
      </w:pPr>
    </w:p>
    <w:bookmarkStart w:id="22" w:name="page23"/>
    <w:bookmarkEnd w:id="22"/>
    <w:p>
      <w:pPr>
        <w:ind w:left="220" w:right="20" w:firstLine="428"/>
        <w:spacing w:after="0" w:line="301" w:lineRule="auto"/>
        <w:tabs>
          <w:tab w:leader="none" w:pos="987"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As of the time of each sale of the Securities in connection with the offering when the Prospectus is not yet available to prospective purchasers, none of (A) the Time of Sale Prospectus and (B)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49" w:lineRule="exact"/>
        <w:rPr>
          <w:rFonts w:ascii="Arial" w:cs="Arial" w:eastAsia="Arial" w:hAnsi="Arial"/>
          <w:sz w:val="16"/>
          <w:szCs w:val="16"/>
          <w:color w:val="auto"/>
        </w:rPr>
      </w:pPr>
    </w:p>
    <w:p>
      <w:pPr>
        <w:ind w:left="440" w:firstLine="419"/>
        <w:spacing w:after="0" w:line="255" w:lineRule="auto"/>
        <w:tabs>
          <w:tab w:leader="none" w:pos="1043"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Agreements to Sell and Purchase. </w:t>
      </w:r>
      <w:r>
        <w:rPr>
          <w:rFonts w:ascii="Arial" w:cs="Arial" w:eastAsia="Arial" w:hAnsi="Arial"/>
          <w:sz w:val="18"/>
          <w:szCs w:val="18"/>
          <w:color w:val="auto"/>
        </w:rPr>
        <w:t>The Company hereby agrees to sell to the several Underwriters, and each Underwriter, upon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representations and warranties herein contained, but subject to the terms and conditions hereinafter stated, agrees, severally and not jointly, to purchase from the Company the respective numbers of Firm Securities set forth in Schedule I hereto opposite its name. The purchase price per Firm Share to be paid by the several Underwriters to the Company shall be $46.06 a share (the “</w:t>
      </w:r>
      <w:r>
        <w:rPr>
          <w:rFonts w:ascii="Arial" w:cs="Arial" w:eastAsia="Arial" w:hAnsi="Arial"/>
          <w:sz w:val="18"/>
          <w:szCs w:val="18"/>
          <w:b w:val="1"/>
          <w:bCs w:val="1"/>
          <w:color w:val="auto"/>
        </w:rPr>
        <w:t>Purchase Price</w:t>
      </w:r>
      <w:r>
        <w:rPr>
          <w:rFonts w:ascii="Arial" w:cs="Arial" w:eastAsia="Arial" w:hAnsi="Arial"/>
          <w:sz w:val="18"/>
          <w:szCs w:val="18"/>
          <w:color w:val="auto"/>
        </w:rPr>
        <w:t>”) and the purchase price per Pre-Funded Warrant to be paid by the several Underwriters to the Company equals the Purchase Price minus $0.0001 (the “</w:t>
      </w:r>
      <w:r>
        <w:rPr>
          <w:rFonts w:ascii="Arial" w:cs="Arial" w:eastAsia="Arial" w:hAnsi="Arial"/>
          <w:sz w:val="18"/>
          <w:szCs w:val="18"/>
          <w:b w:val="1"/>
          <w:bCs w:val="1"/>
          <w:color w:val="auto"/>
        </w:rPr>
        <w:t>Warrant 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pacing w:after="0" w:line="192"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420,000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Securities or later than ten business days after the date of such notice. Additional Shares may be purchased as provided in Section 4 hereof. On each day, if any, that Additional Shares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aggregate number of Firm Securities set forth in Schedule I hereto opposite the name of such Underwriter bears to the total number of Firm Securities.</w:t>
      </w:r>
    </w:p>
    <w:p>
      <w:pPr>
        <w:spacing w:after="0" w:line="60" w:lineRule="exact"/>
        <w:rPr>
          <w:sz w:val="20"/>
          <w:szCs w:val="20"/>
          <w:color w:val="auto"/>
        </w:rPr>
      </w:pPr>
    </w:p>
    <w:p>
      <w:pPr>
        <w:ind w:left="440" w:firstLine="419"/>
        <w:spacing w:after="0" w:line="259" w:lineRule="auto"/>
        <w:tabs>
          <w:tab w:leader="none" w:pos="104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Terms of Public Offering</w:t>
      </w:r>
      <w:r>
        <w:rPr>
          <w:rFonts w:ascii="Arial" w:cs="Arial" w:eastAsia="Arial" w:hAnsi="Arial"/>
          <w:sz w:val="18"/>
          <w:szCs w:val="18"/>
          <w:color w:val="auto"/>
        </w:rPr>
        <w:t>. The Company is advised by the Representatives that the Underwriters propose to make a public offering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portions of the Securities as soon after the Registration Statement and this Agreement have become effective as in the Representatives’ judgment is advisable. The Company is further advised by the Representatives that (i) the Shares are to be offered to the public initially at $49.00 a share (the “</w:t>
      </w:r>
      <w:r>
        <w:rPr>
          <w:rFonts w:ascii="Arial" w:cs="Arial" w:eastAsia="Arial" w:hAnsi="Arial"/>
          <w:sz w:val="18"/>
          <w:szCs w:val="18"/>
          <w:b w:val="1"/>
          <w:bCs w:val="1"/>
          <w:color w:val="auto"/>
        </w:rPr>
        <w:t>Public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490" w:right="459" w:bottom="1440" w:gutter="0" w:footer="0" w:header="0"/>
        </w:sectPr>
      </w:pPr>
    </w:p>
    <w:bookmarkStart w:id="23" w:name="page24"/>
    <w:bookmarkEnd w:id="23"/>
    <w:p>
      <w:pPr>
        <w:ind w:left="440" w:right="8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Offering Price</w:t>
      </w:r>
      <w:r>
        <w:rPr>
          <w:rFonts w:ascii="Arial" w:cs="Arial" w:eastAsia="Arial" w:hAnsi="Arial"/>
          <w:sz w:val="18"/>
          <w:szCs w:val="18"/>
          <w:color w:val="auto"/>
        </w:rPr>
        <w:t>”) and to certain dealers selected by the Representatives at a price that represents a concession not in excess of $1.764 a share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Public Offering Price and (ii) the Pre-Funded Warrants are to be offered to the public initially at $48.9999 per pre-funded warrant (the “</w:t>
      </w:r>
      <w:r>
        <w:rPr>
          <w:rFonts w:ascii="Arial" w:cs="Arial" w:eastAsia="Arial" w:hAnsi="Arial"/>
          <w:sz w:val="18"/>
          <w:szCs w:val="18"/>
          <w:b w:val="1"/>
          <w:bCs w:val="1"/>
          <w:color w:val="auto"/>
        </w:rPr>
        <w:t>Public Offering Price Per Warrant</w:t>
      </w:r>
      <w:r>
        <w:rPr>
          <w:rFonts w:ascii="Arial" w:cs="Arial" w:eastAsia="Arial" w:hAnsi="Arial"/>
          <w:sz w:val="18"/>
          <w:szCs w:val="18"/>
          <w:color w:val="auto"/>
        </w:rPr>
        <w:t>”) and to certain dealers selected by the Representatives at a price that represents a concession not in excess of $1.764 per pre-funded warrant under the Public Offering Price Per Warrant.</w:t>
      </w:r>
    </w:p>
    <w:p>
      <w:pPr>
        <w:spacing w:after="0" w:line="76" w:lineRule="exact"/>
        <w:rPr>
          <w:sz w:val="20"/>
          <w:szCs w:val="20"/>
          <w:color w:val="auto"/>
        </w:rPr>
      </w:pPr>
    </w:p>
    <w:p>
      <w:pPr>
        <w:jc w:val="both"/>
        <w:ind w:left="440" w:right="100" w:firstLine="419"/>
        <w:spacing w:after="0" w:line="279" w:lineRule="auto"/>
        <w:tabs>
          <w:tab w:leader="none" w:pos="104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Payment and Delivery</w:t>
      </w:r>
      <w:r>
        <w:rPr>
          <w:rFonts w:ascii="Arial" w:cs="Arial" w:eastAsia="Arial" w:hAnsi="Arial"/>
          <w:sz w:val="17"/>
          <w:szCs w:val="17"/>
          <w:color w:val="auto"/>
        </w:rPr>
        <w:t>. Payment for the Firm Securities shall be made to the Company in Federal or other funds immediately available in New York City against delivery of the Firm Securities for the respective accounts of the several Underwriters at 10:00 a.m., New York City time, on June 16, 2023, or at such other time on the same or such other date, not later than June 26, 2023, as shall be designated in writing by the Representatives. The time and date of such payment are hereinafter referred to as the “Closing Date.”</w:t>
      </w:r>
    </w:p>
    <w:p>
      <w:pPr>
        <w:spacing w:after="0" w:line="171"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Notwithstanding the foregoing, the Company and the Representatives shall instruct purchasers of the Pre-Funded Warrants in the public offering to make payment for the Pre-Funded Warrants at the Public Offering Price Per Warrant on the Closing Date to the Company by wire transfer in immediately available funds to the account specified by the Company, in lieu of payment by the Underwriters for such Pre-Funded Warrants, and the Company shall deliver such Pre-Funded Warrants to such purchasers on the Closing Date in definitive form against such payment, in lieu of the Company’s obligation to deliver such Pre-Funded Warrants to the Underwriters; provided that the Company shall promptly (but in no event later than the Closing Date) pay $2.94 per such Pre-Funded Warrant to the Underwriters by wire transfer in immediately available funds to the account specified by the Representatives.</w:t>
      </w:r>
    </w:p>
    <w:p>
      <w:pPr>
        <w:spacing w:after="0" w:line="195"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In the event that the purchasers of the Pre-Funded Warrants in the public offering fail to make payment to the Company for all or part of the Pre-Funded Warrants on the Closing Date, the Representatives may elect, by written notice to the Company, to receive shares of Common Stock in lieu of all or a portion of such Pre-Funded Warrants to be delivered to the Underwriters under this Agreement.</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July 27, 2023, as shall be designated in writing by the Representatives.</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The Firm Securities and Additional Shares shall be registered in such names and in such denominations as the Representatives shall request in writing not later than one full business day prior to the Closing Date or the applicable Option Closing Date, as the case may be. The Firm Securities and Additional Shares shall be delivered to the Representatives on the Closing Date or an Option Closing Date, as the case may be, for the respective accounts of the several Underwriters, with any transfer taxes payable in connection with the transfer of the Securities to the Underwriters duly paid, against payment of the Purchase Price therefor and Warrant Purchase Price therefor. The Pre-Funded Warrants will be made available for inspection by the Representatives on the day prior to the Closing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486" w:right="459" w:bottom="1440" w:gutter="0" w:footer="0" w:header="0"/>
        </w:sectPr>
      </w:pPr>
    </w:p>
    <w:bookmarkStart w:id="24" w:name="page25"/>
    <w:bookmarkEnd w:id="24"/>
    <w:p>
      <w:pPr>
        <w:ind w:left="220" w:right="260" w:firstLine="419"/>
        <w:spacing w:after="0" w:line="263" w:lineRule="auto"/>
        <w:tabs>
          <w:tab w:leader="none" w:pos="82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Conditions to the Underwriters’ Obligations</w:t>
      </w:r>
      <w:r>
        <w:rPr>
          <w:rFonts w:ascii="Arial" w:cs="Arial" w:eastAsia="Arial" w:hAnsi="Arial"/>
          <w:sz w:val="18"/>
          <w:szCs w:val="18"/>
          <w:color w:val="auto"/>
        </w:rPr>
        <w:t>. The obligations of the Company to sell the Securities to the Underwriters and the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the Underwriters to purchase and pay for the Securities on the Closing Date are subject to the condition that the Registration Statement shall have become effective not later than 4:00 p.m. (New York City time) on the date hereof.</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225" w:lineRule="exact"/>
        <w:rPr>
          <w:sz w:val="20"/>
          <w:szCs w:val="20"/>
          <w:color w:val="auto"/>
        </w:rPr>
      </w:pPr>
    </w:p>
    <w:p>
      <w:pPr>
        <w:ind w:left="680" w:hanging="252"/>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117" w:lineRule="exact"/>
        <w:rPr>
          <w:rFonts w:ascii="Arial" w:cs="Arial" w:eastAsia="Arial" w:hAnsi="Arial"/>
          <w:sz w:val="18"/>
          <w:szCs w:val="18"/>
          <w:color w:val="auto"/>
        </w:rPr>
      </w:pPr>
    </w:p>
    <w:p>
      <w:pPr>
        <w:ind w:left="760" w:right="420" w:firstLine="408"/>
        <w:spacing w:after="0" w:line="263" w:lineRule="auto"/>
        <w:tabs>
          <w:tab w:leader="none" w:pos="1376"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order suspending the effectiveness of the Registration Statement shall be in effect, and no proceeding for such purpose or pursuant to Section 8A under the Securities Act shall be pending before or, to the knowledge of the Company, threatened by the Commission;</w:t>
      </w:r>
    </w:p>
    <w:p>
      <w:pPr>
        <w:spacing w:after="0" w:line="75" w:lineRule="exact"/>
        <w:rPr>
          <w:rFonts w:ascii="Arial" w:cs="Arial" w:eastAsia="Arial" w:hAnsi="Arial"/>
          <w:sz w:val="18"/>
          <w:szCs w:val="18"/>
          <w:color w:val="auto"/>
        </w:rPr>
      </w:pPr>
    </w:p>
    <w:p>
      <w:pPr>
        <w:ind w:left="760" w:firstLine="408"/>
        <w:spacing w:after="0" w:line="259" w:lineRule="auto"/>
        <w:tabs>
          <w:tab w:leader="none" w:pos="1426"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78" w:lineRule="exact"/>
        <w:rPr>
          <w:rFonts w:ascii="Arial" w:cs="Arial" w:eastAsia="Arial" w:hAnsi="Arial"/>
          <w:sz w:val="18"/>
          <w:szCs w:val="18"/>
          <w:color w:val="auto"/>
        </w:rPr>
      </w:pPr>
    </w:p>
    <w:p>
      <w:pPr>
        <w:ind w:left="760" w:right="100" w:firstLine="408"/>
        <w:spacing w:after="0" w:line="301" w:lineRule="auto"/>
        <w:tabs>
          <w:tab w:leader="none" w:pos="1476"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Securities on the terms and in the manner contemplated in the Time of Sale Prospectus.</w:t>
      </w:r>
    </w:p>
    <w:p>
      <w:pPr>
        <w:spacing w:after="0" w:line="157" w:lineRule="exact"/>
        <w:rPr>
          <w:rFonts w:ascii="Arial" w:cs="Arial" w:eastAsia="Arial" w:hAnsi="Arial"/>
          <w:sz w:val="16"/>
          <w:szCs w:val="16"/>
          <w:color w:val="auto"/>
        </w:rPr>
      </w:pPr>
    </w:p>
    <w:p>
      <w:pPr>
        <w:ind w:right="160" w:firstLine="428"/>
        <w:spacing w:after="0" w:line="279" w:lineRule="auto"/>
        <w:tabs>
          <w:tab w:leader="none" w:pos="683"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0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60"/>
          </w:cols>
          <w:pgMar w:left="660" w:top="490" w:right="47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officer signing and delivering such certificate may rely upon the best of his or her knowledge as to proceedings threatened.</w:t>
      </w:r>
    </w:p>
    <w:p>
      <w:pPr>
        <w:spacing w:after="0" w:line="117" w:lineRule="exact"/>
        <w:rPr>
          <w:sz w:val="20"/>
          <w:szCs w:val="20"/>
          <w:color w:val="auto"/>
        </w:rPr>
      </w:pPr>
    </w:p>
    <w:p>
      <w:pPr>
        <w:ind w:left="220" w:right="580" w:firstLine="428"/>
        <w:spacing w:after="0" w:line="308" w:lineRule="auto"/>
        <w:tabs>
          <w:tab w:leader="none" w:pos="89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and negative assurance letter of Goodwin Procter LLP, outside counsel for the Company, dated the Closing Date, in form and substance reasonably satisfactory to the Representatives.</w:t>
      </w:r>
    </w:p>
    <w:p>
      <w:pPr>
        <w:spacing w:after="0" w:line="38" w:lineRule="exact"/>
        <w:rPr>
          <w:rFonts w:ascii="Arial" w:cs="Arial" w:eastAsia="Arial" w:hAnsi="Arial"/>
          <w:sz w:val="17"/>
          <w:szCs w:val="17"/>
          <w:color w:val="auto"/>
        </w:rPr>
      </w:pPr>
    </w:p>
    <w:p>
      <w:pPr>
        <w:ind w:left="220" w:right="80" w:firstLine="428"/>
        <w:spacing w:after="0" w:line="277" w:lineRule="auto"/>
        <w:tabs>
          <w:tab w:leader="none" w:pos="9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White &amp; Case LLP, intellectual property counsel for the Company, dated the Closing Date, in form and substance reasonably satisfactory to the Representatives.</w:t>
      </w:r>
    </w:p>
    <w:p>
      <w:pPr>
        <w:spacing w:after="0" w:line="62" w:lineRule="exact"/>
        <w:rPr>
          <w:rFonts w:ascii="Arial" w:cs="Arial" w:eastAsia="Arial" w:hAnsi="Arial"/>
          <w:sz w:val="18"/>
          <w:szCs w:val="18"/>
          <w:color w:val="auto"/>
        </w:rPr>
      </w:pPr>
    </w:p>
    <w:p>
      <w:pPr>
        <w:ind w:left="220" w:right="240" w:firstLine="428"/>
        <w:spacing w:after="0" w:line="277" w:lineRule="auto"/>
        <w:tabs>
          <w:tab w:leader="none" w:pos="8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Wolf, Greenfield &amp; Sacks, P.C., intellectual property counsel for the Company, dated the Closing Date, in form and substance reasonably satisfactory to the Representatives.</w:t>
      </w:r>
    </w:p>
    <w:p>
      <w:pPr>
        <w:spacing w:after="0" w:line="62" w:lineRule="exact"/>
        <w:rPr>
          <w:rFonts w:ascii="Arial" w:cs="Arial" w:eastAsia="Arial" w:hAnsi="Arial"/>
          <w:sz w:val="18"/>
          <w:szCs w:val="18"/>
          <w:color w:val="auto"/>
        </w:rPr>
      </w:pPr>
    </w:p>
    <w:p>
      <w:pPr>
        <w:ind w:left="220" w:right="320" w:firstLine="428"/>
        <w:spacing w:after="0" w:line="342" w:lineRule="auto"/>
        <w:tabs>
          <w:tab w:leader="none" w:pos="873"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Underwriters shall have received on the Closing Date an opinion and negative assurance letter of Wilmer Cutler Pickering Hale and Dorr LLP, counsel for the Underwriters, dated the Closing Date, in form and substance reasonably satisfactory to the Representatives.</w:t>
      </w:r>
    </w:p>
    <w:p>
      <w:pPr>
        <w:spacing w:after="0" w:line="12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With respect to the negative assurance letters to be delivered pursuant to Sections 5(c) and 5(f) above, Goodwin Procter LLP and Wilmer Cutler Pickering Hale and Dorr LLP, respectively,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7"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The opinions of Goodwin Procter LLP, White &amp; Case LLP and Wolf, Greenfield &amp; Sacks, P.C. described in Sections 5(c), 5(d) and 5(e), respectively, shall be rendered to the Underwriters at the request of the Company and shall so state therein.</w:t>
      </w:r>
    </w:p>
    <w:p>
      <w:pPr>
        <w:spacing w:after="0" w:line="62" w:lineRule="exact"/>
        <w:rPr>
          <w:sz w:val="20"/>
          <w:szCs w:val="20"/>
          <w:color w:val="auto"/>
        </w:rPr>
      </w:pPr>
    </w:p>
    <w:p>
      <w:pPr>
        <w:ind w:left="220" w:right="60" w:firstLine="428"/>
        <w:spacing w:after="0" w:line="275" w:lineRule="auto"/>
        <w:tabs>
          <w:tab w:leader="none" w:pos="903"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Underwriters shall have received, on each of the date hereof and the Closing Date, a letter dated the date hereof or the Closing Date, as the case may be, in form and substance satisfactory to the Representatives,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letter delivered on the Closing Date shall use a “cut-off date” not earlier than the date hereof.</w:t>
      </w:r>
    </w:p>
    <w:p>
      <w:pPr>
        <w:spacing w:after="0" w:line="68" w:lineRule="exact"/>
        <w:rPr>
          <w:rFonts w:ascii="Arial" w:cs="Arial" w:eastAsia="Arial" w:hAnsi="Arial"/>
          <w:sz w:val="17"/>
          <w:szCs w:val="17"/>
          <w:color w:val="auto"/>
        </w:rPr>
      </w:pPr>
    </w:p>
    <w:p>
      <w:pPr>
        <w:ind w:left="220" w:firstLine="428"/>
        <w:spacing w:after="0" w:line="286" w:lineRule="auto"/>
        <w:tabs>
          <w:tab w:leader="none" w:pos="90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“lock-up” agreements, each substantially in the form of Exhibit A hereto, between the Representatives and certain shareholders, officers and directors of the Company relating to restrictions on sales and certain other dispositions of shares of Common Stock or certain other securities, delivered to the Representatives on or before the date hereof, shall be in full force and effect on the Closing Date.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490" w:right="459" w:bottom="1440" w:gutter="0" w:footer="0" w:header="0"/>
        </w:sectPr>
      </w:pPr>
    </w:p>
    <w:bookmarkStart w:id="26" w:name="page27"/>
    <w:bookmarkEnd w:id="26"/>
    <w:p>
      <w:pPr>
        <w:ind w:right="120" w:firstLine="428"/>
        <w:spacing w:after="0" w:line="277" w:lineRule="auto"/>
        <w:tabs>
          <w:tab w:leader="none" w:pos="643"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Shares sold pursuant to this Agreement and the shares of the Company’s common stock, par value $0.0001 per share, equivalent to the number of Warrant Shares sold pursuant to this Agreement shall have been submitted for listing on Nasdaq.</w:t>
      </w:r>
    </w:p>
    <w:p>
      <w:pPr>
        <w:spacing w:after="0" w:line="62" w:lineRule="exact"/>
        <w:rPr>
          <w:rFonts w:ascii="Arial" w:cs="Arial" w:eastAsia="Arial" w:hAnsi="Arial"/>
          <w:sz w:val="18"/>
          <w:szCs w:val="18"/>
          <w:color w:val="auto"/>
        </w:rPr>
      </w:pPr>
    </w:p>
    <w:p>
      <w:pPr>
        <w:ind w:left="640" w:hanging="212"/>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Representatives shall have received a form of Pre-Funded Warrant in form and substance reasonably acceptable to the Representatives.</w:t>
      </w:r>
    </w:p>
    <w:p>
      <w:pPr>
        <w:spacing w:after="0" w:line="140" w:lineRule="exact"/>
        <w:rPr>
          <w:rFonts w:ascii="Arial" w:cs="Arial" w:eastAsia="Arial" w:hAnsi="Arial"/>
          <w:sz w:val="16"/>
          <w:szCs w:val="16"/>
          <w:color w:val="auto"/>
        </w:rPr>
      </w:pPr>
    </w:p>
    <w:p>
      <w:pPr>
        <w:ind w:right="20" w:firstLine="428"/>
        <w:spacing w:after="0" w:line="263" w:lineRule="auto"/>
        <w:tabs>
          <w:tab w:leader="none" w:pos="6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Delivery to the Underwriters on the Closing Date of such other documents as the Representatives may reasonably request with respect to the good standing of the Company and the Subsidiary, the due authorization and issuance of the Firm Shares to be sold on the Closing Date and other matters related to the issuance of the Firm Shares.</w:t>
      </w:r>
    </w:p>
    <w:p>
      <w:pPr>
        <w:spacing w:after="0" w:line="75" w:lineRule="exact"/>
        <w:rPr>
          <w:rFonts w:ascii="Arial" w:cs="Arial" w:eastAsia="Arial" w:hAnsi="Arial"/>
          <w:sz w:val="18"/>
          <w:szCs w:val="18"/>
          <w:color w:val="auto"/>
        </w:rPr>
      </w:pPr>
    </w:p>
    <w:p>
      <w:pPr>
        <w:ind w:firstLine="428"/>
        <w:spacing w:after="0" w:line="277" w:lineRule="auto"/>
        <w:tabs>
          <w:tab w:leader="none" w:pos="6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several obligations of the Underwriters to purchase Additional Shares hereunder are subject to the delivery to the Representatives on the applicable Option Closing Date of the following:</w:t>
      </w:r>
    </w:p>
    <w:p>
      <w:pPr>
        <w:spacing w:after="0" w:line="62" w:lineRule="exact"/>
        <w:rPr>
          <w:rFonts w:ascii="Arial" w:cs="Arial" w:eastAsia="Arial" w:hAnsi="Arial"/>
          <w:sz w:val="18"/>
          <w:szCs w:val="18"/>
          <w:color w:val="auto"/>
        </w:rPr>
      </w:pPr>
    </w:p>
    <w:p>
      <w:pPr>
        <w:ind w:left="760" w:right="320" w:firstLine="408"/>
        <w:spacing w:after="0" w:line="342" w:lineRule="auto"/>
        <w:tabs>
          <w:tab w:leader="none" w:pos="1376"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5" w:lineRule="exact"/>
        <w:rPr>
          <w:rFonts w:ascii="Arial" w:cs="Arial" w:eastAsia="Arial" w:hAnsi="Arial"/>
          <w:sz w:val="16"/>
          <w:szCs w:val="16"/>
          <w:color w:val="auto"/>
        </w:rPr>
      </w:pPr>
    </w:p>
    <w:p>
      <w:pPr>
        <w:ind w:left="760" w:right="200" w:firstLine="408"/>
        <w:spacing w:after="0" w:line="263" w:lineRule="auto"/>
        <w:tabs>
          <w:tab w:leader="none" w:pos="142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opinion and negative assurance letter of Goodwin Procter LLP, outside counsel for the Company, dated the Option Closing Date, relating to the Additional Shares to be purchased on such Option Closing Date and otherwise to the same effect as the opinion and negative assurance letter required by Section 5(c) hereof;</w:t>
      </w:r>
    </w:p>
    <w:p>
      <w:pPr>
        <w:spacing w:after="0" w:line="75" w:lineRule="exact"/>
        <w:rPr>
          <w:rFonts w:ascii="Arial" w:cs="Arial" w:eastAsia="Arial" w:hAnsi="Arial"/>
          <w:sz w:val="18"/>
          <w:szCs w:val="18"/>
          <w:color w:val="auto"/>
        </w:rPr>
      </w:pPr>
    </w:p>
    <w:p>
      <w:pPr>
        <w:jc w:val="both"/>
        <w:ind w:left="760" w:right="160" w:firstLine="408"/>
        <w:spacing w:after="0" w:line="263" w:lineRule="auto"/>
        <w:tabs>
          <w:tab w:leader="none" w:pos="147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opinion of White &amp; Case LLP, intellectual property counsel for the Company, dated the Option Closing Date, relating to the Additional Shares to be purchased on such Option Closing Date and otherwise to the same effect as the opinion required by Section 5(d) hereof;</w:t>
      </w:r>
    </w:p>
    <w:p>
      <w:pPr>
        <w:spacing w:after="0" w:line="75" w:lineRule="exact"/>
        <w:rPr>
          <w:rFonts w:ascii="Arial" w:cs="Arial" w:eastAsia="Arial" w:hAnsi="Arial"/>
          <w:sz w:val="18"/>
          <w:szCs w:val="18"/>
          <w:color w:val="auto"/>
        </w:rPr>
      </w:pPr>
    </w:p>
    <w:p>
      <w:pPr>
        <w:ind w:left="760" w:right="60" w:firstLine="408"/>
        <w:spacing w:after="0" w:line="263" w:lineRule="auto"/>
        <w:tabs>
          <w:tab w:leader="none" w:pos="146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opinion of Wolf, Greenfield &amp; Sacks, P.C., intellectual property counsel for the Company, dated the Option Closing Date, relating to the Additional Shares to be purchased on such Option Closing Date and otherwise to the same effect as the opinion required by Section 5(e) hereof;</w:t>
      </w:r>
    </w:p>
    <w:p>
      <w:pPr>
        <w:spacing w:after="0" w:line="75" w:lineRule="exact"/>
        <w:rPr>
          <w:rFonts w:ascii="Arial" w:cs="Arial" w:eastAsia="Arial" w:hAnsi="Arial"/>
          <w:sz w:val="18"/>
          <w:szCs w:val="18"/>
          <w:color w:val="auto"/>
        </w:rPr>
      </w:pPr>
    </w:p>
    <w:p>
      <w:pPr>
        <w:ind w:left="760" w:right="120" w:firstLine="408"/>
        <w:spacing w:after="0" w:line="263" w:lineRule="auto"/>
        <w:tabs>
          <w:tab w:leader="none" w:pos="141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opinion and negative assurance letter of Wilmer Cutler Pickering Hale and Dorr LLP, counsel for the Underwriters, dated the Option Closing Date, relating to the Additional Shares to be purchased on such Option Closing Date and otherwise to the same effect as the opinion and negative assurance letter required by Section 5(f) hereof;</w:t>
      </w:r>
    </w:p>
    <w:p>
      <w:pPr>
        <w:spacing w:after="0" w:line="11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60"/>
          </w:cols>
          <w:pgMar w:left="660" w:top="490" w:right="479" w:bottom="1440" w:gutter="0" w:footer="0" w:header="0"/>
        </w:sectPr>
      </w:pPr>
    </w:p>
    <w:bookmarkStart w:id="27" w:name="page28"/>
    <w:bookmarkEnd w:id="27"/>
    <w:p>
      <w:pPr>
        <w:ind w:left="760" w:right="220" w:firstLine="408"/>
        <w:spacing w:after="0" w:line="259" w:lineRule="auto"/>
        <w:tabs>
          <w:tab w:leader="none" w:pos="1466" w:val="left"/>
        </w:tabs>
        <w:numPr>
          <w:ilvl w:val="2"/>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a letter dated the Option Closing Date, in form and substance satisfactory to the Representatives, from Ernst &amp; Young LLP, independent public accountants, substantially in the same form and substance as the letter furnished to the Underwriters pursuant to Section 5(g)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two business days prior to such Option Closing Date; and</w:t>
      </w:r>
    </w:p>
    <w:p>
      <w:pPr>
        <w:spacing w:after="0" w:line="78" w:lineRule="exact"/>
        <w:rPr>
          <w:rFonts w:ascii="Arial" w:cs="Arial" w:eastAsia="Arial" w:hAnsi="Arial"/>
          <w:sz w:val="18"/>
          <w:szCs w:val="18"/>
          <w:color w:val="auto"/>
        </w:rPr>
      </w:pPr>
    </w:p>
    <w:p>
      <w:pPr>
        <w:ind w:left="760" w:right="60" w:firstLine="408"/>
        <w:spacing w:after="0" w:line="263" w:lineRule="auto"/>
        <w:tabs>
          <w:tab w:leader="none" w:pos="1516" w:val="left"/>
        </w:tabs>
        <w:numPr>
          <w:ilvl w:val="2"/>
          <w:numId w:val="30"/>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75" w:lineRule="exact"/>
        <w:rPr>
          <w:rFonts w:ascii="Arial" w:cs="Arial" w:eastAsia="Arial" w:hAnsi="Arial"/>
          <w:sz w:val="18"/>
          <w:szCs w:val="18"/>
          <w:color w:val="auto"/>
        </w:rPr>
      </w:pPr>
    </w:p>
    <w:p>
      <w:pPr>
        <w:ind w:left="820" w:hanging="181"/>
        <w:spacing w:after="0"/>
        <w:tabs>
          <w:tab w:leader="none" w:pos="82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firstLine="428"/>
        <w:spacing w:after="0" w:line="273" w:lineRule="auto"/>
        <w:tabs>
          <w:tab w:leader="none" w:pos="67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To furnish to the Representatives, without charge, four signed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Representatives may reasonably request.</w:t>
      </w:r>
    </w:p>
    <w:p>
      <w:pPr>
        <w:spacing w:after="0" w:line="69" w:lineRule="exact"/>
        <w:rPr>
          <w:rFonts w:ascii="Arial" w:cs="Arial" w:eastAsia="Arial" w:hAnsi="Arial"/>
          <w:sz w:val="17"/>
          <w:szCs w:val="17"/>
          <w:color w:val="auto"/>
        </w:rPr>
      </w:pPr>
    </w:p>
    <w:p>
      <w:pPr>
        <w:ind w:right="20" w:firstLine="428"/>
        <w:spacing w:after="0" w:line="259"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right="140" w:firstLine="428"/>
        <w:spacing w:after="0" w:line="277" w:lineRule="auto"/>
        <w:tabs>
          <w:tab w:leader="none" w:pos="6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to, directly or indirectly, prepare, use or refer to, directly or indirectly, any free writing prospectus, as such term is defined in Rule 405 under the Securities Act, in connection with the offer and sale of the Securities.</w:t>
      </w:r>
    </w:p>
    <w:p>
      <w:pPr>
        <w:spacing w:after="0" w:line="62" w:lineRule="exact"/>
        <w:rPr>
          <w:rFonts w:ascii="Arial" w:cs="Arial" w:eastAsia="Arial" w:hAnsi="Arial"/>
          <w:sz w:val="18"/>
          <w:szCs w:val="18"/>
          <w:color w:val="auto"/>
        </w:rPr>
      </w:pPr>
    </w:p>
    <w:p>
      <w:pPr>
        <w:ind w:right="100" w:firstLine="428"/>
        <w:spacing w:after="0" w:line="263" w:lineRule="auto"/>
        <w:tabs>
          <w:tab w:leader="none" w:pos="6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80"/>
          </w:cols>
          <w:pgMar w:left="660" w:top="490" w:right="459" w:bottom="1440" w:gutter="0" w:footer="0" w:header="0"/>
        </w:sectPr>
      </w:pPr>
    </w:p>
    <w:bookmarkStart w:id="28" w:name="page29"/>
    <w:bookmarkEnd w:id="28"/>
    <w:p>
      <w:pPr>
        <w:ind w:firstLine="428"/>
        <w:spacing w:after="0" w:line="269" w:lineRule="auto"/>
        <w:tabs>
          <w:tab w:leader="none" w:pos="676"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77" w:lineRule="exact"/>
        <w:rPr>
          <w:rFonts w:ascii="Arial" w:cs="Arial" w:eastAsia="Arial" w:hAnsi="Arial"/>
          <w:sz w:val="17"/>
          <w:szCs w:val="17"/>
          <w:color w:val="auto"/>
        </w:rPr>
      </w:pPr>
    </w:p>
    <w:p>
      <w:pPr>
        <w:ind w:right="40" w:firstLine="428"/>
        <w:spacing w:after="0" w:line="269" w:lineRule="auto"/>
        <w:tabs>
          <w:tab w:leader="none" w:pos="657"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73" w:lineRule="exact"/>
        <w:rPr>
          <w:rFonts w:ascii="Arial" w:cs="Arial" w:eastAsia="Arial" w:hAnsi="Arial"/>
          <w:sz w:val="17"/>
          <w:szCs w:val="17"/>
          <w:color w:val="auto"/>
        </w:rPr>
      </w:pPr>
    </w:p>
    <w:p>
      <w:pPr>
        <w:ind w:right="300" w:firstLine="428"/>
        <w:spacing w:after="0" w:line="277" w:lineRule="auto"/>
        <w:tabs>
          <w:tab w:leader="none" w:pos="6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endeavor to qualify the Securities for offer and sale under the securities or Blue Sky laws of such jurisdictions as the Representatives shall reasonably request.</w:t>
      </w:r>
    </w:p>
    <w:p>
      <w:pPr>
        <w:spacing w:after="0" w:line="62" w:lineRule="exact"/>
        <w:rPr>
          <w:rFonts w:ascii="Arial" w:cs="Arial" w:eastAsia="Arial" w:hAnsi="Arial"/>
          <w:sz w:val="18"/>
          <w:szCs w:val="18"/>
          <w:color w:val="auto"/>
        </w:rPr>
      </w:pPr>
    </w:p>
    <w:p>
      <w:pPr>
        <w:ind w:right="320" w:firstLine="428"/>
        <w:spacing w:after="0" w:line="311" w:lineRule="auto"/>
        <w:tabs>
          <w:tab w:leader="none" w:pos="6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make generally available to the Company’s security holders and to the Representatives as soon as reasonably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8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80"/>
          </w:cols>
          <w:pgMar w:left="660" w:top="490" w:right="459" w:bottom="1440" w:gutter="0" w:footer="0" w:header="0"/>
        </w:sectPr>
      </w:pPr>
    </w:p>
    <w:bookmarkStart w:id="29" w:name="page30"/>
    <w:bookmarkEnd w:id="29"/>
    <w:p>
      <w:pPr>
        <w:ind w:firstLine="428"/>
        <w:spacing w:after="0" w:line="284" w:lineRule="auto"/>
        <w:tabs>
          <w:tab w:leader="none" w:pos="643"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and Warrant Shares under the Securities Act, including the costs of reproducing and distributing each of the Pre-Funded Warrants,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Securities by the Financial Industry Regulatory Authority; </w:t>
      </w:r>
      <w:r>
        <w:rPr>
          <w:rFonts w:ascii="Arial" w:cs="Arial" w:eastAsia="Arial" w:hAnsi="Arial"/>
          <w:sz w:val="16"/>
          <w:szCs w:val="16"/>
          <w:i w:val="1"/>
          <w:iCs w:val="1"/>
          <w:color w:val="auto"/>
        </w:rPr>
        <w:t>provided</w:t>
      </w:r>
      <w:r>
        <w:rPr>
          <w:rFonts w:ascii="Arial" w:cs="Arial" w:eastAsia="Arial" w:hAnsi="Arial"/>
          <w:sz w:val="16"/>
          <w:szCs w:val="16"/>
          <w:color w:val="auto"/>
        </w:rPr>
        <w:t>, that, the amount payable by the Company with respect to fees and disbursements of counsel for the Underwriters pursuant to subsections (iii) and (iv) shall not exceed $30,000 in the aggregate, (v) all costs and expenses incident to listing the Shares on Nasdaq, (vi) the cost of printing certificates representing the Securities and Warrant Shares, (vii) the costs and charges of any transfer agent, registrar or depositary,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80"/>
          </w:cols>
          <w:pgMar w:left="660" w:top="490" w:right="459" w:bottom="1440" w:gutter="0" w:footer="0" w:header="0"/>
        </w:sectPr>
      </w:pPr>
    </w:p>
    <w:bookmarkStart w:id="30" w:name="page31"/>
    <w:bookmarkEnd w:id="30"/>
    <w:p>
      <w:pPr>
        <w:ind w:left="224" w:right="100" w:firstLine="428"/>
        <w:spacing w:after="0" w:line="263" w:lineRule="auto"/>
        <w:tabs>
          <w:tab w:leader="none" w:pos="867"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Company will promptly notify the Representatives if the Company ceases to be an Emerging Growth Company at any time prior to the later of (i) completion of the distribution of the Securities within the meaning of the Securities Act and (ii) completion of the Restricted Period (as defined in this Section 6).</w:t>
      </w:r>
    </w:p>
    <w:p>
      <w:pPr>
        <w:spacing w:after="0" w:line="75" w:lineRule="exact"/>
        <w:rPr>
          <w:rFonts w:ascii="Arial" w:cs="Arial" w:eastAsia="Arial" w:hAnsi="Arial"/>
          <w:sz w:val="18"/>
          <w:szCs w:val="18"/>
          <w:color w:val="auto"/>
        </w:rPr>
      </w:pPr>
    </w:p>
    <w:p>
      <w:pPr>
        <w:ind w:left="224" w:firstLine="428"/>
        <w:spacing w:after="0" w:line="259" w:lineRule="auto"/>
        <w:tabs>
          <w:tab w:leader="none" w:pos="9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Company also covenants with each Underwriter that, without the prior written consent of the Representatives on behalf of the Underwriters, it will not, and will not publicly disclose an intention to, during the period ending 90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w:t>
      </w:r>
    </w:p>
    <w:p>
      <w:pPr>
        <w:ind w:left="4" w:hanging="4"/>
        <w:spacing w:after="0" w:line="270" w:lineRule="auto"/>
        <w:tabs>
          <w:tab w:leader="none" w:pos="259" w:val="left"/>
        </w:tabs>
        <w:numPr>
          <w:ilvl w:val="0"/>
          <w:numId w:val="36"/>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78"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The restrictions contained in the preceding paragraph shall not apply to (A) the Securities to be sold hereunder, including, for the avoidance of doubt, the issuance by the Company of the Warrant Shares upon the exercise of Pre-Funded Warrants, (B) the issuance by the Company of shares of common stock or securities convertible into or exercisable for shares of Common Stock upon the exercise of an option or warrant or the conversion of a security outstanding on the date hereof as described in each of the Time of Sale Prospectus and Prospectus, (C) the issuance by the Company of shares of Common Stock or options to purchase shares of, Common Stock to employees, officers, directors, advisors or consultants of the Company pursuant to employee benefit plans as described in each of the Time of Sale Prospectus and Prospectus, provided that, prior to the issuance of any such shares or the grant of any such options to any director or executive officer elected or appointed following the date of this Agreement and prior to the end of the Restricted Period, the Company shall cause each such recipient of such grant or issuance to execute and deliver a “lock-up” agreement, substantially in the form of Exhibit A hereto, (D) the filing by the Company of registration statements on Form S-8 with respect to the employee benefit plans described in the Time of Sale Prospectus and Prospectus, (E) the sale or issuance of or entry into an agreement to sell or issue shares of the Common Stock in connection with the Company’s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490" w:right="459" w:bottom="1440" w:gutter="0" w:footer="0" w:header="0"/>
        </w:sectPr>
      </w:pPr>
    </w:p>
    <w:bookmarkStart w:id="31" w:name="page32"/>
    <w:bookmarkEnd w:id="31"/>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to execute and deliver to you, on or prior to such issuance, a “lock up” agreement, substantially in the form of Exhibit A hereto, or (F) facilitating 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57" w:lineRule="exact"/>
        <w:rPr>
          <w:sz w:val="20"/>
          <w:szCs w:val="20"/>
          <w:color w:val="auto"/>
        </w:rPr>
      </w:pPr>
    </w:p>
    <w:p>
      <w:pPr>
        <w:ind w:left="440" w:right="100" w:firstLine="419"/>
        <w:spacing w:after="0" w:line="311" w:lineRule="auto"/>
        <w:tabs>
          <w:tab w:leader="none" w:pos="1043"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Covenants of the Underwriters</w:t>
      </w:r>
      <w:r>
        <w:rPr>
          <w:rFonts w:ascii="Arial" w:cs="Arial" w:eastAsia="Arial" w:hAnsi="Arial"/>
          <w:sz w:val="16"/>
          <w:szCs w:val="16"/>
          <w:color w:val="auto"/>
        </w:rPr>
        <w:t>. Each Underwriter, severally and not jointly, covenants with the Company not to take any action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40" w:lineRule="exact"/>
        <w:rPr>
          <w:rFonts w:ascii="Arial" w:cs="Arial" w:eastAsia="Arial" w:hAnsi="Arial"/>
          <w:sz w:val="16"/>
          <w:szCs w:val="16"/>
          <w:color w:val="auto"/>
        </w:rPr>
      </w:pPr>
    </w:p>
    <w:p>
      <w:pPr>
        <w:ind w:left="440" w:firstLine="419"/>
        <w:spacing w:after="0" w:line="286" w:lineRule="auto"/>
        <w:tabs>
          <w:tab w:leader="none" w:pos="1043"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Indemnity and Contribution. </w:t>
      </w:r>
      <w:r>
        <w:rPr>
          <w:rFonts w:ascii="Arial" w:cs="Arial" w:eastAsia="Arial" w:hAnsi="Arial"/>
          <w:sz w:val="16"/>
          <w:szCs w:val="16"/>
          <w:color w:val="auto"/>
        </w:rPr>
        <w:t>(a) The Company agrees to indemnify and hold harmless each Underwriter, each person, if any, who controls</w:t>
      </w:r>
      <w:r>
        <w:rPr>
          <w:rFonts w:ascii="Arial" w:cs="Arial" w:eastAsia="Arial" w:hAnsi="Arial"/>
          <w:sz w:val="16"/>
          <w:szCs w:val="16"/>
          <w:i w:val="1"/>
          <w:iCs w:val="1"/>
          <w:color w:val="auto"/>
        </w:rPr>
        <w:t xml:space="preserve"> </w:t>
      </w:r>
      <w:r>
        <w:rPr>
          <w:rFonts w:ascii="Arial" w:cs="Arial" w:eastAsia="Arial" w:hAnsi="Arial"/>
          <w:sz w:val="16"/>
          <w:szCs w:val="16"/>
          <w:color w:val="auto"/>
        </w:rPr>
        <w:t>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 it being understood and agreed that the only such information furnished by the Underwriters through the Representatives consists of the Underwriter Information.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490" w:right="479" w:bottom="1440" w:gutter="0" w:footer="0" w:header="0"/>
        </w:sectPr>
      </w:pPr>
    </w:p>
    <w:bookmarkStart w:id="32" w:name="page33"/>
    <w:bookmarkEnd w:id="32"/>
    <w:p>
      <w:pPr>
        <w:ind w:firstLine="428"/>
        <w:spacing w:after="0" w:line="254" w:lineRule="auto"/>
        <w:tabs>
          <w:tab w:leader="none" w:pos="687"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Underwriters consists of the Underwriter Information.</w:t>
      </w:r>
    </w:p>
    <w:p>
      <w:pPr>
        <w:spacing w:after="0" w:line="86" w:lineRule="exact"/>
        <w:rPr>
          <w:rFonts w:ascii="Arial" w:cs="Arial" w:eastAsia="Arial" w:hAnsi="Arial"/>
          <w:sz w:val="18"/>
          <w:szCs w:val="18"/>
          <w:color w:val="auto"/>
        </w:rPr>
      </w:pPr>
    </w:p>
    <w:p>
      <w:pPr>
        <w:ind w:right="60" w:firstLine="428"/>
        <w:spacing w:after="0" w:line="285" w:lineRule="auto"/>
        <w:tabs>
          <w:tab w:leader="none" w:pos="676"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w:t>
      </w:r>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80"/>
          </w:cols>
          <w:pgMar w:left="660" w:top="490" w:right="459" w:bottom="1440" w:gutter="0" w:footer="0" w:header="0"/>
        </w:sectPr>
      </w:pPr>
    </w:p>
    <w:bookmarkStart w:id="33" w:name="page34"/>
    <w:bookmarkEnd w:id="33"/>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70" w:lineRule="exact"/>
        <w:rPr>
          <w:sz w:val="20"/>
          <w:szCs w:val="20"/>
          <w:color w:val="auto"/>
        </w:rPr>
      </w:pPr>
    </w:p>
    <w:p>
      <w:pPr>
        <w:ind w:firstLine="428"/>
        <w:spacing w:after="0" w:line="267" w:lineRule="auto"/>
        <w:tabs>
          <w:tab w:leader="none" w:pos="68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in each case as set forth in the table on the cover of the Prospectus, bear to the aggregate (i) Public Offering Price of the Shares and (ii) the Public Offering Price Per Warrant of the Pre-Funded Warrants.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Securities they have purchased hereunder, and not joint.</w:t>
      </w:r>
    </w:p>
    <w:p>
      <w:pPr>
        <w:spacing w:after="0" w:line="83" w:lineRule="exact"/>
        <w:rPr>
          <w:rFonts w:ascii="Arial" w:cs="Arial" w:eastAsia="Arial" w:hAnsi="Arial"/>
          <w:sz w:val="17"/>
          <w:szCs w:val="17"/>
          <w:color w:val="auto"/>
        </w:rPr>
      </w:pPr>
    </w:p>
    <w:p>
      <w:pPr>
        <w:ind w:firstLine="428"/>
        <w:spacing w:after="0" w:line="259" w:lineRule="auto"/>
        <w:tabs>
          <w:tab w:leader="none" w:pos="67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Company and the Underwriters agree that it would not be just or equitable if contribution pursuant to this Section 8 were determined by </w:t>
      </w:r>
      <w:r>
        <w:rPr>
          <w:rFonts w:ascii="Arial" w:cs="Arial" w:eastAsia="Arial" w:hAnsi="Arial"/>
          <w:sz w:val="18"/>
          <w:szCs w:val="18"/>
          <w:i w:val="1"/>
          <w:iCs w:val="1"/>
          <w:color w:val="auto"/>
        </w:rPr>
        <w:t xml:space="preserve">pro rata </w:t>
      </w:r>
      <w:r>
        <w:rPr>
          <w:rFonts w:ascii="Arial" w:cs="Arial" w:eastAsia="Arial" w:hAnsi="Arial"/>
          <w:sz w:val="18"/>
          <w:szCs w:val="18"/>
          <w:color w:val="auto"/>
        </w:rPr>
        <w:t>allocation (even if the Underwriters were treated as one entity for such purpose) or by any other method of allocation that does not take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of the equitable considerations referred to in Section 8(d). The amount paid or payable by an indemnified party as a result of the losses, claims, damages and liabilities referred to in</w:t>
      </w:r>
    </w:p>
    <w:p>
      <w:pPr>
        <w:spacing w:after="0" w:line="1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60"/>
          </w:cols>
          <w:pgMar w:left="660" w:top="490" w:right="479" w:bottom="1440" w:gutter="0" w:footer="0" w:header="0"/>
        </w:sectPr>
      </w:pPr>
    </w:p>
    <w:bookmarkStart w:id="34" w:name="page35"/>
    <w:bookmarkEnd w:id="3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84" w:lineRule="exact"/>
        <w:rPr>
          <w:sz w:val="20"/>
          <w:szCs w:val="20"/>
          <w:color w:val="auto"/>
        </w:rPr>
      </w:pPr>
    </w:p>
    <w:p>
      <w:pPr>
        <w:ind w:right="60" w:firstLine="428"/>
        <w:spacing w:after="0" w:line="301" w:lineRule="auto"/>
        <w:tabs>
          <w:tab w:leader="none" w:pos="65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spacing w:after="0" w:line="49" w:lineRule="exact"/>
        <w:rPr>
          <w:rFonts w:ascii="Arial" w:cs="Arial" w:eastAsia="Arial" w:hAnsi="Arial"/>
          <w:sz w:val="16"/>
          <w:szCs w:val="16"/>
          <w:color w:val="auto"/>
        </w:rPr>
      </w:pPr>
    </w:p>
    <w:p>
      <w:pPr>
        <w:ind w:left="820" w:hanging="181"/>
        <w:spacing w:after="0"/>
        <w:tabs>
          <w:tab w:leader="none" w:pos="820" w:val="left"/>
        </w:tabs>
        <w:numPr>
          <w:ilvl w:val="1"/>
          <w:numId w:val="40"/>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Underwriters may terminate this Agreement by notice given by the Representatives to the Company, if after the</w:t>
      </w:r>
    </w:p>
    <w:p>
      <w:pPr>
        <w:spacing w:after="0" w:line="34" w:lineRule="exact"/>
        <w:rPr>
          <w:rFonts w:ascii="Arial" w:cs="Arial" w:eastAsia="Arial" w:hAnsi="Arial"/>
          <w:sz w:val="17"/>
          <w:szCs w:val="17"/>
          <w:color w:val="auto"/>
        </w:rPr>
      </w:pPr>
    </w:p>
    <w:p>
      <w:pPr>
        <w:ind w:left="220" w:right="40"/>
        <w:spacing w:after="0" w:line="286" w:lineRule="auto"/>
        <w:rPr>
          <w:rFonts w:ascii="Arial" w:cs="Arial" w:eastAsia="Arial" w:hAnsi="Arial"/>
          <w:sz w:val="17"/>
          <w:szCs w:val="17"/>
          <w:color w:val="auto"/>
        </w:rPr>
      </w:pPr>
      <w:r>
        <w:rPr>
          <w:rFonts w:ascii="Arial" w:cs="Arial" w:eastAsia="Arial" w:hAnsi="Arial"/>
          <w:sz w:val="16"/>
          <w:szCs w:val="16"/>
          <w:color w:val="auto"/>
        </w:rPr>
        <w:t>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w:t>
      </w:r>
    </w:p>
    <w:p>
      <w:pPr>
        <w:spacing w:after="0" w:line="64" w:lineRule="exact"/>
        <w:rPr>
          <w:rFonts w:ascii="Arial" w:cs="Arial" w:eastAsia="Arial" w:hAnsi="Arial"/>
          <w:sz w:val="17"/>
          <w:szCs w:val="17"/>
          <w:color w:val="auto"/>
        </w:rPr>
      </w:pPr>
    </w:p>
    <w:p>
      <w:pPr>
        <w:ind w:left="900" w:hanging="261"/>
        <w:spacing w:after="0"/>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i w:val="1"/>
          <w:iCs w:val="1"/>
          <w:color w:val="auto"/>
        </w:rPr>
        <w:t>Effectiveness; Defaulting Underwriters</w:t>
      </w:r>
      <w:r>
        <w:rPr>
          <w:rFonts w:ascii="Arial" w:cs="Arial" w:eastAsia="Arial" w:hAnsi="Arial"/>
          <w:sz w:val="16"/>
          <w:szCs w:val="16"/>
          <w:color w:val="auto"/>
        </w:rPr>
        <w:t>. This Agreement shall become effective upon the execution and delivery hereof by the parties</w:t>
      </w:r>
    </w:p>
    <w:p>
      <w:pPr>
        <w:spacing w:after="0" w:line="46"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4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80"/>
          </w:cols>
          <w:pgMar w:left="660" w:top="490" w:right="459" w:bottom="1440" w:gutter="0" w:footer="0" w:header="0"/>
        </w:sectPr>
      </w:pPr>
    </w:p>
    <w:bookmarkStart w:id="35" w:name="page36"/>
    <w:bookmarkEnd w:id="35"/>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If, on the Closing Date or an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one-tenth of the aggregate number of the Securities to be purchased on such date, the other Underwriters shall be obligated severally in the proportions that the number of Firm Securities set forth opposite their respective names in Schedule I bears to the aggregate number of Firm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Securities that any Underwriter has agreed to purchase pursuant to this Agreement be increased pursuant to this Section 10 by an amount in excess of one-ninth of such number of Securities without the written consent of such Underwriter. If, on the Closing Date, any Underwriter or Underwriters shall fail or refuse to purchase Firm Securities and the aggregate number of Firm Securities with respect to which such default occurs is more than one-tenth of the aggregate number of Firm Securities to be purchased on such date, and arrangements satisfactory to the Representatives and the Company for the purchase of such Firm Securities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80" w:lineRule="exact"/>
        <w:rPr>
          <w:sz w:val="20"/>
          <w:szCs w:val="20"/>
          <w:color w:val="auto"/>
        </w:rPr>
      </w:pPr>
    </w:p>
    <w:p>
      <w:pPr>
        <w:ind w:left="440" w:right="120" w:firstLine="419"/>
        <w:spacing w:after="0" w:line="259" w:lineRule="auto"/>
        <w:tabs>
          <w:tab w:leader="none" w:pos="1126"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490" w:right="459" w:bottom="1440" w:gutter="0" w:footer="0" w:header="0"/>
        </w:sectPr>
      </w:pPr>
    </w:p>
    <w:bookmarkStart w:id="36" w:name="page37"/>
    <w:bookmarkEnd w:id="36"/>
    <w:p>
      <w:pPr>
        <w:ind w:left="220" w:firstLine="428"/>
        <w:spacing w:after="0" w:line="272" w:lineRule="auto"/>
        <w:tabs>
          <w:tab w:leader="none" w:pos="903" w:val="left"/>
        </w:tabs>
        <w:numPr>
          <w:ilvl w:val="0"/>
          <w:numId w:val="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Securities.</w:t>
      </w:r>
    </w:p>
    <w:p>
      <w:pPr>
        <w:spacing w:after="0" w:line="69" w:lineRule="exact"/>
        <w:rPr>
          <w:rFonts w:ascii="Arial" w:cs="Arial" w:eastAsia="Arial" w:hAnsi="Arial"/>
          <w:sz w:val="17"/>
          <w:szCs w:val="17"/>
          <w:color w:val="auto"/>
        </w:rPr>
      </w:pPr>
    </w:p>
    <w:p>
      <w:pPr>
        <w:jc w:val="both"/>
        <w:ind w:left="440" w:right="120" w:firstLine="419"/>
        <w:spacing w:after="0" w:line="301" w:lineRule="auto"/>
        <w:tabs>
          <w:tab w:leader="none" w:pos="1133"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Recognition of the U.S. Special Resolution Regimes</w:t>
      </w:r>
      <w:r>
        <w:rPr>
          <w:rFonts w:ascii="Arial" w:cs="Arial" w:eastAsia="Arial" w:hAnsi="Arial"/>
          <w:sz w:val="16"/>
          <w:szCs w:val="16"/>
          <w:color w:val="auto"/>
        </w:rPr>
        <w:t>. (a) In the event that any Underwriter that is a Covered Entity becomes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49" w:lineRule="exact"/>
        <w:rPr>
          <w:sz w:val="20"/>
          <w:szCs w:val="20"/>
          <w:color w:val="auto"/>
        </w:rPr>
      </w:pPr>
    </w:p>
    <w:p>
      <w:pPr>
        <w:ind w:left="220" w:right="260" w:firstLine="428"/>
        <w:spacing w:after="0" w:line="259" w:lineRule="auto"/>
        <w:tabs>
          <w:tab w:leader="none" w:pos="9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For purposes of this Section a “</w:t>
      </w:r>
      <w:r>
        <w:rPr>
          <w:rFonts w:ascii="Arial" w:cs="Arial" w:eastAsia="Arial" w:hAnsi="Arial"/>
          <w:sz w:val="17"/>
          <w:szCs w:val="17"/>
          <w:b w:val="1"/>
          <w:bCs w:val="1"/>
          <w:color w:val="auto"/>
        </w:rPr>
        <w:t>BHC Act Affiliate</w:t>
      </w:r>
      <w:r>
        <w:rPr>
          <w:rFonts w:ascii="Arial" w:cs="Arial" w:eastAsia="Arial" w:hAnsi="Arial"/>
          <w:sz w:val="17"/>
          <w:szCs w:val="17"/>
          <w:color w:val="auto"/>
        </w:rPr>
        <w:t>” has the meaning assigned to the term “affiliate” in, and shall be interpreted in accordance with, 12 U.S.C. § 1841(k). “</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Default Right</w:t>
      </w:r>
      <w:r>
        <w:rPr>
          <w:rFonts w:ascii="Arial" w:cs="Arial" w:eastAsia="Arial" w:hAnsi="Arial"/>
          <w:sz w:val="17"/>
          <w:szCs w:val="17"/>
          <w:color w:val="auto"/>
        </w:rPr>
        <w:t>” has the meaning assigned to that term in, and shall be interpreted in accordance with, 12 C.F.R. §§ 252.81, 47.2 or 382.1, as applicable. “</w:t>
      </w:r>
      <w:r>
        <w:rPr>
          <w:rFonts w:ascii="Arial" w:cs="Arial" w:eastAsia="Arial" w:hAnsi="Arial"/>
          <w:sz w:val="17"/>
          <w:szCs w:val="17"/>
          <w:b w:val="1"/>
          <w:bCs w:val="1"/>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490" w:right="479" w:bottom="1440" w:gutter="0" w:footer="0" w:header="0"/>
        </w:sectPr>
      </w:pPr>
    </w:p>
    <w:bookmarkStart w:id="37" w:name="page38"/>
    <w:bookmarkEnd w:id="37"/>
    <w:p>
      <w:pPr>
        <w:ind w:firstLine="419"/>
        <w:spacing w:after="0" w:line="257" w:lineRule="auto"/>
        <w:tabs>
          <w:tab w:leader="none" w:pos="69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Counterparts</w:t>
      </w:r>
      <w:r>
        <w:rPr>
          <w:rFonts w:ascii="Arial" w:cs="Arial" w:eastAsia="Arial" w:hAnsi="Arial"/>
          <w:sz w:val="18"/>
          <w:szCs w:val="18"/>
          <w:color w:val="auto"/>
        </w:rPr>
        <w:t>. This Agreement may be signed in two or more counterparts, each of which shall be an original, with the same effect as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79" w:lineRule="exact"/>
        <w:rPr>
          <w:rFonts w:ascii="Arial" w:cs="Arial" w:eastAsia="Arial" w:hAnsi="Arial"/>
          <w:sz w:val="18"/>
          <w:szCs w:val="18"/>
          <w:color w:val="auto"/>
        </w:rPr>
      </w:pPr>
    </w:p>
    <w:p>
      <w:pPr>
        <w:ind w:left="680" w:hanging="261"/>
        <w:spacing w:after="0"/>
        <w:tabs>
          <w:tab w:leader="none" w:pos="68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128" w:lineRule="exact"/>
        <w:rPr>
          <w:rFonts w:ascii="Arial" w:cs="Arial" w:eastAsia="Arial" w:hAnsi="Arial"/>
          <w:sz w:val="17"/>
          <w:szCs w:val="17"/>
          <w:color w:val="auto"/>
        </w:rPr>
      </w:pPr>
    </w:p>
    <w:p>
      <w:pPr>
        <w:ind w:right="100" w:firstLine="419"/>
        <w:spacing w:after="0" w:line="277" w:lineRule="auto"/>
        <w:tabs>
          <w:tab w:leader="none" w:pos="69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a part of this Agreement.</w:t>
      </w:r>
    </w:p>
    <w:p>
      <w:pPr>
        <w:spacing w:after="0" w:line="62" w:lineRule="exact"/>
        <w:rPr>
          <w:rFonts w:ascii="Arial" w:cs="Arial" w:eastAsia="Arial" w:hAnsi="Arial"/>
          <w:sz w:val="18"/>
          <w:szCs w:val="18"/>
          <w:color w:val="auto"/>
        </w:rPr>
      </w:pPr>
    </w:p>
    <w:p>
      <w:pPr>
        <w:ind w:right="40" w:firstLine="419"/>
        <w:spacing w:after="0" w:line="272" w:lineRule="auto"/>
        <w:tabs>
          <w:tab w:leader="none" w:pos="693"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communications hereunder shall be in writing and effective only upon receipt and if to the Underwriters shall be delivered,</w:t>
      </w:r>
      <w:r>
        <w:rPr>
          <w:rFonts w:ascii="Arial" w:cs="Arial" w:eastAsia="Arial" w:hAnsi="Arial"/>
          <w:sz w:val="17"/>
          <w:szCs w:val="17"/>
          <w:i w:val="1"/>
          <w:iCs w:val="1"/>
          <w:color w:val="auto"/>
        </w:rPr>
        <w:t xml:space="preserve"> </w:t>
      </w:r>
      <w:r>
        <w:rPr>
          <w:rFonts w:ascii="Arial" w:cs="Arial" w:eastAsia="Arial" w:hAnsi="Arial"/>
          <w:sz w:val="17"/>
          <w:szCs w:val="17"/>
          <w:color w:val="auto"/>
        </w:rPr>
        <w:t>mailed or sent to Morgan Stanley in care of Morgan Stanley &amp; Co. LLC, 1585 Broadway, New York, New York 10036, Attention: Equity Syndicate Desk; SVB Securities in care of SVB Securities LLC, 1301 Avenue of Americas, 12th Floor, New York, New York 10019, Attention: Stuart Nayman; Stifel in care of Stifel, Nicolaus &amp; Company, Incorporated One South Street, 15th Floor Baltimore, Maryland 21202, Attention: Syndicate Department; BMO Capital Markets in care of BMO Capital Markets Corp., 151 W 42nd Street, New York, New York 10036, Attention: Equity Capital Markets, with a copy to the Legal Department; and if to the Company shall be delivered, mailed or sent to 321 Arsenal Street, Suite 101, Watertown, Massachusetts 02472, Attention: Chief Executive Officer.</w:t>
      </w:r>
    </w:p>
    <w:p>
      <w:pPr>
        <w:spacing w:after="0" w:line="20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Disc Medicine, Inc.</w:t>
      </w:r>
    </w:p>
    <w:p>
      <w:pPr>
        <w:spacing w:after="0" w:line="23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John Quisel</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  President and Chief Executive</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Officer</w:t>
      </w:r>
    </w:p>
    <w:p>
      <w:pPr>
        <w:spacing w:after="0" w:line="15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80"/>
          </w:cols>
          <w:pgMar w:left="880" w:top="490"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 hereto.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Chirag D. Surti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SVB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Dan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Stifel, Nicolaus &amp; Company,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 Clausman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BMO Capital Markets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Marc Ogborn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19"/>
          </w:cols>
          <w:pgMar w:left="440" w:top="490"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760" w:type="dxa"/>
            <w:vAlign w:val="bottom"/>
            <w:gridSpan w:val="2"/>
          </w:tcPr>
          <w:p>
            <w:pPr>
              <w:jc w:val="center"/>
              <w:ind w:left="3633"/>
              <w:spacing w:after="0"/>
              <w:rPr>
                <w:sz w:val="20"/>
                <w:szCs w:val="20"/>
                <w:color w:val="auto"/>
              </w:rPr>
            </w:pPr>
            <w:r>
              <w:rPr>
                <w:rFonts w:ascii="Arial" w:cs="Arial" w:eastAsia="Arial" w:hAnsi="Arial"/>
                <w:sz w:val="14"/>
                <w:szCs w:val="14"/>
                <w:b w:val="1"/>
                <w:bCs w:val="1"/>
                <w:color w:val="auto"/>
                <w:w w:val="95"/>
              </w:rPr>
              <w:t>Number of Firm</w:t>
            </w:r>
          </w:p>
        </w:tc>
        <w:tc>
          <w:tcPr>
            <w:tcW w:w="620" w:type="dxa"/>
            <w:vAlign w:val="bottom"/>
          </w:tcPr>
          <w:p>
            <w:pPr>
              <w:spacing w:after="0"/>
              <w:rPr>
                <w:sz w:val="24"/>
                <w:szCs w:val="24"/>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3440" w:type="dxa"/>
            <w:vAlign w:val="bottom"/>
            <w:vMerge w:val="restart"/>
          </w:tcPr>
          <w:p>
            <w:pPr>
              <w:spacing w:after="0"/>
              <w:rPr>
                <w:sz w:val="12"/>
                <w:szCs w:val="12"/>
                <w:color w:val="auto"/>
              </w:rPr>
            </w:pPr>
          </w:p>
        </w:tc>
        <w:tc>
          <w:tcPr>
            <w:tcW w:w="37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To Be</w:t>
            </w:r>
          </w:p>
        </w:tc>
        <w:tc>
          <w:tcPr>
            <w:tcW w:w="2040" w:type="dxa"/>
            <w:vAlign w:val="bottom"/>
            <w:gridSpan w:val="3"/>
          </w:tcPr>
          <w:p>
            <w:pPr>
              <w:jc w:val="center"/>
              <w:ind w:left="473"/>
              <w:spacing w:after="0" w:line="149" w:lineRule="exact"/>
              <w:rPr>
                <w:sz w:val="20"/>
                <w:szCs w:val="20"/>
                <w:color w:val="auto"/>
              </w:rPr>
            </w:pPr>
            <w:r>
              <w:rPr>
                <w:rFonts w:ascii="Arial" w:cs="Arial" w:eastAsia="Arial" w:hAnsi="Arial"/>
                <w:sz w:val="14"/>
                <w:szCs w:val="14"/>
                <w:b w:val="1"/>
                <w:bCs w:val="1"/>
                <w:color w:val="auto"/>
                <w:w w:val="95"/>
              </w:rPr>
              <w:t>Pre-Funded Warrants</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37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6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Be Purchased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986,449</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SVB Securities LLC</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726,857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57,143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415,347</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BMO Capital Markets Corp.</w:t>
            </w:r>
          </w:p>
        </w:tc>
        <w:tc>
          <w:tcPr>
            <w:tcW w:w="4760" w:type="dxa"/>
            <w:vAlign w:val="bottom"/>
            <w:gridSpan w:val="2"/>
          </w:tcPr>
          <w:p>
            <w:pPr>
              <w:jc w:val="right"/>
              <w:spacing w:after="0"/>
              <w:rPr>
                <w:sz w:val="20"/>
                <w:szCs w:val="20"/>
                <w:color w:val="auto"/>
              </w:rPr>
            </w:pPr>
            <w:r>
              <w:rPr>
                <w:rFonts w:ascii="Arial" w:cs="Arial" w:eastAsia="Arial" w:hAnsi="Arial"/>
                <w:sz w:val="18"/>
                <w:szCs w:val="18"/>
                <w:color w:val="auto"/>
              </w:rPr>
              <w:t>259,592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Wedbush Securities Inc.</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207,674</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2,595,919</w:t>
            </w:r>
          </w:p>
        </w:tc>
        <w:tc>
          <w:tcPr>
            <w:tcW w:w="6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760" w:type="dxa"/>
            <w:vAlign w:val="bottom"/>
            <w:gridSpan w:val="2"/>
          </w:tcPr>
          <w:p>
            <w:pPr>
              <w:jc w:val="right"/>
              <w:ind w:right="3302"/>
              <w:spacing w:after="0"/>
              <w:rPr>
                <w:sz w:val="20"/>
                <w:szCs w:val="20"/>
                <w:color w:val="auto"/>
              </w:rPr>
            </w:pPr>
            <w:r>
              <w:rPr>
                <w:rFonts w:ascii="Arial" w:cs="Arial" w:eastAsia="Arial" w:hAnsi="Arial"/>
                <w:sz w:val="18"/>
                <w:szCs w:val="18"/>
                <w:color w:val="auto"/>
              </w:rPr>
              <w:t>I-1</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8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II</w:t>
      </w:r>
    </w:p>
    <w:p>
      <w:pPr>
        <w:spacing w:after="0" w:line="200" w:lineRule="exact"/>
        <w:rPr>
          <w:sz w:val="20"/>
          <w:szCs w:val="20"/>
          <w:color w:val="auto"/>
        </w:rPr>
      </w:pPr>
    </w:p>
    <w:p>
      <w:pPr>
        <w:spacing w:after="0" w:line="24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Time of Sale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Prospectus dated January 24, 2023 relating to the Shelf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 Supplement dated June 12,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to the public: $49.00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offered by the Company: 2,595,919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Underwriters’ option to purchase additional shares from the Company: 420,000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per pre-funded warrant to the public: $48.9999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Number of pre-funded warrants offered by the Company: 204,081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20"/>
          </w:cols>
          <w:pgMar w:left="440" w:top="486"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_____________,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ectPr>
          <w:pgSz w:w="11900" w:h="16838" w:orient="portrait"/>
          <w:cols w:equalWidth="0" w:num="1">
            <w:col w:w="11020"/>
          </w:cols>
          <w:pgMar w:left="440" w:top="486" w:right="43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10036</w:t>
      </w:r>
    </w:p>
    <w:p>
      <w:pPr>
        <w:spacing w:after="0" w:line="139" w:lineRule="exact"/>
        <w:rPr>
          <w:sz w:val="20"/>
          <w:szCs w:val="20"/>
          <w:color w:val="auto"/>
        </w:rPr>
      </w:pPr>
    </w:p>
    <w:p>
      <w:pPr>
        <w:sectPr>
          <w:pgSz w:w="11900" w:h="16838" w:orient="portrait"/>
          <w:cols w:equalWidth="0" w:num="2">
            <w:col w:w="220" w:space="220"/>
            <w:col w:w="10580"/>
          </w:cols>
          <w:pgMar w:left="440" w:top="486"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SVB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 State Street, 40</w:t>
      </w:r>
      <w:r>
        <w:rPr>
          <w:rFonts w:ascii="Arial" w:cs="Arial" w:eastAsia="Arial" w:hAnsi="Arial"/>
          <w:sz w:val="13"/>
          <w:szCs w:val="13"/>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02109</w:t>
      </w:r>
    </w:p>
    <w:p>
      <w:pPr>
        <w:spacing w:after="0" w:line="151" w:lineRule="exact"/>
        <w:rPr>
          <w:sz w:val="20"/>
          <w:szCs w:val="20"/>
          <w:color w:val="auto"/>
        </w:rPr>
      </w:pPr>
    </w:p>
    <w:p>
      <w:pPr>
        <w:sectPr>
          <w:pgSz w:w="11900" w:h="16838" w:orient="portrait"/>
          <w:cols w:equalWidth="0" w:num="2">
            <w:col w:w="220" w:space="220"/>
            <w:col w:w="10580"/>
          </w:cols>
          <w:pgMar w:left="440" w:top="486"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Stifel, Nicolaus &amp; Company, Incorporated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11</w:t>
      </w:r>
      <w:r>
        <w:rPr>
          <w:rFonts w:ascii="Arial" w:cs="Arial" w:eastAsia="Arial" w:hAnsi="Arial"/>
          <w:sz w:val="13"/>
          <w:szCs w:val="13"/>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116" w:lineRule="exact"/>
        <w:rPr>
          <w:sz w:val="20"/>
          <w:szCs w:val="20"/>
          <w:color w:val="auto"/>
        </w:rPr>
      </w:pPr>
    </w:p>
    <w:p>
      <w:pPr>
        <w:sectPr>
          <w:pgSz w:w="11900" w:h="16838" w:orient="portrait"/>
          <w:cols w:equalWidth="0" w:num="2">
            <w:col w:w="220" w:space="220"/>
            <w:col w:w="10580"/>
          </w:cols>
          <w:pgMar w:left="440" w:top="486"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BMO Capital Markets Corp.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151 W 42nd Street, 32nd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0" w:lineRule="exact"/>
        <w:rPr>
          <w:sz w:val="20"/>
          <w:szCs w:val="20"/>
          <w:color w:val="auto"/>
        </w:rPr>
      </w:pPr>
    </w:p>
    <w:p>
      <w:pPr>
        <w:sectPr>
          <w:pgSz w:w="11900" w:h="16838" w:orient="portrait"/>
          <w:cols w:equalWidth="0" w:num="2">
            <w:col w:w="220" w:space="220"/>
            <w:col w:w="10580"/>
          </w:cols>
          <w:pgMar w:left="440" w:top="486"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undersigned understands that Morgan Stanley &amp; Co. LLC, SVB Securities LLC, Stifel, Nicolaus &amp; Company, Incorporated and BMO Capital Markets Corp. (collectively, the “</w:t>
      </w:r>
      <w:r>
        <w:rPr>
          <w:rFonts w:ascii="Arial" w:cs="Arial" w:eastAsia="Arial" w:hAnsi="Arial"/>
          <w:sz w:val="18"/>
          <w:szCs w:val="18"/>
          <w:b w:val="1"/>
          <w:bCs w:val="1"/>
          <w:color w:val="auto"/>
        </w:rPr>
        <w:t>Representatives</w:t>
      </w:r>
      <w:r>
        <w:rPr>
          <w:rFonts w:ascii="Arial" w:cs="Arial" w:eastAsia="Arial" w:hAnsi="Arial"/>
          <w:sz w:val="18"/>
          <w:szCs w:val="18"/>
          <w:color w:val="auto"/>
        </w:rPr>
        <w:t>”) propose to enter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with Disc Medicine,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b w:val="1"/>
          <w:bCs w:val="1"/>
          <w:color w:val="auto"/>
        </w:rPr>
        <w:t>Public Offering</w:t>
      </w:r>
      <w:r>
        <w:rPr>
          <w:rFonts w:ascii="Arial" w:cs="Arial" w:eastAsia="Arial" w:hAnsi="Arial"/>
          <w:sz w:val="18"/>
          <w:szCs w:val="18"/>
          <w:color w:val="auto"/>
        </w:rPr>
        <w:t>”) by the several Underwriters, including the Representatives (the “</w:t>
      </w:r>
      <w:r>
        <w:rPr>
          <w:rFonts w:ascii="Arial" w:cs="Arial" w:eastAsia="Arial" w:hAnsi="Arial"/>
          <w:sz w:val="18"/>
          <w:szCs w:val="18"/>
          <w:b w:val="1"/>
          <w:bCs w:val="1"/>
          <w:color w:val="auto"/>
        </w:rPr>
        <w:t>Underwriters</w:t>
      </w:r>
      <w:r>
        <w:rPr>
          <w:rFonts w:ascii="Arial" w:cs="Arial" w:eastAsia="Arial" w:hAnsi="Arial"/>
          <w:sz w:val="18"/>
          <w:szCs w:val="18"/>
          <w:color w:val="auto"/>
        </w:rPr>
        <w:t>”), of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common stock, par value $0.0001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486" w:right="439" w:bottom="1440" w:gutter="0" w:footer="0" w:header="0"/>
          <w:type w:val="continuous"/>
        </w:sectPr>
      </w:pPr>
    </w:p>
    <w:bookmarkStart w:id="42" w:name="page43"/>
    <w:bookmarkEnd w:id="42"/>
    <w:p>
      <w:pPr>
        <w:jc w:val="center"/>
        <w:ind w:right="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To induce the Underwriters that may participate in the Public Offering to continue their efforts in connection with the Public Offering,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undersigned hereby agrees that, without the prior written consent of each of the Representatives on behalf of the Underwriters, it will not, and will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publicly disclose an intention to, during the period commencing on the date hereof and ending 90 days after the date of the final prospectus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Period</w:t>
      </w:r>
      <w:r>
        <w:rPr>
          <w:rFonts w:ascii="Arial" w:cs="Arial" w:eastAsia="Arial" w:hAnsi="Arial"/>
          <w:sz w:val="16"/>
          <w:szCs w:val="16"/>
          <w:color w:val="auto"/>
        </w:rPr>
        <w:t>”) relating to the Public Offering (the “</w:t>
      </w:r>
      <w:r>
        <w:rPr>
          <w:rFonts w:ascii="Arial" w:cs="Arial" w:eastAsia="Arial" w:hAnsi="Arial"/>
          <w:sz w:val="16"/>
          <w:szCs w:val="16"/>
          <w:b w:val="1"/>
          <w:bCs w:val="1"/>
          <w:color w:val="auto"/>
        </w:rPr>
        <w:t>Prospectus</w:t>
      </w:r>
      <w:r>
        <w:rPr>
          <w:rFonts w:ascii="Arial" w:cs="Arial" w:eastAsia="Arial" w:hAnsi="Arial"/>
          <w:sz w:val="16"/>
          <w:szCs w:val="16"/>
          <w:color w:val="auto"/>
        </w:rPr>
        <w:t>”), (1) offer, pledge, sell, contract to sell, sell any option or contract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any option or contract to sell, grant any option, right or warrant to purchase, lend, or otherwise transfer or dispose of, directly or indirectly,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beneficially owned (as such term is used in Rule 13d-3 of the Securities Exchange Act of 1934, as amended (the “</w:t>
      </w:r>
      <w:r>
        <w:rPr>
          <w:rFonts w:ascii="Arial" w:cs="Arial" w:eastAsia="Arial" w:hAnsi="Arial"/>
          <w:sz w:val="16"/>
          <w:szCs w:val="16"/>
          <w:b w:val="1"/>
          <w:bCs w:val="1"/>
          <w:color w:val="auto"/>
        </w:rPr>
        <w:t>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r>
        <w:rPr>
          <w:rFonts w:ascii="Arial" w:cs="Arial" w:eastAsia="Arial" w:hAnsi="Arial"/>
          <w:sz w:val="16"/>
          <w:szCs w:val="16"/>
          <w:color w:val="auto"/>
        </w:rPr>
        <w:t>”)), by the undersigned or any other securities so owned convertible into or exercisable or exchangeable for Common Stock or (2) enter into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swap or other arrangement that transfers to another, in whole or in part, any of the economic consequences of ownership of the Common Stock, whether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such transaction described in clause (1) or (2) above is to be settled by delivery of Common Stock or such other securities, in cash or otherwise.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foregoing sentence shall not apply to:</w:t>
      </w:r>
    </w:p>
    <w:p>
      <w:pPr>
        <w:spacing w:after="0" w:line="211" w:lineRule="exact"/>
        <w:rPr>
          <w:sz w:val="20"/>
          <w:szCs w:val="20"/>
          <w:color w:val="auto"/>
        </w:rPr>
      </w:pPr>
    </w:p>
    <w:p>
      <w:pPr>
        <w:ind w:right="340" w:firstLine="436"/>
        <w:spacing w:after="0" w:line="311" w:lineRule="auto"/>
        <w:tabs>
          <w:tab w:leader="none" w:pos="6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transactions relating to shares of Common Stock or other securities acquired in the Public Offering or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filing under Section 16(a) of the Exchange Act shall be required or shall be voluntarily made in connection with subsequent sales of Common Stock or other securities acquired in the Public Offering or in such open market transactions;</w:t>
      </w:r>
    </w:p>
    <w:p>
      <w:pPr>
        <w:spacing w:after="0" w:line="148" w:lineRule="exact"/>
        <w:rPr>
          <w:rFonts w:ascii="Arial" w:cs="Arial" w:eastAsia="Arial" w:hAnsi="Arial"/>
          <w:sz w:val="16"/>
          <w:szCs w:val="16"/>
          <w:color w:val="auto"/>
        </w:rPr>
      </w:pPr>
    </w:p>
    <w:p>
      <w:pPr>
        <w:ind w:right="120" w:firstLine="436"/>
        <w:spacing w:after="0" w:line="277"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as a bona fide gift or to a charitable organization or educational institution in a transfer not involving a disposition for value;</w:t>
      </w:r>
    </w:p>
    <w:p>
      <w:pPr>
        <w:spacing w:after="0" w:line="170" w:lineRule="exact"/>
        <w:rPr>
          <w:rFonts w:ascii="Arial" w:cs="Arial" w:eastAsia="Arial" w:hAnsi="Arial"/>
          <w:sz w:val="18"/>
          <w:szCs w:val="18"/>
          <w:color w:val="auto"/>
        </w:rPr>
      </w:pPr>
    </w:p>
    <w:p>
      <w:pPr>
        <w:ind w:right="80" w:firstLine="436"/>
        <w:spacing w:after="0" w:line="263"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w:t>
      </w:r>
    </w:p>
    <w:p>
      <w:pPr>
        <w:spacing w:after="0" w:line="183" w:lineRule="exact"/>
        <w:rPr>
          <w:rFonts w:ascii="Arial" w:cs="Arial" w:eastAsia="Arial" w:hAnsi="Arial"/>
          <w:sz w:val="18"/>
          <w:szCs w:val="18"/>
          <w:color w:val="auto"/>
        </w:rPr>
      </w:pPr>
    </w:p>
    <w:p>
      <w:pPr>
        <w:ind w:firstLine="436"/>
        <w:spacing w:after="0" w:line="286" w:lineRule="auto"/>
        <w:tabs>
          <w:tab w:leader="none" w:pos="695"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distributions of shares of Common Stock or any security convertible into Common Stock to general or limited partners, members, beneficiaries or other equityholders of the undersigned, its direct or indirect affiliates (as defined in Rule 405 promulgated under the Securities Act of 1933, as amended) or to an investment fund or other entity that controls or manages, or is under common control with, the undersigned;</w:t>
      </w:r>
    </w:p>
    <w:p>
      <w:pPr>
        <w:spacing w:after="0" w:line="165" w:lineRule="exact"/>
        <w:rPr>
          <w:rFonts w:ascii="Arial" w:cs="Arial" w:eastAsia="Arial" w:hAnsi="Arial"/>
          <w:sz w:val="17"/>
          <w:szCs w:val="17"/>
          <w:color w:val="auto"/>
        </w:rPr>
      </w:pPr>
    </w:p>
    <w:p>
      <w:pPr>
        <w:ind w:right="120" w:firstLine="436"/>
        <w:spacing w:after="0" w:line="259"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by operation of law pursuant to orders of a court or regulatory agency, in connection with a negotiated divorce settlement or pursuant to a qualified domestic relations order;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90" w:right="459" w:bottom="1440" w:gutter="0" w:footer="0" w:header="0"/>
        </w:sectPr>
      </w:pPr>
    </w:p>
    <w:bookmarkStart w:id="43" w:name="page44"/>
    <w:bookmarkEnd w:id="43"/>
    <w:p>
      <w:pPr>
        <w:ind w:left="4" w:right="100" w:firstLine="436"/>
        <w:spacing w:after="0" w:line="285" w:lineRule="auto"/>
        <w:tabs>
          <w:tab w:leader="none" w:pos="669" w:val="left"/>
        </w:tabs>
        <w:numPr>
          <w:ilvl w:val="1"/>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transfers or dispositions of shares of Common Stock or any security convertible into or exercisable or exchangeable for Common Stock to the Company pursuant to any contractual arrangement in effect on the date of this agreement and disclosed to the Underwriters in writing that provides for the repurchase of the undersigned’s Common Stock or other securities by the Company or in connection with the termination of the undersigned’s employment with or service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repurchase price for any such shares or securities shall not exceed the original purchase price (subject to appropriate adjustment in the event of any stock dividend, stock split, combination or other similar recapitalization) paid and</w:t>
      </w:r>
    </w:p>
    <w:p>
      <w:pPr>
        <w:spacing w:after="0" w:line="1" w:lineRule="exact"/>
        <w:rPr>
          <w:rFonts w:ascii="Arial" w:cs="Arial" w:eastAsia="Arial" w:hAnsi="Arial"/>
          <w:sz w:val="16"/>
          <w:szCs w:val="16"/>
          <w:color w:val="auto"/>
        </w:rPr>
      </w:pPr>
    </w:p>
    <w:p>
      <w:pPr>
        <w:ind w:left="4" w:right="460" w:hanging="4"/>
        <w:spacing w:after="0" w:line="260" w:lineRule="auto"/>
        <w:tabs>
          <w:tab w:leader="none" w:pos="26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filing under Section 16(a) of the Exchange Act reporting a reduction in beneficial ownership of shares of Common Stock shall indicate by footnote disclosure or otherwise the nature of the transfer or disposition);</w:t>
      </w:r>
    </w:p>
    <w:p>
      <w:pPr>
        <w:spacing w:after="0" w:line="185" w:lineRule="exact"/>
        <w:rPr>
          <w:rFonts w:ascii="Arial" w:cs="Arial" w:eastAsia="Arial" w:hAnsi="Arial"/>
          <w:sz w:val="18"/>
          <w:szCs w:val="18"/>
          <w:color w:val="auto"/>
        </w:rPr>
      </w:pPr>
    </w:p>
    <w:p>
      <w:pPr>
        <w:ind w:left="4" w:firstLine="436"/>
        <w:spacing w:after="0" w:line="269" w:lineRule="auto"/>
        <w:tabs>
          <w:tab w:leader="none" w:pos="699"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transfers or dispositions of shares of Common Stock or other securities to the Company in connection with the conversion of any convertible security into, or the exercise of any option or warrant for, shares of Common Stock (including by way of “net” or “cashless” exercise solely to cover withholding tax obligations in connection with such exercise or transfer to the Company for the payment of taxes as a result of such exercise);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185" w:lineRule="exact"/>
        <w:rPr>
          <w:rFonts w:ascii="Arial" w:cs="Arial" w:eastAsia="Arial" w:hAnsi="Arial"/>
          <w:sz w:val="17"/>
          <w:szCs w:val="17"/>
          <w:color w:val="auto"/>
        </w:rPr>
      </w:pPr>
    </w:p>
    <w:p>
      <w:pPr>
        <w:ind w:left="4" w:right="40" w:firstLine="436"/>
        <w:spacing w:after="0" w:line="275" w:lineRule="auto"/>
        <w:tabs>
          <w:tab w:leader="none" w:pos="699"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the establishment of a trading plan on behalf of a stockholder, officer or director of the Company pursuant to Rule 10b5-1 under the Exchange Act for the transfer of shares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or</w:t>
      </w:r>
    </w:p>
    <w:p>
      <w:pPr>
        <w:spacing w:after="0" w:line="176" w:lineRule="exact"/>
        <w:rPr>
          <w:rFonts w:ascii="Arial" w:cs="Arial" w:eastAsia="Arial" w:hAnsi="Arial"/>
          <w:sz w:val="17"/>
          <w:szCs w:val="17"/>
          <w:color w:val="auto"/>
        </w:rPr>
      </w:pPr>
    </w:p>
    <w:p>
      <w:pPr>
        <w:ind w:left="4" w:right="60" w:firstLine="436"/>
        <w:spacing w:after="0" w:line="271" w:lineRule="auto"/>
        <w:tabs>
          <w:tab w:leader="none" w:pos="659" w:val="left"/>
        </w:tabs>
        <w:numPr>
          <w:ilvl w:val="1"/>
          <w:numId w:val="47"/>
        </w:numPr>
        <w:rPr>
          <w:rFonts w:ascii="Arial" w:cs="Arial" w:eastAsia="Arial" w:hAnsi="Arial"/>
          <w:sz w:val="17"/>
          <w:szCs w:val="17"/>
          <w:color w:val="auto"/>
        </w:rPr>
      </w:pPr>
      <w:r>
        <w:rPr>
          <w:rFonts w:ascii="Arial" w:cs="Arial" w:eastAsia="Arial" w:hAnsi="Arial"/>
          <w:sz w:val="17"/>
          <w:szCs w:val="17"/>
          <w:color w:val="auto"/>
        </w:rPr>
        <w:t xml:space="preserve">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and occurring after the closing of the Public Offering,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such change of control transaction is not completed, the shares of Common Stock (or any security convertible into or exercisable or exchangeable for Common Stock) owned by the undersigned shall remain subject to the restrictions contained in this agreement and title to the undersigned’s shares shall remain with the undersigned;</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490" w:right="499" w:bottom="1440" w:gutter="0" w:footer="0" w:header="0"/>
        </w:sectPr>
      </w:pPr>
    </w:p>
    <w:bookmarkStart w:id="44" w:name="page45"/>
    <w:bookmarkEnd w:id="44"/>
    <w:p>
      <w:pPr>
        <w:ind w:right="20" w:firstLine="440"/>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provided </w:t>
      </w:r>
      <w:r>
        <w:rPr>
          <w:rFonts w:ascii="Arial" w:cs="Arial" w:eastAsia="Arial" w:hAnsi="Arial"/>
          <w:sz w:val="18"/>
          <w:szCs w:val="18"/>
          <w:color w:val="auto"/>
        </w:rPr>
        <w:t>that in the case of any transfer or distribution pursuant to clause (b), (c), (d) or (e), (i) each transferee, donee or distributee shall sign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a lock-up agreement substantially in the form of this agreement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with respect to the Company under the Exchange Act, in which case any such filing will indicate by footnote disclosure or otherwise the nature of the transfer or disposition).</w:t>
      </w:r>
    </w:p>
    <w:p>
      <w:pPr>
        <w:spacing w:after="0" w:line="192"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For purposes of this agreement, “immediate family” shall mean any relationship by blood, marriage, domestic partnership or adoption, not more remote than first cousin.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 In addition, the undersigned agrees that, without the prior written consent of each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6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undersigned acknowledges and agrees that the Underwriters have not provided any recommendation or investment advice nor have the Underwriters solicited any action from the undersigned with respect to the Public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at the price determined in the Public Offering, and nothing set forth in such disclosures or documentation is intended to suggest that any Underwriter is making such a recommendation. The undersigned further acknowledges and agrees that none of the Underwriters has made any recommendation or provided any investment or other advice to the undersigned with respect to this agreement or the subject matter hereof, and the undersigned has consulted its own legal, accounting, financial, regulatory, tax and other advisors with respect to this agreement and the subject matter hereof to the extent the undersigned has deemed appropriate.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490" w:right="479" w:bottom="1440" w:gutter="0" w:footer="0" w:header="0"/>
        </w:sectPr>
      </w:pPr>
    </w:p>
    <w:bookmarkStart w:id="45" w:name="page46"/>
    <w:bookmarkEnd w:id="45"/>
    <w:p>
      <w:pPr>
        <w:ind w:left="4" w:right="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46"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6"/>
          <w:szCs w:val="16"/>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the execution of the Underwriting Agreement or</w:t>
      </w:r>
    </w:p>
    <w:p>
      <w:pPr>
        <w:spacing w:after="0" w:line="1" w:lineRule="exact"/>
        <w:rPr>
          <w:sz w:val="20"/>
          <w:szCs w:val="20"/>
          <w:color w:val="auto"/>
        </w:rPr>
      </w:pPr>
    </w:p>
    <w:p>
      <w:pPr>
        <w:ind w:left="4" w:hanging="4"/>
        <w:spacing w:after="0" w:line="255" w:lineRule="auto"/>
        <w:tabs>
          <w:tab w:leader="none" w:pos="30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Underwriting Agreement is not executed on or before July 7, 2023, then, in each case, this agreement shall automatically, and without any action on the part of any other party, be of no further force and effect, and the undersigned shall be automatically released from all obligations under this agreement.</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w:t>
      </w:r>
    </w:p>
    <w:p>
      <w:pPr>
        <w:spacing w:after="0" w:line="252"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288925</wp:posOffset>
            </wp:positionV>
            <wp:extent cx="27946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288925</wp:posOffset>
            </wp:positionV>
            <wp:extent cx="27946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4"/>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490" w:right="479" w:bottom="1440" w:gutter="0" w:footer="0" w:header="0"/>
        </w:sectPr>
      </w:pPr>
    </w:p>
    <w:bookmarkStart w:id="46" w:name="page47"/>
    <w:bookmarkEnd w:id="46"/>
    <w:p>
      <w:pPr>
        <w:ind w:left="10184"/>
        <w:spacing w:after="0"/>
        <w:rPr>
          <w:sz w:val="20"/>
          <w:szCs w:val="20"/>
          <w:color w:val="auto"/>
        </w:rPr>
      </w:pPr>
      <w:r>
        <w:rPr>
          <w:rFonts w:ascii="Arial" w:cs="Arial" w:eastAsia="Arial" w:hAnsi="Arial"/>
          <w:sz w:val="16"/>
          <w:szCs w:val="16"/>
          <w:b w:val="1"/>
          <w:bCs w:val="1"/>
          <w:color w:val="auto"/>
        </w:rPr>
        <w:t>Exhibit 4.1</w:t>
      </w:r>
    </w:p>
    <w:p>
      <w:pPr>
        <w:spacing w:after="0" w:line="200" w:lineRule="exact"/>
        <w:rPr>
          <w:sz w:val="20"/>
          <w:szCs w:val="20"/>
          <w:color w:val="auto"/>
        </w:rPr>
      </w:pPr>
    </w:p>
    <w:p>
      <w:pPr>
        <w:spacing w:after="0" w:line="264"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DISC MEDICINE, INC.</w:t>
      </w:r>
    </w:p>
    <w:p>
      <w:pPr>
        <w:spacing w:after="0" w:line="117" w:lineRule="exact"/>
        <w:rPr>
          <w:sz w:val="20"/>
          <w:szCs w:val="20"/>
          <w:color w:val="auto"/>
        </w:rPr>
      </w:pPr>
    </w:p>
    <w:p>
      <w:pPr>
        <w:jc w:val="center"/>
        <w:ind w:right="16"/>
        <w:spacing w:after="0"/>
        <w:rPr>
          <w:sz w:val="20"/>
          <w:szCs w:val="20"/>
          <w:color w:val="auto"/>
        </w:rPr>
      </w:pPr>
      <w:r>
        <w:rPr>
          <w:rFonts w:ascii="Arial" w:cs="Arial" w:eastAsia="Arial" w:hAnsi="Arial"/>
          <w:sz w:val="17"/>
          <w:szCs w:val="17"/>
          <w:b w:val="1"/>
          <w:bCs w:val="1"/>
          <w:color w:val="auto"/>
        </w:rPr>
        <w:t>FORM OF PRE-FUNDED WARRANT TO PURCHASE COMMON STOCK</w:t>
      </w:r>
    </w:p>
    <w:p>
      <w:pPr>
        <w:sectPr>
          <w:pgSz w:w="11900" w:h="16838" w:orient="portrait"/>
          <w:cols w:equalWidth="0" w:num="1">
            <w:col w:w="11024"/>
          </w:cols>
          <w:pgMar w:left="436" w:top="121" w:right="439" w:bottom="1440" w:gutter="0" w:footer="0" w:header="0"/>
        </w:sectPr>
      </w:pPr>
    </w:p>
    <w:p>
      <w:pPr>
        <w:spacing w:after="0" w:line="268" w:lineRule="exact"/>
        <w:rPr>
          <w:sz w:val="20"/>
          <w:szCs w:val="20"/>
          <w:color w:val="auto"/>
        </w:rPr>
      </w:pPr>
    </w:p>
    <w:p>
      <w:pPr>
        <w:ind w:left="4"/>
        <w:spacing w:after="0"/>
        <w:rPr>
          <w:sz w:val="20"/>
          <w:szCs w:val="20"/>
          <w:color w:val="auto"/>
        </w:rPr>
      </w:pPr>
      <w:r>
        <w:rPr>
          <w:rFonts w:ascii="Arial" w:cs="Arial" w:eastAsia="Arial" w:hAnsi="Arial"/>
          <w:sz w:val="16"/>
          <w:szCs w:val="16"/>
          <w:color w:val="auto"/>
        </w:rPr>
        <w:t>Warrant No. [</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Number of Shares: [</w:t>
        <w:tab/>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(subject to adjustment)</w:t>
      </w:r>
    </w:p>
    <w:p>
      <w:pPr>
        <w:spacing w:after="0" w:line="126" w:lineRule="exact"/>
        <w:rPr>
          <w:sz w:val="20"/>
          <w:szCs w:val="20"/>
          <w:color w:val="auto"/>
        </w:rPr>
      </w:pPr>
    </w:p>
    <w:p>
      <w:pPr>
        <w:sectPr>
          <w:pgSz w:w="11900" w:h="16838" w:orient="portrait"/>
          <w:cols w:equalWidth="0" w:num="3">
            <w:col w:w="984" w:space="180"/>
            <w:col w:w="3840" w:space="720"/>
            <w:col w:w="5300"/>
          </w:cols>
          <w:pgMar w:left="436" w:top="121" w:right="439" w:bottom="1440" w:gutter="0" w:footer="0" w:header="0"/>
          <w:type w:val="continuous"/>
        </w:sectPr>
      </w:pPr>
    </w:p>
    <w:p>
      <w:pPr>
        <w:ind w:left="5724"/>
        <w:spacing w:after="0"/>
        <w:rPr>
          <w:sz w:val="20"/>
          <w:szCs w:val="20"/>
          <w:color w:val="auto"/>
        </w:rPr>
      </w:pPr>
      <w:r>
        <w:rPr>
          <w:rFonts w:ascii="Arial" w:cs="Arial" w:eastAsia="Arial" w:hAnsi="Arial"/>
          <w:sz w:val="16"/>
          <w:szCs w:val="16"/>
          <w:color w:val="auto"/>
        </w:rPr>
        <w:t>Original Issue Date: June 16, 2023</w:t>
      </w:r>
    </w:p>
    <w:p>
      <w:pPr>
        <w:sectPr>
          <w:pgSz w:w="11900" w:h="16838" w:orient="portrait"/>
          <w:cols w:equalWidth="0" w:num="1">
            <w:col w:w="11024"/>
          </w:cols>
          <w:pgMar w:left="436" w:top="121" w:right="439" w:bottom="1440" w:gutter="0" w:footer="0" w:header="0"/>
          <w:type w:val="continuous"/>
        </w:sect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6"/>
          <w:szCs w:val="16"/>
          <w:color w:val="auto"/>
        </w:rPr>
        <w:t>Disc Medicine,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certifies that, for good and valuable consideration, the receipt and sufficiency of</w:t>
      </w:r>
    </w:p>
    <w:p>
      <w:pPr>
        <w:spacing w:after="0" w:line="46" w:lineRule="exact"/>
        <w:rPr>
          <w:sz w:val="20"/>
          <w:szCs w:val="20"/>
          <w:color w:val="auto"/>
        </w:rPr>
      </w:pPr>
    </w:p>
    <w:p>
      <w:pPr>
        <w:ind w:left="4"/>
        <w:spacing w:after="0"/>
        <w:tabs>
          <w:tab w:leader="none" w:pos="3164" w:val="left"/>
        </w:tabs>
        <w:rPr>
          <w:sz w:val="20"/>
          <w:szCs w:val="20"/>
          <w:color w:val="auto"/>
        </w:rPr>
      </w:pPr>
      <w:r>
        <w:rPr>
          <w:rFonts w:ascii="Arial" w:cs="Arial" w:eastAsia="Arial" w:hAnsi="Arial"/>
          <w:sz w:val="18"/>
          <w:szCs w:val="18"/>
          <w:color w:val="auto"/>
        </w:rPr>
        <w:t>which are hereby acknowledged, [</w:t>
      </w:r>
      <w:r>
        <w:rPr>
          <w:sz w:val="20"/>
          <w:szCs w:val="20"/>
          <w:color w:val="auto"/>
        </w:rPr>
        <w:tab/>
      </w:r>
      <w:r>
        <w:rPr>
          <w:rFonts w:ascii="Arial" w:cs="Arial" w:eastAsia="Arial" w:hAnsi="Arial"/>
          <w:sz w:val="16"/>
          <w:szCs w:val="16"/>
          <w:color w:val="auto"/>
        </w:rPr>
        <w:t>], or its permitted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to purchase from the Company up to a total of</w:t>
      </w:r>
    </w:p>
    <w:p>
      <w:pPr>
        <w:spacing w:after="0" w:line="9" w:lineRule="exact"/>
        <w:rPr>
          <w:sz w:val="20"/>
          <w:szCs w:val="20"/>
          <w:color w:val="auto"/>
        </w:rPr>
      </w:pPr>
    </w:p>
    <w:p>
      <w:pPr>
        <w:ind w:left="4" w:right="120" w:hanging="4"/>
        <w:spacing w:after="0" w:line="273" w:lineRule="auto"/>
        <w:tabs>
          <w:tab w:leader="none" w:pos="784" w:val="left"/>
        </w:tabs>
        <w:numPr>
          <w:ilvl w:val="0"/>
          <w:numId w:val="49"/>
        </w:numPr>
        <w:rPr>
          <w:rFonts w:ascii="Arial" w:cs="Arial" w:eastAsia="Arial" w:hAnsi="Arial"/>
          <w:sz w:val="17"/>
          <w:szCs w:val="17"/>
          <w:color w:val="auto"/>
        </w:rPr>
      </w:pPr>
      <w:r>
        <w:rPr>
          <w:rFonts w:ascii="Arial" w:cs="Arial" w:eastAsia="Arial" w:hAnsi="Arial"/>
          <w:sz w:val="17"/>
          <w:szCs w:val="17"/>
          <w:color w:val="auto"/>
        </w:rPr>
        <w:t>] shares of common stock, $0.0001 par value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 (each such share, a “</w:t>
      </w:r>
      <w:r>
        <w:rPr>
          <w:rFonts w:ascii="Arial" w:cs="Arial" w:eastAsia="Arial" w:hAnsi="Arial"/>
          <w:sz w:val="17"/>
          <w:szCs w:val="17"/>
          <w:u w:val="single" w:color="auto"/>
          <w:color w:val="auto"/>
        </w:rPr>
        <w:t>Warrant Share</w:t>
      </w:r>
      <w:r>
        <w:rPr>
          <w:rFonts w:ascii="Arial" w:cs="Arial" w:eastAsia="Arial" w:hAnsi="Arial"/>
          <w:sz w:val="17"/>
          <w:szCs w:val="17"/>
          <w:color w:val="auto"/>
        </w:rPr>
        <w:t>” and all such shares, the “</w:t>
      </w:r>
      <w:r>
        <w:rPr>
          <w:rFonts w:ascii="Arial" w:cs="Arial" w:eastAsia="Arial" w:hAnsi="Arial"/>
          <w:sz w:val="17"/>
          <w:szCs w:val="17"/>
          <w:u w:val="single" w:color="auto"/>
          <w:color w:val="auto"/>
        </w:rPr>
        <w:t>Warrant Shares</w:t>
      </w:r>
      <w:r>
        <w:rPr>
          <w:rFonts w:ascii="Arial" w:cs="Arial" w:eastAsia="Arial" w:hAnsi="Arial"/>
          <w:sz w:val="17"/>
          <w:szCs w:val="17"/>
          <w:color w:val="auto"/>
        </w:rPr>
        <w:t>”) at an exercise price per share equal to $0.0001 per share (as adjusted from time to time as provided in Section 9 herein, the “</w:t>
      </w:r>
      <w:r>
        <w:rPr>
          <w:rFonts w:ascii="Arial" w:cs="Arial" w:eastAsia="Arial" w:hAnsi="Arial"/>
          <w:sz w:val="17"/>
          <w:szCs w:val="17"/>
          <w:u w:val="single" w:color="auto"/>
          <w:color w:val="auto"/>
        </w:rPr>
        <w:t>Exercise Price</w:t>
      </w:r>
      <w:r>
        <w:rPr>
          <w:rFonts w:ascii="Arial" w:cs="Arial" w:eastAsia="Arial" w:hAnsi="Arial"/>
          <w:sz w:val="17"/>
          <w:szCs w:val="17"/>
          <w:color w:val="auto"/>
        </w:rPr>
        <w:t>”), upon surrender of this Warrant to Purchase Common Stock (including any Warrants to Purchase Common Stock issued in exchange, transfer or replacement hereof, the “</w:t>
      </w:r>
      <w:r>
        <w:rPr>
          <w:rFonts w:ascii="Arial" w:cs="Arial" w:eastAsia="Arial" w:hAnsi="Arial"/>
          <w:sz w:val="17"/>
          <w:szCs w:val="17"/>
          <w:u w:val="single" w:color="auto"/>
          <w:color w:val="auto"/>
        </w:rPr>
        <w:t>Warrant</w:t>
      </w:r>
      <w:r>
        <w:rPr>
          <w:rFonts w:ascii="Arial" w:cs="Arial" w:eastAsia="Arial" w:hAnsi="Arial"/>
          <w:sz w:val="17"/>
          <w:szCs w:val="17"/>
          <w:color w:val="auto"/>
        </w:rPr>
        <w:t>”), and subject to the following terms and conditions: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Warrant, the following terms shall have the following meanings:</w:t>
      </w:r>
    </w:p>
    <w:p>
      <w:pPr>
        <w:spacing w:after="0" w:line="117" w:lineRule="exact"/>
        <w:rPr>
          <w:sz w:val="20"/>
          <w:szCs w:val="20"/>
          <w:color w:val="auto"/>
        </w:rPr>
      </w:pPr>
    </w:p>
    <w:p>
      <w:pPr>
        <w:ind w:left="4" w:right="120" w:hanging="4"/>
        <w:spacing w:after="0" w:line="277" w:lineRule="auto"/>
        <w:tabs>
          <w:tab w:leader="none" w:pos="2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rFonts w:ascii="Arial" w:cs="Arial" w:eastAsia="Arial" w:hAnsi="Arial"/>
          <w:sz w:val="18"/>
          <w:szCs w:val="18"/>
          <w:color w:val="auto"/>
        </w:rPr>
      </w:pPr>
    </w:p>
    <w:p>
      <w:pPr>
        <w:ind w:left="4" w:right="160" w:hanging="4"/>
        <w:spacing w:after="0" w:line="257"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Attribution Parties</w:t>
      </w:r>
      <w:r>
        <w:rPr>
          <w:rFonts w:ascii="Arial" w:cs="Arial" w:eastAsia="Arial" w:hAnsi="Arial"/>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 the other Attribution Parties for purposes of Section 13(d) or Section 16 of the Exchange Act. For clarity, the purpose of the foregoing is to subject collectively the Holder and all other Attribution Parties to the Maximum Percentage and the HSR Threshold (each as defined below).</w:t>
      </w:r>
    </w:p>
    <w:p>
      <w:pPr>
        <w:spacing w:after="0" w:line="187" w:lineRule="exact"/>
        <w:rPr>
          <w:rFonts w:ascii="Arial" w:cs="Arial" w:eastAsia="Arial" w:hAnsi="Arial"/>
          <w:sz w:val="18"/>
          <w:szCs w:val="18"/>
          <w:color w:val="auto"/>
        </w:rPr>
      </w:pPr>
    </w:p>
    <w:p>
      <w:pPr>
        <w:ind w:left="4" w:right="40" w:hanging="4"/>
        <w:spacing w:after="0" w:line="269" w:lineRule="auto"/>
        <w:tabs>
          <w:tab w:leader="none" w:pos="249"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Sale Price</w:t>
      </w:r>
      <w:r>
        <w:rPr>
          <w:rFonts w:ascii="Arial" w:cs="Arial" w:eastAsia="Arial" w:hAnsi="Arial"/>
          <w:sz w:val="17"/>
          <w:szCs w:val="17"/>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(formerly OTC Markets Inc.).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w:t>
      </w:r>
    </w:p>
    <w:p>
      <w:pPr>
        <w:spacing w:after="0" w:line="178" w:lineRule="exact"/>
        <w:rPr>
          <w:rFonts w:ascii="Arial" w:cs="Arial" w:eastAsia="Arial" w:hAnsi="Arial"/>
          <w:sz w:val="17"/>
          <w:szCs w:val="17"/>
          <w:color w:val="auto"/>
        </w:rPr>
      </w:pPr>
    </w:p>
    <w:p>
      <w:pPr>
        <w:ind w:left="264" w:hanging="264"/>
        <w:spacing w:after="0"/>
        <w:tabs>
          <w:tab w:leader="none" w:pos="2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4" w:right="180" w:hanging="4"/>
        <w:spacing w:after="0" w:line="277" w:lineRule="auto"/>
        <w:tabs>
          <w:tab w:leader="none" w:pos="2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ectPr>
          <w:pgSz w:w="11900" w:h="16838" w:orient="portrait"/>
          <w:cols w:equalWidth="0" w:num="1">
            <w:col w:w="11024"/>
          </w:cols>
          <w:pgMar w:left="436" w:top="121" w:right="439" w:bottom="1440" w:gutter="0" w:footer="0" w:header="0"/>
          <w:type w:val="continuous"/>
        </w:sectPr>
      </w:pPr>
    </w:p>
    <w:bookmarkStart w:id="47" w:name="page48"/>
    <w:bookmarkEnd w:id="47"/>
    <w:p>
      <w:pPr>
        <w:ind w:left="4" w:right="260" w:hanging="4"/>
        <w:spacing w:after="0" w:line="277" w:lineRule="auto"/>
        <w:tabs>
          <w:tab w:leader="none" w:pos="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t>
      </w:r>
      <w:r>
        <w:rPr>
          <w:rFonts w:ascii="Arial" w:cs="Arial" w:eastAsia="Arial" w:hAnsi="Arial"/>
          <w:sz w:val="18"/>
          <w:szCs w:val="18"/>
          <w:u w:val="single" w:color="auto"/>
          <w:color w:val="auto"/>
        </w:rPr>
        <w:t>Principal Trading Market</w:t>
      </w:r>
      <w:r>
        <w:rPr>
          <w:rFonts w:ascii="Arial" w:cs="Arial" w:eastAsia="Arial" w:hAnsi="Arial"/>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70" w:lineRule="exact"/>
        <w:rPr>
          <w:rFonts w:ascii="Arial" w:cs="Arial" w:eastAsia="Arial" w:hAnsi="Arial"/>
          <w:sz w:val="18"/>
          <w:szCs w:val="18"/>
          <w:color w:val="auto"/>
        </w:rPr>
      </w:pPr>
    </w:p>
    <w:p>
      <w:pPr>
        <w:ind w:left="224" w:hanging="224"/>
        <w:spacing w:after="0"/>
        <w:tabs>
          <w:tab w:leader="none" w:pos="2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Company’s Registration Statement on Form S-3 (File No. 333-269272), declared effective on January 24, 2023.</w:t>
      </w:r>
    </w:p>
    <w:p>
      <w:pPr>
        <w:spacing w:after="0" w:line="248" w:lineRule="exact"/>
        <w:rPr>
          <w:rFonts w:ascii="Arial" w:cs="Arial" w:eastAsia="Arial" w:hAnsi="Arial"/>
          <w:sz w:val="16"/>
          <w:szCs w:val="16"/>
          <w:color w:val="auto"/>
        </w:rPr>
      </w:pPr>
    </w:p>
    <w:p>
      <w:pPr>
        <w:ind w:left="224" w:hanging="224"/>
        <w:spacing w:after="0"/>
        <w:tabs>
          <w:tab w:leader="none" w:pos="2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4" w:right="460" w:hanging="4"/>
        <w:spacing w:after="0" w:line="263" w:lineRule="auto"/>
        <w:tabs>
          <w:tab w:leader="none" w:pos="219"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Standard Settlement Period</w:t>
      </w:r>
      <w:r>
        <w:rPr>
          <w:rFonts w:ascii="Arial" w:cs="Arial" w:eastAsia="Arial" w:hAnsi="Arial"/>
          <w:sz w:val="18"/>
          <w:szCs w:val="18"/>
          <w:color w:val="auto"/>
        </w:rPr>
        <w:t>” means the standard settlement period, expressed in a number of Trading Days, for the Company’s primary trading market or quotation system with respect to the Common Stock that is in effect on the date of delivery of an applicable Exercise Notice (as defined below), which as of the Original Issue Date was “T+2”.</w:t>
      </w:r>
    </w:p>
    <w:p>
      <w:pPr>
        <w:spacing w:after="0" w:line="183" w:lineRule="exact"/>
        <w:rPr>
          <w:rFonts w:ascii="Arial" w:cs="Arial" w:eastAsia="Arial" w:hAnsi="Arial"/>
          <w:sz w:val="18"/>
          <w:szCs w:val="18"/>
          <w:color w:val="auto"/>
        </w:rPr>
      </w:pPr>
    </w:p>
    <w:p>
      <w:pPr>
        <w:ind w:left="304" w:hanging="304"/>
        <w:spacing w:after="0"/>
        <w:tabs>
          <w:tab w:leader="none" w:pos="3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any weekday on which the Principal Trading Market is normally open for trading.</w:t>
      </w:r>
    </w:p>
    <w:p>
      <w:pPr>
        <w:spacing w:after="0" w:line="225" w:lineRule="exact"/>
        <w:rPr>
          <w:rFonts w:ascii="Arial" w:cs="Arial" w:eastAsia="Arial" w:hAnsi="Arial"/>
          <w:sz w:val="18"/>
          <w:szCs w:val="18"/>
          <w:color w:val="auto"/>
        </w:rPr>
      </w:pPr>
    </w:p>
    <w:p>
      <w:pPr>
        <w:ind w:left="4" w:right="220" w:hanging="4"/>
        <w:spacing w:after="0" w:line="277" w:lineRule="auto"/>
        <w:tabs>
          <w:tab w:leader="none" w:pos="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Continental Stock Transfer &amp; Trust Company, the Company’s transfer agent and registrar for the Common Stock, and any successor appointed in such capacity.</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Agent</w:t>
      </w:r>
      <w:r>
        <w:rPr>
          <w:rFonts w:ascii="Arial" w:cs="Arial" w:eastAsia="Arial" w:hAnsi="Arial"/>
          <w:sz w:val="18"/>
          <w:szCs w:val="18"/>
          <w:color w:val="auto"/>
        </w:rPr>
        <w:t>” means the Company.</w:t>
      </w:r>
    </w:p>
    <w:p>
      <w:pPr>
        <w:spacing w:after="0" w:line="225" w:lineRule="exact"/>
        <w:rPr>
          <w:sz w:val="20"/>
          <w:szCs w:val="20"/>
          <w:color w:val="auto"/>
        </w:rPr>
      </w:pPr>
    </w:p>
    <w:p>
      <w:pPr>
        <w:ind w:left="4" w:right="40" w:hanging="4"/>
        <w:spacing w:after="0" w:line="271" w:lineRule="auto"/>
        <w:tabs>
          <w:tab w:leader="none" w:pos="18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Registration of Warrants</w:t>
      </w:r>
      <w:r>
        <w:rPr>
          <w:rFonts w:ascii="Arial" w:cs="Arial" w:eastAsia="Arial" w:hAnsi="Arial"/>
          <w:sz w:val="17"/>
          <w:szCs w:val="17"/>
          <w:color w:val="auto"/>
        </w:rPr>
        <w:t>. This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Warrant Agent for that purpose (the “</w:t>
      </w:r>
      <w:r>
        <w:rPr>
          <w:rFonts w:ascii="Arial" w:cs="Arial" w:eastAsia="Arial" w:hAnsi="Arial"/>
          <w:sz w:val="17"/>
          <w:szCs w:val="17"/>
          <w:u w:val="single" w:color="auto"/>
          <w:color w:val="auto"/>
        </w:rPr>
        <w:t>Warrant Register</w:t>
      </w:r>
      <w:r>
        <w:rPr>
          <w:rFonts w:ascii="Arial" w:cs="Arial" w:eastAsia="Arial" w:hAnsi="Arial"/>
          <w:sz w:val="17"/>
          <w:szCs w:val="17"/>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8" w:lineRule="exact"/>
        <w:rPr>
          <w:rFonts w:ascii="Arial" w:cs="Arial" w:eastAsia="Arial" w:hAnsi="Arial"/>
          <w:sz w:val="17"/>
          <w:szCs w:val="17"/>
          <w:color w:val="auto"/>
        </w:rPr>
      </w:pPr>
    </w:p>
    <w:p>
      <w:pPr>
        <w:ind w:left="4" w:hanging="4"/>
        <w:spacing w:after="0" w:line="269" w:lineRule="auto"/>
        <w:tabs>
          <w:tab w:leader="none" w:pos="184"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Registration of Transfers</w:t>
      </w:r>
      <w:r>
        <w:rPr>
          <w:rFonts w:ascii="Arial" w:cs="Arial" w:eastAsia="Arial" w:hAnsi="Arial"/>
          <w:sz w:val="17"/>
          <w:szCs w:val="17"/>
          <w:color w:val="auto"/>
        </w:rPr>
        <w:t>. Subject to compliance with all applicable securities laws, the Company shall, or will cause the Warrant Agent to, register the transfer of all or any portion of this Warrant in the Warrant Register, upon surrender of this Warrant, together with a written assignment of this Warrant substantially in the form attached hereto as Schedule 2 duly executed by the Holder, and payment for all applicable transfer taxes accompanied by reasonable evidence of authority of the party making such request that may be required by the Warrant Agent. Upon any such registration or transfer, a new warrant to purchase Common Stock in substantially the form of this Warrant (any such new warrant, a “</w:t>
      </w:r>
      <w:r>
        <w:rPr>
          <w:rFonts w:ascii="Arial" w:cs="Arial" w:eastAsia="Arial" w:hAnsi="Arial"/>
          <w:sz w:val="17"/>
          <w:szCs w:val="17"/>
          <w:u w:val="single" w:color="auto"/>
          <w:color w:val="auto"/>
        </w:rPr>
        <w:t>New Warrant</w:t>
      </w:r>
      <w:r>
        <w:rPr>
          <w:rFonts w:ascii="Arial" w:cs="Arial" w:eastAsia="Arial" w:hAnsi="Arial"/>
          <w:sz w:val="17"/>
          <w:szCs w:val="17"/>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the Warrant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spacing w:after="0" w:line="181" w:lineRule="exact"/>
        <w:rPr>
          <w:rFonts w:ascii="Arial" w:cs="Arial" w:eastAsia="Arial" w:hAnsi="Arial"/>
          <w:sz w:val="17"/>
          <w:szCs w:val="17"/>
          <w:color w:val="auto"/>
        </w:rPr>
      </w:pPr>
    </w:p>
    <w:p>
      <w:pPr>
        <w:ind w:left="184" w:hanging="184"/>
        <w:spacing w:after="0"/>
        <w:tabs>
          <w:tab w:leader="none" w:pos="18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ind w:left="4" w:right="260" w:hanging="4"/>
        <w:spacing w:after="0" w:line="277"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or any part of this Warrant shall be exercisable by the registered Holder in any manner permitted by Section 10 of this Warrant at any time and from time to time on or after the Original Issue Date.</w:t>
      </w:r>
    </w:p>
    <w:p>
      <w:pPr>
        <w:sectPr>
          <w:pgSz w:w="11900" w:h="16838" w:orient="portrait"/>
          <w:cols w:equalWidth="0" w:num="1">
            <w:col w:w="11024"/>
          </w:cols>
          <w:pgMar w:left="436" w:top="490" w:right="439" w:bottom="1440" w:gutter="0" w:footer="0" w:header="0"/>
        </w:sectPr>
      </w:pPr>
    </w:p>
    <w:bookmarkStart w:id="48" w:name="page49"/>
    <w:bookmarkEnd w:id="48"/>
    <w:p>
      <w:pPr>
        <w:ind w:left="4" w:right="20" w:hanging="4"/>
        <w:spacing w:after="0" w:line="254" w:lineRule="auto"/>
        <w:tabs>
          <w:tab w:leader="none" w:pos="256"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Holder may exercise this Warrant by delivering to the Company (i) an exercise notice, in the form attached as Schedule 1 hereto (the “</w:t>
      </w:r>
      <w:r>
        <w:rPr>
          <w:rFonts w:ascii="Arial" w:cs="Arial" w:eastAsia="Arial" w:hAnsi="Arial"/>
          <w:sz w:val="18"/>
          <w:szCs w:val="18"/>
          <w:u w:val="single" w:color="auto"/>
          <w:color w:val="auto"/>
        </w:rPr>
        <w:t>Exercise</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Arial" w:cs="Arial" w:eastAsia="Arial" w:hAnsi="Arial"/>
          <w:sz w:val="18"/>
          <w:szCs w:val="18"/>
          <w:u w:val="single" w:color="auto"/>
          <w:color w:val="auto"/>
        </w:rPr>
        <w:t>Exercise Date</w:t>
      </w:r>
      <w:r>
        <w:rPr>
          <w:rFonts w:ascii="Arial" w:cs="Arial" w:eastAsia="Arial" w:hAnsi="Arial"/>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95" w:lineRule="exact"/>
        <w:rPr>
          <w:sz w:val="20"/>
          <w:szCs w:val="20"/>
          <w:color w:val="auto"/>
        </w:rPr>
      </w:pPr>
    </w:p>
    <w:p>
      <w:pPr>
        <w:ind w:left="184" w:hanging="184"/>
        <w:spacing w:after="0"/>
        <w:tabs>
          <w:tab w:leader="none" w:pos="18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w:t>
      </w:r>
    </w:p>
    <w:p>
      <w:pPr>
        <w:spacing w:after="0" w:line="225" w:lineRule="exact"/>
        <w:rPr>
          <w:sz w:val="20"/>
          <w:szCs w:val="20"/>
          <w:color w:val="auto"/>
        </w:rPr>
      </w:pPr>
    </w:p>
    <w:p>
      <w:pPr>
        <w:ind w:left="4" w:right="80" w:hanging="4"/>
        <w:spacing w:after="0" w:line="288" w:lineRule="auto"/>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exercise of this Warrant, the Company shall, or shall cause the Transfer Agent to, promptly (but in no event later than the number of Trading Days comprising the Standard Settlement Period) credit such aggregate number of shares of Common Stock to which the Holder is entitled pursuant to such exercise to the Holder’s or its designee’s balance account with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through its Deposit/Withdrawal At Custodian system provided that the Transfer Agent is then a participant in the DTC Fast Automated Securities Transfer Program and either (A) there is an effective registration statement permitting the issuance of such Warrant Shares to or resale of such Warrant Shares by the Holder or (B) such Warrant Shares are eligible for resale by the Holder without volume or manner-of-sale limitations pursuant to Rule 144 promulgated under the Securities Act (assuming cashless exercise of this Warrant), and otherwise issue such Warrant Shares in the name of the Holder or its designee in restricted book-entry form in the Company’s share register. The Holder, or any Person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the book entry positions evidencing such Warrant Shares, as the case may be.</w:t>
      </w:r>
    </w:p>
    <w:p>
      <w:pPr>
        <w:spacing w:after="0" w:line="168" w:lineRule="exact"/>
        <w:rPr>
          <w:rFonts w:ascii="Arial" w:cs="Arial" w:eastAsia="Arial" w:hAnsi="Arial"/>
          <w:sz w:val="16"/>
          <w:szCs w:val="16"/>
          <w:color w:val="auto"/>
        </w:rPr>
      </w:pPr>
    </w:p>
    <w:p>
      <w:pPr>
        <w:ind w:left="4" w:hanging="4"/>
        <w:spacing w:after="0" w:line="287" w:lineRule="auto"/>
        <w:tabs>
          <w:tab w:leader="none" w:pos="259"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within the Standard Settlement Period after the Exercise Date, the Company fails to deliver to the Holder or its designee the required number of Warrant Shares in the manner required pursuant to Section 5(a) or fails to credit the Holder’s or its designee’s balance account with DTC for such number of Warrant Shares to which the Holder is entitled (other than a failure caused by incorrect or incomplete information provided by the Holder to the Company), and if after such number of Trading Days comprising the Standard Settlement Period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xml:space="preserve">”), then the Company shall, within two (2)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issue such Warrant Shares shall terminate or (2) promptly honor its obligation to deliver to the Holder or its designee such Warrant Shares or credit the Holder’s or its designee’s balance account with DTC for such Warrant Shares and pay cash to the Holder in an amount equal to the Holder’s total purchase price (including brokerage commissions, if any) for the shares of Common Stock so purchased in the Buy-In,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product of (A) the number of shares of Common Stock purchased in the Buy-In, and (B) the Closing Sale Price of a share of Common Stock on the Exercise Date.</w:t>
      </w:r>
    </w:p>
    <w:p>
      <w:pPr>
        <w:spacing w:after="0" w:line="167" w:lineRule="exact"/>
        <w:rPr>
          <w:rFonts w:ascii="Arial" w:cs="Arial" w:eastAsia="Arial" w:hAnsi="Arial"/>
          <w:sz w:val="16"/>
          <w:szCs w:val="16"/>
          <w:color w:val="auto"/>
        </w:rPr>
      </w:pPr>
    </w:p>
    <w:p>
      <w:pPr>
        <w:ind w:left="4" w:hanging="4"/>
        <w:spacing w:after="0" w:line="270" w:lineRule="auto"/>
        <w:tabs>
          <w:tab w:leader="none" w:pos="24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ectPr>
          <w:pgSz w:w="11900" w:h="16838" w:orient="portrait"/>
          <w:cols w:equalWidth="0" w:num="1">
            <w:col w:w="11004"/>
          </w:cols>
          <w:pgMar w:left="436" w:top="490" w:right="459" w:bottom="1440" w:gutter="0" w:footer="0" w:header="0"/>
        </w:sectPr>
      </w:pPr>
    </w:p>
    <w:bookmarkStart w:id="49" w:name="page50"/>
    <w:bookmarkEnd w:id="49"/>
    <w:p>
      <w:pPr>
        <w:ind w:left="4" w:right="60" w:hanging="4"/>
        <w:spacing w:after="0" w:line="255" w:lineRule="auto"/>
        <w:tabs>
          <w:tab w:leader="none" w:pos="18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Charges, Taxes and Expenses</w:t>
      </w:r>
      <w:r>
        <w:rPr>
          <w:rFonts w:ascii="Arial" w:cs="Arial" w:eastAsia="Arial" w:hAnsi="Arial"/>
          <w:sz w:val="18"/>
          <w:szCs w:val="18"/>
          <w:color w:val="auto"/>
        </w:rPr>
        <w:t>. Issuance and delivery of shares of Common Stock upon exercise of this Warrant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92" w:lineRule="exact"/>
        <w:rPr>
          <w:rFonts w:ascii="Arial" w:cs="Arial" w:eastAsia="Arial" w:hAnsi="Arial"/>
          <w:sz w:val="18"/>
          <w:szCs w:val="18"/>
          <w:color w:val="auto"/>
        </w:rPr>
      </w:pPr>
    </w:p>
    <w:p>
      <w:pPr>
        <w:ind w:left="4" w:right="240" w:hanging="4"/>
        <w:spacing w:after="0" w:line="291" w:lineRule="auto"/>
        <w:tabs>
          <w:tab w:leader="none" w:pos="18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Replacement of Warrant</w:t>
      </w:r>
      <w:r>
        <w:rPr>
          <w:rFonts w:ascii="Arial" w:cs="Arial" w:eastAsia="Arial" w:hAnsi="Arial"/>
          <w:sz w:val="16"/>
          <w:szCs w:val="16"/>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requested by a third-party transfer agent.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66" w:lineRule="exact"/>
        <w:rPr>
          <w:rFonts w:ascii="Arial" w:cs="Arial" w:eastAsia="Arial" w:hAnsi="Arial"/>
          <w:sz w:val="16"/>
          <w:szCs w:val="16"/>
          <w:color w:val="auto"/>
        </w:rPr>
      </w:pPr>
    </w:p>
    <w:p>
      <w:pPr>
        <w:ind w:left="184" w:hanging="184"/>
        <w:spacing w:after="0"/>
        <w:tabs>
          <w:tab w:leader="none" w:pos="184"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Reservation of Warrant Shares</w:t>
      </w:r>
      <w:r>
        <w:rPr>
          <w:rFonts w:ascii="Arial" w:cs="Arial" w:eastAsia="Arial" w:hAnsi="Arial"/>
          <w:sz w:val="16"/>
          <w:szCs w:val="16"/>
          <w:color w:val="auto"/>
        </w:rPr>
        <w:t>. The Company covenants that it will, at all times while this Warrant is outstanding, reserve and keep available out of</w:t>
      </w:r>
    </w:p>
    <w:p>
      <w:pPr>
        <w:spacing w:after="0" w:line="46" w:lineRule="exact"/>
        <w:rPr>
          <w:rFonts w:ascii="Arial" w:cs="Arial" w:eastAsia="Arial" w:hAnsi="Arial"/>
          <w:sz w:val="16"/>
          <w:szCs w:val="16"/>
          <w:color w:val="auto"/>
        </w:rPr>
      </w:pPr>
    </w:p>
    <w:p>
      <w:pPr>
        <w:ind w:left="4"/>
        <w:spacing w:after="0" w:line="284" w:lineRule="auto"/>
        <w:rPr>
          <w:rFonts w:ascii="Arial" w:cs="Arial" w:eastAsia="Arial" w:hAnsi="Arial"/>
          <w:sz w:val="16"/>
          <w:szCs w:val="16"/>
          <w:color w:val="auto"/>
        </w:rPr>
      </w:pPr>
      <w:r>
        <w:rPr>
          <w:rFonts w:ascii="Arial" w:cs="Arial" w:eastAsia="Arial" w:hAnsi="Arial"/>
          <w:sz w:val="16"/>
          <w:szCs w:val="16"/>
          <w:color w:val="auto"/>
        </w:rPr>
        <w:t>the aggregate of its authorized but unissued and otherwise unreserved Common Stock, solely for the purpose of enabling it to issue Warrant Shares upon exercise of this Warrant as herein provided, the number of Warrant Shares that are issuable and deliverable upon the exercise of this entire Warrant, free from preemptive rights or any other contingent purchase rights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Arial" w:cs="Arial" w:eastAsia="Arial" w:hAnsi="Arial"/>
          <w:sz w:val="16"/>
          <w:szCs w:val="16"/>
          <w:u w:val="single" w:color="auto"/>
          <w:color w:val="auto"/>
        </w:rPr>
        <w:t>Authorized Share Failure</w:t>
      </w:r>
      <w:r>
        <w:rPr>
          <w:rFonts w:ascii="Arial" w:cs="Arial" w:eastAsia="Arial" w:hAnsi="Arial"/>
          <w:sz w:val="16"/>
          <w:szCs w:val="16"/>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w:t>
      </w:r>
    </w:p>
    <w:p>
      <w:pPr>
        <w:spacing w:after="0" w:line="174" w:lineRule="exact"/>
        <w:rPr>
          <w:rFonts w:ascii="Arial" w:cs="Arial" w:eastAsia="Arial" w:hAnsi="Arial"/>
          <w:sz w:val="16"/>
          <w:szCs w:val="16"/>
          <w:color w:val="auto"/>
        </w:rPr>
      </w:pPr>
    </w:p>
    <w:p>
      <w:pPr>
        <w:ind w:left="4" w:right="100" w:hanging="4"/>
        <w:spacing w:after="0" w:line="277" w:lineRule="auto"/>
        <w:tabs>
          <w:tab w:leader="none" w:pos="18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Certain Adjustments</w:t>
      </w:r>
      <w:r>
        <w:rPr>
          <w:rFonts w:ascii="Arial" w:cs="Arial" w:eastAsia="Arial" w:hAnsi="Arial"/>
          <w:sz w:val="18"/>
          <w:szCs w:val="18"/>
          <w:color w:val="auto"/>
        </w:rPr>
        <w:t>. The Exercise Price and number of Warrant Shares issuable upon exercise of this Warrant are subject to adjustment from time to time as set forth in this Section 9.</w:t>
      </w:r>
    </w:p>
    <w:p>
      <w:pPr>
        <w:spacing w:after="0" w:line="170" w:lineRule="exact"/>
        <w:rPr>
          <w:sz w:val="20"/>
          <w:szCs w:val="20"/>
          <w:color w:val="auto"/>
        </w:rPr>
      </w:pPr>
    </w:p>
    <w:p>
      <w:pPr>
        <w:ind w:left="4" w:right="20" w:hanging="4"/>
        <w:spacing w:after="0" w:line="270" w:lineRule="auto"/>
        <w:tabs>
          <w:tab w:leader="none" w:pos="249"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w:t>
      </w:r>
    </w:p>
    <w:p>
      <w:pPr>
        <w:sectPr>
          <w:pgSz w:w="11900" w:h="16838" w:orient="portrait"/>
          <w:cols w:equalWidth="0" w:num="1">
            <w:col w:w="11004"/>
          </w:cols>
          <w:pgMar w:left="436" w:top="490" w:right="459" w:bottom="1440" w:gutter="0" w:footer="0" w:header="0"/>
        </w:sectPr>
      </w:pPr>
    </w:p>
    <w:bookmarkStart w:id="50" w:name="page51"/>
    <w:bookmarkEnd w:id="50"/>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or combination.</w:t>
      </w:r>
    </w:p>
    <w:p>
      <w:pPr>
        <w:spacing w:after="0" w:line="187" w:lineRule="exact"/>
        <w:rPr>
          <w:sz w:val="20"/>
          <w:szCs w:val="20"/>
          <w:color w:val="auto"/>
        </w:rPr>
      </w:pPr>
    </w:p>
    <w:p>
      <w:pPr>
        <w:ind w:left="4" w:hanging="4"/>
        <w:spacing w:after="0" w:line="267" w:lineRule="auto"/>
        <w:tabs>
          <w:tab w:leader="none" w:pos="259"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Section 9(a), any distribution of Purchase Rights (as defined below) subject to Section 9(c) and any Fundamental Transaction (as defined below) subject to Section 9(d)) (a “</w:t>
      </w:r>
      <w:r>
        <w:rPr>
          <w:rFonts w:ascii="Arial" w:cs="Arial" w:eastAsia="Arial" w:hAnsi="Arial"/>
          <w:sz w:val="17"/>
          <w:szCs w:val="17"/>
          <w:u w:val="single" w:color="auto"/>
          <w:color w:val="auto"/>
        </w:rPr>
        <w:t>Distribution</w:t>
      </w:r>
      <w:r>
        <w:rPr>
          <w:rFonts w:ascii="Arial" w:cs="Arial" w:eastAsia="Arial" w:hAnsi="Arial"/>
          <w:sz w:val="17"/>
          <w:szCs w:val="17"/>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or the HSR Threshold)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or the HSR Threshold,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or the HSR Threshold,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1" w:lineRule="exact"/>
        <w:rPr>
          <w:rFonts w:ascii="Arial" w:cs="Arial" w:eastAsia="Arial" w:hAnsi="Arial"/>
          <w:sz w:val="17"/>
          <w:szCs w:val="17"/>
          <w:color w:val="auto"/>
        </w:rPr>
      </w:pPr>
    </w:p>
    <w:p>
      <w:pPr>
        <w:ind w:left="4" w:right="40" w:hanging="4"/>
        <w:spacing w:after="0" w:line="285"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Arial" w:cs="Arial" w:eastAsia="Arial" w:hAnsi="Arial"/>
          <w:sz w:val="16"/>
          <w:szCs w:val="16"/>
          <w:u w:val="single" w:color="auto"/>
          <w:color w:val="auto"/>
        </w:rPr>
        <w:t>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or the HSR Threshold)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or the HSR Threshold,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or the HSR Threshold,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Arial" w:cs="Arial" w:eastAsia="Arial" w:hAnsi="Arial"/>
          <w:sz w:val="16"/>
          <w:szCs w:val="16"/>
          <w:u w:val="single" w:color="auto"/>
          <w:color w:val="auto"/>
        </w:rPr>
        <w:t>Options</w:t>
      </w:r>
      <w:r>
        <w:rPr>
          <w:rFonts w:ascii="Arial" w:cs="Arial" w:eastAsia="Arial" w:hAnsi="Arial"/>
          <w:sz w:val="16"/>
          <w:szCs w:val="16"/>
          <w:color w:val="auto"/>
        </w:rPr>
        <w:t>” means any rights, warrants or options to subscribe for or purchase shares of Common Stock or Convertible Securities and (ii) “</w:t>
      </w:r>
      <w:r>
        <w:rPr>
          <w:rFonts w:ascii="Arial" w:cs="Arial" w:eastAsia="Arial" w:hAnsi="Arial"/>
          <w:sz w:val="16"/>
          <w:szCs w:val="16"/>
          <w:u w:val="single" w:color="auto"/>
          <w:color w:val="auto"/>
        </w:rPr>
        <w:t>Convertible Securities</w:t>
      </w:r>
      <w:r>
        <w:rPr>
          <w:rFonts w:ascii="Arial" w:cs="Arial" w:eastAsia="Arial" w:hAnsi="Arial"/>
          <w:sz w:val="16"/>
          <w:szCs w:val="16"/>
          <w:color w:val="auto"/>
        </w:rPr>
        <w:t>” mean any stock or securities (other than Options) directly or indirectly convertible into or exercisable or exchangeable for shares of Common Stock.</w:t>
      </w:r>
    </w:p>
    <w:p>
      <w:pPr>
        <w:spacing w:after="0" w:line="176" w:lineRule="exact"/>
        <w:rPr>
          <w:rFonts w:ascii="Arial" w:cs="Arial" w:eastAsia="Arial" w:hAnsi="Arial"/>
          <w:sz w:val="16"/>
          <w:szCs w:val="16"/>
          <w:color w:val="auto"/>
        </w:rPr>
      </w:pPr>
    </w:p>
    <w:p>
      <w:pPr>
        <w:ind w:left="4" w:right="80" w:hanging="4"/>
        <w:spacing w:after="0" w:line="287" w:lineRule="auto"/>
        <w:tabs>
          <w:tab w:leader="none" w:pos="259"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effects any sale to another Person of all or substantially all of its assets in one or a series of related</w:t>
      </w:r>
    </w:p>
    <w:p>
      <w:pPr>
        <w:sectPr>
          <w:pgSz w:w="11900" w:h="16838" w:orient="portrait"/>
          <w:cols w:equalWidth="0" w:num="1">
            <w:col w:w="11024"/>
          </w:cols>
          <w:pgMar w:left="436" w:top="490" w:right="439" w:bottom="1440" w:gutter="0" w:footer="0" w:header="0"/>
        </w:sectPr>
      </w:pPr>
    </w:p>
    <w:bookmarkStart w:id="51" w:name="page52"/>
    <w:bookmarkEnd w:id="51"/>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combination or reclassification of shares of Common Stock covered by Section 9(a) above) (in any such case,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including, without limitation, the Maximum Percentage or the HSR Threshold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w:t>
      </w:r>
    </w:p>
    <w:p>
      <w:pPr>
        <w:ind w:left="4" w:right="60" w:hanging="4"/>
        <w:spacing w:after="0" w:line="253" w:lineRule="auto"/>
        <w:tabs>
          <w:tab w:leader="none" w:pos="2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193" w:lineRule="exact"/>
        <w:rPr>
          <w:sz w:val="20"/>
          <w:szCs w:val="20"/>
          <w:color w:val="auto"/>
        </w:rPr>
      </w:pPr>
    </w:p>
    <w:p>
      <w:pPr>
        <w:ind w:left="4" w:right="180" w:hanging="4"/>
        <w:spacing w:after="0" w:line="259"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Number of Warrant Shares</w:t>
      </w:r>
      <w:r>
        <w:rPr>
          <w:rFonts w:ascii="Arial" w:cs="Arial" w:eastAsia="Arial" w:hAnsi="Arial"/>
          <w:sz w:val="18"/>
          <w:szCs w:val="18"/>
          <w:color w:val="auto"/>
        </w:rPr>
        <w:t>. Simultaneously with any adjustment to the Exercise Price pursuant to paragraph (a) of this Section 9,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86" w:lineRule="exact"/>
        <w:rPr>
          <w:rFonts w:ascii="Arial" w:cs="Arial" w:eastAsia="Arial" w:hAnsi="Arial"/>
          <w:sz w:val="18"/>
          <w:szCs w:val="18"/>
          <w:color w:val="auto"/>
        </w:rPr>
      </w:pPr>
    </w:p>
    <w:p>
      <w:pPr>
        <w:ind w:left="224" w:hanging="224"/>
        <w:spacing w:after="0"/>
        <w:tabs>
          <w:tab w:leader="none" w:pos="224"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9 shall be made to the nearest one tenth of one cent or the nearest share, as applicable.</w:t>
      </w:r>
    </w:p>
    <w:p>
      <w:pPr>
        <w:spacing w:after="0" w:line="236" w:lineRule="exact"/>
        <w:rPr>
          <w:rFonts w:ascii="Arial" w:cs="Arial" w:eastAsia="Arial" w:hAnsi="Arial"/>
          <w:sz w:val="17"/>
          <w:szCs w:val="17"/>
          <w:color w:val="auto"/>
        </w:rPr>
      </w:pPr>
    </w:p>
    <w:p>
      <w:pPr>
        <w:ind w:left="4" w:right="80" w:hanging="4"/>
        <w:spacing w:after="0" w:line="255" w:lineRule="auto"/>
        <w:tabs>
          <w:tab w:leader="none" w:pos="259"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92" w:lineRule="exact"/>
        <w:rPr>
          <w:rFonts w:ascii="Arial" w:cs="Arial" w:eastAsia="Arial" w:hAnsi="Arial"/>
          <w:sz w:val="18"/>
          <w:szCs w:val="18"/>
          <w:color w:val="auto"/>
        </w:rPr>
      </w:pPr>
    </w:p>
    <w:p>
      <w:pPr>
        <w:ind w:left="4" w:hanging="4"/>
        <w:spacing w:after="0" w:line="287" w:lineRule="auto"/>
        <w:tabs>
          <w:tab w:leader="none" w:pos="259"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Notice of Corporate Events</w:t>
      </w:r>
      <w:r>
        <w:rPr>
          <w:rFonts w:ascii="Arial" w:cs="Arial" w:eastAsia="Arial" w:hAnsi="Arial"/>
          <w:sz w:val="16"/>
          <w:szCs w:val="16"/>
          <w:color w:val="auto"/>
        </w:rPr>
        <w:t>.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fifteen (15)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The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sectPr>
          <w:pgSz w:w="11900" w:h="16838" w:orient="portrait"/>
          <w:cols w:equalWidth="0" w:num="1">
            <w:col w:w="11004"/>
          </w:cols>
          <w:pgMar w:left="436" w:top="490" w:right="459" w:bottom="1440" w:gutter="0" w:footer="0" w:header="0"/>
        </w:sectPr>
      </w:pPr>
    </w:p>
    <w:bookmarkStart w:id="52" w:name="page53"/>
    <w:bookmarkEnd w:id="52"/>
    <w:p>
      <w:pPr>
        <w:ind w:left="4" w:right="80" w:hanging="4"/>
        <w:spacing w:after="0" w:line="263" w:lineRule="auto"/>
        <w:tabs>
          <w:tab w:leader="none" w:pos="27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Payment of Exercise Price</w:t>
      </w:r>
      <w:r>
        <w:rPr>
          <w:rFonts w:ascii="Arial" w:cs="Arial" w:eastAsia="Arial" w:hAnsi="Arial"/>
          <w:sz w:val="18"/>
          <w:szCs w:val="18"/>
          <w:color w:val="auto"/>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“X” equals the number of Warrant Shares to be issued to the Holder;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“A” equals the Closing Sale Price of the shares of Common Stock (as reported by Bloomberg Financial Markets) as of the Trading Day on the date immediately preceding the Exercise Date; and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SEC continues to take the position that such treatment is proper at the time of such exercise).</w:t>
      </w:r>
    </w:p>
    <w:p>
      <w:pPr>
        <w:spacing w:after="0" w:line="187"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In the event that a registration statement registering the issuance of the Warrant Shares is, for any reason, not effective at the time of exercise of this Warrant, then the Warrant may only be exercised through a cashless exercise, as set forth in this Section 10. If Warrant Shares are issued in such a cashless exercise, the Company acknowledges and agrees that, in accordance with Section 3(a)(9) of the Securities Act, the Warrant Shares shall take on the characteristics of the Warrants being exercised, and the holding period of the Warrants being exercised may be tacked on to the holding period of the Warrant Shares (provided that the SEC continues to take the position that such treatment is proper at the time of such exercise).</w:t>
      </w:r>
    </w:p>
    <w:p>
      <w:pPr>
        <w:spacing w:after="0" w:line="161" w:lineRule="exact"/>
        <w:rPr>
          <w:sz w:val="20"/>
          <w:szCs w:val="20"/>
          <w:color w:val="auto"/>
        </w:rPr>
      </w:pPr>
    </w:p>
    <w:p>
      <w:pPr>
        <w:ind w:left="264" w:hanging="264"/>
        <w:spacing w:after="0"/>
        <w:tabs>
          <w:tab w:leader="none" w:pos="26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Limitations on Exercise</w:t>
      </w:r>
      <w:r>
        <w:rPr>
          <w:rFonts w:ascii="Arial" w:cs="Arial" w:eastAsia="Arial" w:hAnsi="Arial"/>
          <w:sz w:val="18"/>
          <w:szCs w:val="18"/>
          <w:color w:val="auto"/>
        </w:rPr>
        <w:t>.</w:t>
      </w:r>
    </w:p>
    <w:p>
      <w:pPr>
        <w:spacing w:after="0" w:line="225" w:lineRule="exact"/>
        <w:rPr>
          <w:sz w:val="20"/>
          <w:szCs w:val="20"/>
          <w:color w:val="auto"/>
        </w:rPr>
      </w:pPr>
    </w:p>
    <w:p>
      <w:pPr>
        <w:ind w:left="4" w:right="80" w:hanging="4"/>
        <w:spacing w:after="0" w:line="268" w:lineRule="auto"/>
        <w:tabs>
          <w:tab w:leader="none" w:pos="249"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[4.99%][9.99%][19.99%][24.99%] (the “</w:t>
      </w:r>
      <w:r>
        <w:rPr>
          <w:rFonts w:ascii="Arial" w:cs="Arial" w:eastAsia="Arial" w:hAnsi="Arial"/>
          <w:sz w:val="17"/>
          <w:szCs w:val="17"/>
          <w:u w:val="single" w:color="auto"/>
          <w:color w:val="auto"/>
        </w:rPr>
        <w:t>Maximum Percentage</w:t>
      </w:r>
      <w:r>
        <w:rPr>
          <w:rFonts w:ascii="Arial" w:cs="Arial" w:eastAsia="Arial" w:hAnsi="Arial"/>
          <w:sz w:val="17"/>
          <w:szCs w:val="17"/>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any other Warrants) beneficially owned by the Holder or any other Attribution Party subject to a limitation on conversion or exercise analogous to the limitation contained in this Section 11(a). For purposes of this Section 11(a), beneficial ownership shall be calculated in accordance with Section 13(d) of the Exchange Act, it being acknowledged by the Holder that the Company is not representing to the</w:t>
      </w:r>
    </w:p>
    <w:p>
      <w:pPr>
        <w:sectPr>
          <w:pgSz w:w="11900" w:h="16838" w:orient="portrait"/>
          <w:cols w:equalWidth="0" w:num="1">
            <w:col w:w="11004"/>
          </w:cols>
          <w:pgMar w:left="436" w:top="490" w:right="459" w:bottom="1440" w:gutter="0" w:footer="0" w:header="0"/>
        </w:sectPr>
      </w:pPr>
    </w:p>
    <w:bookmarkStart w:id="53" w:name="page54"/>
    <w:bookmarkEnd w:id="53"/>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Holder that such calculation is in compliance with Section 13(d) of the Exchange Act and the Holder is solely responsible for any schedules required to be filed in accordance therewith. To the extent that the limitation contained in this Section 11(a) applies, the determination of whether this Warrant is exercisable (in relation to other securities owned by the Holder together with any Affiliates and Attribution Parties) and of which portion of this Warrant is exercisable shall be in the sole discretion of the Holder,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 as the case may be, (y) a more recent public announcement by the Company or (z) any other written notice by the Company setting forth the number of shares of Common Stock outstanding (the “</w:t>
      </w:r>
      <w:r>
        <w:rPr>
          <w:rFonts w:ascii="Arial" w:cs="Arial" w:eastAsia="Arial" w:hAnsi="Arial"/>
          <w:sz w:val="16"/>
          <w:szCs w:val="16"/>
          <w:u w:val="single" w:color="auto"/>
          <w:color w:val="auto"/>
        </w:rPr>
        <w:t>Reported Outstanding 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u w:val="single" w:color="auto"/>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Arial" w:cs="Arial" w:eastAsia="Arial" w:hAnsi="Arial"/>
          <w:sz w:val="16"/>
          <w:szCs w:val="16"/>
          <w:u w:val="single" w:color="auto"/>
          <w:color w:val="auto"/>
        </w:rPr>
        <w:t>Excess Shares</w:t>
      </w:r>
      <w:r>
        <w:rPr>
          <w:rFonts w:ascii="Arial" w:cs="Arial" w:eastAsia="Arial" w:hAnsi="Arial"/>
          <w:sz w:val="16"/>
          <w:szCs w:val="16"/>
          <w:color w:val="auto"/>
        </w:rPr>
        <w:t xml:space="preserve">”) shall be deemed null and void and shall be cancelled </w:t>
      </w:r>
      <w:r>
        <w:rPr>
          <w:rFonts w:ascii="Arial" w:cs="Arial" w:eastAsia="Arial" w:hAnsi="Arial"/>
          <w:sz w:val="16"/>
          <w:szCs w:val="16"/>
          <w:i w:val="1"/>
          <w:iCs w:val="1"/>
          <w:color w:val="auto"/>
        </w:rPr>
        <w:t>ab initio</w:t>
      </w:r>
      <w:r>
        <w:rPr>
          <w:rFonts w:ascii="Arial" w:cs="Arial" w:eastAsia="Arial" w:hAnsi="Arial"/>
          <w:sz w:val="16"/>
          <w:szCs w:val="16"/>
          <w:color w:val="auto"/>
        </w:rPr>
        <w:t>,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19.99% of the issued and outstanding shares of Common Stock immediately after giving effect to the issuance of the shares of Common Stock issuable upon exercise of this Warrant if exceeding that limit would result in a change of control under Nasdaq Listing Rule 5635(b) or any successor rule]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and</w:t>
      </w:r>
    </w:p>
    <w:p>
      <w:pPr>
        <w:spacing w:after="0" w:line="9" w:lineRule="exact"/>
        <w:rPr>
          <w:sz w:val="20"/>
          <w:szCs w:val="20"/>
          <w:color w:val="auto"/>
        </w:rPr>
      </w:pPr>
    </w:p>
    <w:p>
      <w:pPr>
        <w:ind w:left="4" w:right="20" w:hanging="4"/>
        <w:spacing w:after="0" w:line="268" w:lineRule="auto"/>
        <w:tabs>
          <w:tab w:leader="none" w:pos="319"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such decrease shall affect the validity of any prior exercise of Warrants by Holder or any Attribution Party. For purposes of clarity, the shares of Common Stock issuable pursuant to the terms of this Warrant in excess of the Maximum Percentage shall not be deemed to be beneficially owned by the Holder for any purpose including for purposes of Section 13(d) of the Exchange Act or Rule 16a-1(a)(1) promulgated under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11(a) to the extent necessary to correct this paragraph or any portion of this paragraph which may be defective or inconsistent with the intended beneficial ownership limitation contained in this Section 11(a) or to make changes or supplements necessary or desirable to properly give effect to such limitation. The limitation contained in this paragraph may not be waived and shall apply to a successor holder of this Warrant.</w:t>
      </w:r>
    </w:p>
    <w:p>
      <w:pPr>
        <w:spacing w:after="0" w:line="181" w:lineRule="exact"/>
        <w:rPr>
          <w:sz w:val="20"/>
          <w:szCs w:val="20"/>
          <w:color w:val="auto"/>
        </w:rPr>
      </w:pPr>
    </w:p>
    <w:p>
      <w:pPr>
        <w:ind w:left="4" w:right="100" w:hanging="4"/>
        <w:spacing w:after="0" w:line="263" w:lineRule="auto"/>
        <w:tabs>
          <w:tab w:leader="none" w:pos="2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if any exercise of this Warrant would result in the Holder, together with the other Attribution Parties, acquiring beneficial ownership of Warrant Shares (together with all other equity of the Company owned by the Holder at such time) with a value equal to or in excess of the</w:t>
      </w:r>
    </w:p>
    <w:p>
      <w:pPr>
        <w:sectPr>
          <w:pgSz w:w="11900" w:h="16838" w:orient="portrait"/>
          <w:cols w:equalWidth="0" w:num="1">
            <w:col w:w="11024"/>
          </w:cols>
          <w:pgMar w:left="436" w:top="490" w:right="439" w:bottom="1440" w:gutter="0" w:footer="0" w:header="0"/>
        </w:sectPr>
      </w:pPr>
    </w:p>
    <w:bookmarkStart w:id="54" w:name="page55"/>
    <w:bookmarkEnd w:id="54"/>
    <w:p>
      <w:pPr>
        <w:ind w:left="4"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notification threshold applicable to the Holder under the HSR Act as of the date of delivery of the applicable Exercise Notice (the “HSR Threshold”), and no exemption to filing a notice and report form under the HSR Act is applicable, then only such portion of this Warrant, which when exercised does not exceed the HSR Threshold, shall be exercisable and the applicable Exercise Notice shall be deemed to relate only to such portion of this Warrant, and the remaining portion of this Warrant in excess of the HSR Threshold shall not be exercisable until the expiration or early termination of the applicable waiting period under the HSR Act or receipt of applicable approval. Upon expiration or early termination of the applicable waiting period under the HSR Act or receipt of applicable approval, such Holder shall not be subject to the limitations set forth in Section 11(a) hereto.</w:t>
      </w:r>
    </w:p>
    <w:p>
      <w:pPr>
        <w:spacing w:after="0" w:line="164" w:lineRule="exact"/>
        <w:rPr>
          <w:sz w:val="20"/>
          <w:szCs w:val="20"/>
          <w:color w:val="auto"/>
        </w:rPr>
      </w:pPr>
    </w:p>
    <w:p>
      <w:pPr>
        <w:jc w:val="both"/>
        <w:ind w:left="4" w:right="180" w:hanging="4"/>
        <w:spacing w:after="0" w:line="263" w:lineRule="auto"/>
        <w:tabs>
          <w:tab w:leader="none" w:pos="2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9(d) of this Warrant.</w:t>
      </w:r>
    </w:p>
    <w:p>
      <w:pPr>
        <w:spacing w:after="0" w:line="184" w:lineRule="exact"/>
        <w:rPr>
          <w:sz w:val="20"/>
          <w:szCs w:val="20"/>
          <w:color w:val="auto"/>
        </w:rPr>
      </w:pPr>
    </w:p>
    <w:p>
      <w:pPr>
        <w:jc w:val="both"/>
        <w:ind w:left="4" w:right="260" w:hanging="4"/>
        <w:spacing w:after="0" w:line="286" w:lineRule="auto"/>
        <w:tabs>
          <w:tab w:leader="none" w:pos="274"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 Fractional Shares</w:t>
      </w:r>
      <w:r>
        <w:rPr>
          <w:rFonts w:ascii="Arial" w:cs="Arial" w:eastAsia="Arial" w:hAnsi="Arial"/>
          <w:sz w:val="17"/>
          <w:szCs w:val="17"/>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65" w:lineRule="exact"/>
        <w:rPr>
          <w:rFonts w:ascii="Arial" w:cs="Arial" w:eastAsia="Arial" w:hAnsi="Arial"/>
          <w:sz w:val="17"/>
          <w:szCs w:val="17"/>
          <w:color w:val="auto"/>
        </w:rPr>
      </w:pPr>
    </w:p>
    <w:p>
      <w:pPr>
        <w:ind w:left="4" w:hanging="4"/>
        <w:spacing w:after="0" w:line="254" w:lineRule="auto"/>
        <w:tabs>
          <w:tab w:leader="none" w:pos="274"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Warrant, including, without limitation, an Exercise Notice, unless otherwise provided herein, such notice shall be given effective on the earliest of: (a) the time of transmission, if such notice or communication is delivered via email attachment at the email address as set forth below at or prior to 5:30 p.m. (New York City time) on a Trading Day, (b) the next Trading Day after the date of transmission, if such notice or communication is delivered via email attachment at the email address as set forth below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and will be delivered and addressed as follows:</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8"/>
          <w:szCs w:val="18"/>
          <w:color w:val="auto"/>
        </w:rPr>
        <w:t>(i) If to the Company,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Watertown, MA 02472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John Quisel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jquisel@discmedicine.com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4" w:right="8400" w:hanging="4"/>
        <w:spacing w:after="0" w:line="253" w:lineRule="auto"/>
        <w:tabs>
          <w:tab w:leader="none" w:pos="3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Northern Avenue Boston, MA 02210 Attention: William D. Collins Email: WCollins@goodwinlaw.com</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6"/>
          <w:szCs w:val="16"/>
          <w:color w:val="auto"/>
        </w:rPr>
        <w:t>(ii) if to the Holder, at such address or other contact information delivered by the Holder to Company or as is on the books and records of the Company.</w:t>
      </w:r>
    </w:p>
    <w:p>
      <w:pPr>
        <w:spacing w:after="0" w:line="248" w:lineRule="exact"/>
        <w:rPr>
          <w:sz w:val="20"/>
          <w:szCs w:val="20"/>
          <w:color w:val="auto"/>
        </w:rPr>
      </w:pPr>
    </w:p>
    <w:p>
      <w:pPr>
        <w:ind w:left="4" w:hanging="4"/>
        <w:spacing w:after="0" w:line="273" w:lineRule="auto"/>
        <w:tabs>
          <w:tab w:leader="none" w:pos="271"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Warrant Agent</w:t>
      </w:r>
      <w:r>
        <w:rPr>
          <w:rFonts w:ascii="Arial" w:cs="Arial" w:eastAsia="Arial" w:hAnsi="Arial"/>
          <w:sz w:val="17"/>
          <w:szCs w:val="17"/>
          <w:color w:val="auto"/>
        </w:rPr>
        <w:t>. The Warrant Agent shall initially serve as warrant agent under this Warrant. Upon thirty (30) days’ notice to the Holder, the Company may appoint a new warrant agent. Any corporation into which the Warrant Agent or any new warrant agent may be merged or any corporation resulting from any consolidation to which the Warrant Agent or any new warrant agent shall be a party or any corporation to which the Warrant Agent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ectPr>
          <w:pgSz w:w="11900" w:h="16838" w:orient="portrait"/>
          <w:cols w:equalWidth="0" w:num="1">
            <w:col w:w="11004"/>
          </w:cols>
          <w:pgMar w:left="436" w:top="490" w:right="459" w:bottom="1440" w:gutter="0" w:footer="0" w:header="0"/>
        </w:sectPr>
      </w:pPr>
    </w:p>
    <w:bookmarkStart w:id="55" w:name="page56"/>
    <w:bookmarkEnd w:id="55"/>
    <w:p>
      <w:pPr>
        <w:ind w:left="264" w:hanging="264"/>
        <w:spacing w:after="0"/>
        <w:tabs>
          <w:tab w:leader="none" w:pos="26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left="4" w:right="120" w:hanging="4"/>
        <w:spacing w:after="0" w:line="290" w:lineRule="auto"/>
        <w:tabs>
          <w:tab w:leader="none" w:pos="249"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Holder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65" w:lineRule="exact"/>
        <w:rPr>
          <w:rFonts w:ascii="Arial" w:cs="Arial" w:eastAsia="Arial" w:hAnsi="Arial"/>
          <w:sz w:val="16"/>
          <w:szCs w:val="16"/>
          <w:color w:val="auto"/>
        </w:rPr>
      </w:pPr>
    </w:p>
    <w:p>
      <w:pPr>
        <w:ind w:left="244" w:hanging="244"/>
        <w:spacing w:after="0"/>
        <w:tabs>
          <w:tab w:leader="none" w:pos="24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ind w:left="4" w:right="40" w:hanging="4"/>
        <w:spacing w:after="0" w:line="289" w:lineRule="auto"/>
        <w:tabs>
          <w:tab w:leader="none" w:pos="219"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6" w:lineRule="exact"/>
        <w:rPr>
          <w:rFonts w:ascii="Arial" w:cs="Arial" w:eastAsia="Arial" w:hAnsi="Arial"/>
          <w:sz w:val="16"/>
          <w:szCs w:val="16"/>
          <w:color w:val="auto"/>
        </w:rPr>
      </w:pPr>
    </w:p>
    <w:p>
      <w:pPr>
        <w:jc w:val="both"/>
        <w:ind w:left="4" w:right="580" w:hanging="4"/>
        <w:spacing w:after="0" w:line="263" w:lineRule="auto"/>
        <w:tabs>
          <w:tab w:leader="none" w:pos="269"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 w:right="20" w:hanging="4"/>
        <w:spacing w:after="0" w:line="257" w:lineRule="auto"/>
        <w:tabs>
          <w:tab w:leader="none" w:pos="24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87" w:lineRule="exact"/>
        <w:rPr>
          <w:rFonts w:ascii="Arial" w:cs="Arial" w:eastAsia="Arial" w:hAnsi="Arial"/>
          <w:sz w:val="18"/>
          <w:szCs w:val="18"/>
          <w:color w:val="auto"/>
        </w:rPr>
      </w:pPr>
    </w:p>
    <w:p>
      <w:pPr>
        <w:ind w:left="4" w:right="60" w:hanging="4"/>
        <w:spacing w:after="0" w:line="342" w:lineRule="auto"/>
        <w:tabs>
          <w:tab w:leader="none" w:pos="25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Holder acknowledges that the Warrant Shares acquired upon the exercise of this Warrant, if not registered and if the Holder does not utilize cashless exercise after expiration of the Rule 144 holding period, will contain a legend to the effect that the Warrant Shares are not registered.</w:t>
      </w:r>
    </w:p>
    <w:p>
      <w:pPr>
        <w:spacing w:after="0" w:line="123" w:lineRule="exact"/>
        <w:rPr>
          <w:rFonts w:ascii="Arial" w:cs="Arial" w:eastAsia="Arial" w:hAnsi="Arial"/>
          <w:sz w:val="16"/>
          <w:szCs w:val="16"/>
          <w:color w:val="auto"/>
        </w:rPr>
      </w:pPr>
    </w:p>
    <w:p>
      <w:pPr>
        <w:ind w:left="4" w:hanging="4"/>
        <w:spacing w:after="0" w:line="286" w:lineRule="auto"/>
        <w:tabs>
          <w:tab w:leader="none" w:pos="239"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Amendment and Waiver</w:t>
      </w:r>
      <w:r>
        <w:rPr>
          <w:rFonts w:ascii="Arial" w:cs="Arial" w:eastAsia="Arial" w:hAnsi="Arial"/>
          <w:sz w:val="17"/>
          <w:szCs w:val="17"/>
          <w:color w:val="auto"/>
        </w:rPr>
        <w:t>. This Warrant may be amended only in writing signed by the Company and the Holder, or their successors and assigns.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165" w:lineRule="exact"/>
        <w:rPr>
          <w:rFonts w:ascii="Arial" w:cs="Arial" w:eastAsia="Arial" w:hAnsi="Arial"/>
          <w:sz w:val="17"/>
          <w:szCs w:val="17"/>
          <w:color w:val="auto"/>
        </w:rPr>
      </w:pPr>
    </w:p>
    <w:p>
      <w:pPr>
        <w:ind w:left="224" w:hanging="224"/>
        <w:spacing w:after="0"/>
        <w:tabs>
          <w:tab w:leader="none" w:pos="224"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Receipt of this Warrant by the Holder shall constitute acceptance of and agreement to all of the terms and conditions contained herein.</w:t>
      </w:r>
    </w:p>
    <w:p>
      <w:pPr>
        <w:sectPr>
          <w:pgSz w:w="11900" w:h="16838" w:orient="portrait"/>
          <w:cols w:equalWidth="0" w:num="1">
            <w:col w:w="11024"/>
          </w:cols>
          <w:pgMar w:left="436" w:top="490" w:right="439" w:bottom="1440" w:gutter="0" w:footer="0" w:header="0"/>
        </w:sectPr>
      </w:pPr>
    </w:p>
    <w:bookmarkStart w:id="56" w:name="page57"/>
    <w:bookmarkEnd w:id="56"/>
    <w:p>
      <w:pPr>
        <w:ind w:left="4" w:right="80" w:hanging="4"/>
        <w:spacing w:after="0" w:line="252" w:lineRule="auto"/>
        <w:tabs>
          <w:tab w:leader="none" w:pos="25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Governing Law; Jurisdiction</w:t>
      </w:r>
      <w:r>
        <w:rPr>
          <w:rFonts w:ascii="Arial" w:cs="Arial" w:eastAsia="Arial" w:hAnsi="Arial"/>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OF THE COMPANY AND THE HOLDER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6" w:lineRule="exact"/>
        <w:rPr>
          <w:rFonts w:ascii="Arial" w:cs="Arial" w:eastAsia="Arial" w:hAnsi="Arial"/>
          <w:sz w:val="18"/>
          <w:szCs w:val="18"/>
          <w:color w:val="auto"/>
        </w:rPr>
      </w:pPr>
    </w:p>
    <w:p>
      <w:pPr>
        <w:ind w:left="4" w:right="20" w:hanging="4"/>
        <w:spacing w:after="0" w:line="277" w:lineRule="auto"/>
        <w:tabs>
          <w:tab w:leader="none" w:pos="25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Warrant and shall not be deemed to limit or affect any of the provisions hereof.</w:t>
      </w:r>
    </w:p>
    <w:p>
      <w:pPr>
        <w:spacing w:after="0" w:line="170" w:lineRule="exact"/>
        <w:rPr>
          <w:rFonts w:ascii="Arial" w:cs="Arial" w:eastAsia="Arial" w:hAnsi="Arial"/>
          <w:sz w:val="18"/>
          <w:szCs w:val="18"/>
          <w:color w:val="auto"/>
        </w:rPr>
      </w:pPr>
    </w:p>
    <w:p>
      <w:pPr>
        <w:ind w:left="4" w:hanging="4"/>
        <w:spacing w:after="0" w:line="273" w:lineRule="auto"/>
        <w:tabs>
          <w:tab w:leader="none" w:pos="219"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case any one or more of the provisions of this Warrant is held by a court of competent jurisdiction to be shall be invalid, illegal, void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0944"/>
          </w:cols>
          <w:pgMar w:left="436" w:top="490" w:right="51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IN WITNESS WHEREOF, the Company has caused this Warrant to be duly executed as of the Original Issue Date set out above.</w:t>
      </w:r>
    </w:p>
    <w:p>
      <w:pPr>
        <w:spacing w:after="0" w:line="260"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606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John Quisel</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6"/>
          <w:szCs w:val="16"/>
          <w:color w:val="auto"/>
        </w:rPr>
        <w:t>Title:</w:t>
        <w:tab/>
        <w:t>President and Chief Executive Officer</w:t>
      </w:r>
    </w:p>
    <w:p>
      <w:pPr>
        <w:sectPr>
          <w:pgSz w:w="11900" w:h="16838" w:orient="portrait"/>
          <w:cols w:equalWidth="0" w:num="1">
            <w:col w:w="10019"/>
          </w:cols>
          <w:pgMar w:left="440" w:top="490" w:right="1440" w:bottom="1440" w:gutter="0" w:footer="0" w:header="0"/>
        </w:sectPr>
      </w:pPr>
    </w:p>
    <w:bookmarkStart w:id="58" w:name="page59"/>
    <w:bookmarkEnd w:id="58"/>
    <w:p>
      <w:pPr>
        <w:jc w:val="center"/>
        <w:ind w:right="-24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1</w:t>
      </w:r>
    </w:p>
    <w:p>
      <w:pPr>
        <w:spacing w:after="0" w:line="117"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FORM OF EXERCISE NOTICE</w:t>
      </w:r>
    </w:p>
    <w:p>
      <w:pPr>
        <w:spacing w:after="0" w:line="117" w:lineRule="exact"/>
        <w:rPr>
          <w:sz w:val="20"/>
          <w:szCs w:val="20"/>
          <w:color w:val="auto"/>
        </w:rPr>
      </w:pPr>
    </w:p>
    <w:p>
      <w:pPr>
        <w:jc w:val="center"/>
        <w:ind w:right="-243"/>
        <w:spacing w:after="0"/>
        <w:rPr>
          <w:sz w:val="20"/>
          <w:szCs w:val="20"/>
          <w:color w:val="auto"/>
        </w:rPr>
      </w:pPr>
      <w:r>
        <w:rPr>
          <w:rFonts w:ascii="Arial" w:cs="Arial" w:eastAsia="Arial" w:hAnsi="Arial"/>
          <w:sz w:val="18"/>
          <w:szCs w:val="18"/>
          <w:color w:val="auto"/>
        </w:rPr>
        <w:t>[To be executed by the Holder to purchase shares of Common Stock under the Warrant]</w:t>
      </w:r>
    </w:p>
    <w:p>
      <w:pPr>
        <w:spacing w:after="0" w:line="221" w:lineRule="exact"/>
        <w:rPr>
          <w:sz w:val="20"/>
          <w:szCs w:val="20"/>
          <w:color w:val="auto"/>
        </w:rPr>
      </w:pPr>
    </w:p>
    <w:p>
      <w:pPr>
        <w:jc w:val="center"/>
        <w:ind w:right="-243"/>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400" w:hanging="4"/>
        <w:spacing w:after="0" w:line="308" w:lineRule="auto"/>
        <w:tabs>
          <w:tab w:leader="none" w:pos="256"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undersigned is the Holder of Warrant No. [ ] (the “</w:t>
      </w:r>
      <w:r>
        <w:rPr>
          <w:rFonts w:ascii="Arial" w:cs="Arial" w:eastAsia="Arial" w:hAnsi="Arial"/>
          <w:sz w:val="17"/>
          <w:szCs w:val="17"/>
          <w:u w:val="single" w:color="auto"/>
          <w:color w:val="auto"/>
        </w:rPr>
        <w:t>Warrant</w:t>
      </w:r>
      <w:r>
        <w:rPr>
          <w:rFonts w:ascii="Arial" w:cs="Arial" w:eastAsia="Arial" w:hAnsi="Arial"/>
          <w:sz w:val="17"/>
          <w:szCs w:val="17"/>
          <w:color w:val="auto"/>
        </w:rPr>
        <w:t>”) issued by Disc Medicine,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Capitalized terms used herein and not otherwise defined herein have the respective meanings set forth in the Warrant.</w:t>
      </w:r>
    </w:p>
    <w:p>
      <w:pPr>
        <w:spacing w:after="0" w:line="146" w:lineRule="exact"/>
        <w:rPr>
          <w:rFonts w:ascii="Arial" w:cs="Arial" w:eastAsia="Arial" w:hAnsi="Arial"/>
          <w:sz w:val="17"/>
          <w:szCs w:val="17"/>
          <w:color w:val="auto"/>
        </w:rPr>
      </w:pPr>
    </w:p>
    <w:p>
      <w:pPr>
        <w:ind w:left="244" w:hanging="244"/>
        <w:spacing w:after="0"/>
        <w:tabs>
          <w:tab w:leader="none" w:pos="24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undersigned hereby exercises its right to purchase Warrant Shares pursuant to the Warrant.</w:t>
      </w:r>
    </w:p>
    <w:p>
      <w:pPr>
        <w:spacing w:after="0" w:line="225" w:lineRule="exact"/>
        <w:rPr>
          <w:rFonts w:ascii="Arial" w:cs="Arial" w:eastAsia="Arial" w:hAnsi="Arial"/>
          <w:sz w:val="18"/>
          <w:szCs w:val="18"/>
          <w:color w:val="auto"/>
        </w:rPr>
      </w:pPr>
    </w:p>
    <w:p>
      <w:pPr>
        <w:ind w:left="244" w:hanging="244"/>
        <w:spacing w:after="0"/>
        <w:tabs>
          <w:tab w:leader="none" w:pos="24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Holder intends that payment of the Exercise Price shall be made as (check one):</w:t>
      </w:r>
    </w:p>
    <w:p>
      <w:pPr>
        <w:spacing w:after="0" w:line="117" w:lineRule="exact"/>
        <w:rPr>
          <w:sz w:val="20"/>
          <w:szCs w:val="20"/>
          <w:color w:val="auto"/>
        </w:rPr>
      </w:pPr>
    </w:p>
    <w:p>
      <w:pPr>
        <w:ind w:left="204" w:hanging="204"/>
        <w:spacing w:after="0"/>
        <w:tabs>
          <w:tab w:leader="none" w:pos="204" w:val="left"/>
        </w:tabs>
        <w:numPr>
          <w:ilvl w:val="0"/>
          <w:numId w:val="79"/>
        </w:numPr>
        <w:rPr>
          <w:rFonts w:ascii="MS PGothic" w:cs="MS PGothic" w:eastAsia="MS PGothic" w:hAnsi="MS PGothic"/>
          <w:sz w:val="18"/>
          <w:szCs w:val="18"/>
          <w:color w:val="auto"/>
        </w:rPr>
      </w:pPr>
      <w:r>
        <w:rPr>
          <w:rFonts w:ascii="Arial" w:cs="Arial" w:eastAsia="Arial" w:hAnsi="Arial"/>
          <w:sz w:val="18"/>
          <w:szCs w:val="18"/>
          <w:color w:val="auto"/>
        </w:rPr>
        <w:t>Cash Exercise</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79"/>
        </w:numPr>
        <w:rPr>
          <w:rFonts w:ascii="MS PGothic" w:cs="MS PGothic" w:eastAsia="MS PGothic" w:hAnsi="MS PGothic"/>
          <w:sz w:val="18"/>
          <w:szCs w:val="18"/>
          <w:color w:val="auto"/>
        </w:rPr>
      </w:pPr>
      <w:r>
        <w:rPr>
          <w:rFonts w:ascii="Arial" w:cs="Arial" w:eastAsia="Arial" w:hAnsi="Arial"/>
          <w:sz w:val="18"/>
          <w:szCs w:val="18"/>
          <w:color w:val="auto"/>
        </w:rPr>
        <w:t>“Cashless Exercise” under Section 10 of the Warrant</w:t>
      </w:r>
    </w:p>
    <w:p>
      <w:pPr>
        <w:spacing w:after="0" w:line="225" w:lineRule="exact"/>
        <w:rPr>
          <w:sz w:val="20"/>
          <w:szCs w:val="20"/>
          <w:color w:val="auto"/>
        </w:rPr>
      </w:pPr>
    </w:p>
    <w:p>
      <w:pPr>
        <w:ind w:left="4" w:right="520" w:hanging="4"/>
        <w:spacing w:after="0" w:line="277" w:lineRule="auto"/>
        <w:tabs>
          <w:tab w:leader="none" w:pos="2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Holder has elected a Cash Exercise, the Holder shall pay the sum of $__________ in immediately available funds to the Company in accordance with the terms of the Warrant.</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Pursuant to this Exercise Notice, the Company shall deliver to the Holder Warrant Shares determined in accordance with the terms of the Warrant.</w:t>
      </w:r>
    </w:p>
    <w:p>
      <w:pPr>
        <w:spacing w:after="0" w:line="248" w:lineRule="exact"/>
        <w:rPr>
          <w:rFonts w:ascii="Arial" w:cs="Arial" w:eastAsia="Arial" w:hAnsi="Arial"/>
          <w:sz w:val="16"/>
          <w:szCs w:val="16"/>
          <w:color w:val="auto"/>
        </w:rPr>
      </w:pPr>
    </w:p>
    <w:p>
      <w:pPr>
        <w:ind w:left="264" w:hanging="264"/>
        <w:spacing w:after="0"/>
        <w:tabs>
          <w:tab w:leader="none" w:pos="2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By its delivery of this Exercise Notice, the undersigned represents and warrants to the Company that in giving effect to the exercise evidenced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hereby the Holder, together with the other Attribution Parties, will not beneficially own in excess of the Maximum Percentage or the HSR Threshold.</w:t>
      </w:r>
    </w:p>
    <w:p>
      <w:pPr>
        <w:spacing w:after="0" w:line="234"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Holder:</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-10160</wp:posOffset>
            </wp:positionV>
            <wp:extent cx="1999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-19050</wp:posOffset>
            </wp:positionV>
            <wp:extent cx="1999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99615"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-19050</wp:posOffset>
            </wp:positionV>
            <wp:extent cx="19996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99615" cy="8890"/>
                    </a:xfrm>
                    <a:prstGeom prst="rect">
                      <a:avLst/>
                    </a:prstGeom>
                    <a:noFill/>
                  </pic:spPr>
                </pic:pic>
              </a:graphicData>
            </a:graphic>
          </wp:anchor>
        </w:drawing>
      </w:r>
    </w:p>
    <w:p>
      <w:pPr>
        <w:spacing w:after="0" w:line="191"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(Signature must conform in all respects to name of Holder as specified on the face of the Warrant)</w:t>
      </w:r>
    </w:p>
    <w:p>
      <w:pPr>
        <w:sectPr>
          <w:pgSz w:w="11900" w:h="16838" w:orient="portrait"/>
          <w:cols w:equalWidth="0" w:num="1">
            <w:col w:w="10764"/>
          </w:cols>
          <w:pgMar w:left="436" w:top="490" w:right="699" w:bottom="1440" w:gutter="0" w:footer="0" w:header="0"/>
        </w:sectPr>
      </w:pPr>
    </w:p>
    <w:bookmarkStart w:id="59" w:name="page60"/>
    <w:bookmarkEnd w:id="59"/>
    <w:p>
      <w:pPr>
        <w:ind w:left="4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ACKNOWLEDGMENT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hereby acknowledges this Exercise Notice and hereby directs the Transfer Agent to issue the above indicated number of shares of Common Stock within the Standard Settlement Period.</w:t>
      </w:r>
    </w:p>
    <w:p>
      <w:pPr>
        <w:spacing w:after="0" w:line="193"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DISC MEDICINE, INC.</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606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380"/>
          </w:cols>
          <w:pgMar w:left="440" w:top="486" w:right="1079" w:bottom="1440" w:gutter="0" w:footer="0" w:header="0"/>
        </w:sectPr>
      </w:pPr>
    </w:p>
    <w:bookmarkStart w:id="60" w:name="page61"/>
    <w:bookmarkEnd w:id="60"/>
    <w:p>
      <w:pPr>
        <w:jc w:val="center"/>
        <w:ind w:right="-9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Schedule 2</w:t>
      </w:r>
    </w:p>
    <w:p>
      <w:pPr>
        <w:spacing w:after="0" w:line="117"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ASSIGNMENT FORM</w:t>
      </w:r>
    </w:p>
    <w:p>
      <w:pPr>
        <w:spacing w:after="0" w:line="117" w:lineRule="exact"/>
        <w:rPr>
          <w:sz w:val="20"/>
          <w:szCs w:val="20"/>
          <w:color w:val="auto"/>
        </w:rPr>
      </w:pPr>
    </w:p>
    <w:p>
      <w:pPr>
        <w:jc w:val="center"/>
        <w:ind w:right="-939"/>
        <w:spacing w:after="0"/>
        <w:rPr>
          <w:sz w:val="20"/>
          <w:szCs w:val="20"/>
          <w:color w:val="auto"/>
        </w:rPr>
      </w:pPr>
      <w:r>
        <w:rPr>
          <w:rFonts w:ascii="Arial" w:cs="Arial" w:eastAsia="Arial" w:hAnsi="Arial"/>
          <w:sz w:val="16"/>
          <w:szCs w:val="16"/>
          <w:i w:val="1"/>
          <w:iCs w:val="1"/>
          <w:color w:val="auto"/>
        </w:rPr>
        <w:t>(To assign the foregoing Warrant, execute this form and supply required information. Do not use this form to purchase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14605</wp:posOffset>
            </wp:positionV>
            <wp:extent cx="3429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5715</wp:posOffset>
            </wp:positionV>
            <wp:extent cx="34290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(Please Print)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Phone Number: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Email Address:</w:t>
      </w:r>
    </w:p>
    <w:p>
      <w:pPr>
        <w:spacing w:after="0" w:line="11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ectPr>
          <w:pgSz w:w="11900" w:h="16838" w:orient="portrait"/>
          <w:cols w:equalWidth="0" w:num="1">
            <w:col w:w="10060"/>
          </w:cols>
          <w:pgMar w:left="440" w:top="490" w:right="139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S-3</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S-3 (File No. 333-269272) (as amended or supplemented, the “Registration Statement”) filed on January 18, 2023 with the Securities and Exchange Commission (the “Commission”) pursuant to the Securities Act of 1933, as amended (the “Securities Act”), relating to the registration of the offer by Disc Medicine, Inc., a Delaware corporation (the “Company”), of up to $300,000,000 of any combination of securities of the types specified therein. The Registration Statement was declared effective by the Commission on January 24, 2023. Reference is made to our opinion letter dated January 17, 2023 and included as Exhibit 5.1 to the Registration Statement. We are delivering this supplemental opinion letter in connection with the prospectus supplement (the “Prospectus Supplement”) filed on June 15, 2023 by the Company with the Commission pursuant to Rule 424 under the Securities Act. The Prospectus Supplement relates to the offering by the Company of up to 2,595,919 shares of the Company’s common stock, par value $0.0001 per share (the “Shares”), and (ii) pre-funded warrants to purchase up to 204,081 shares (the “Pre-Funded Warrant Shares”) of common stock of the Company (the “Pre-Funded Warrants” and, together with the Shares and the Pre-Funded Warrant Shares, the “Securities”), covered by the Registration Statement. The Shares include an over-allotment option granted to the underwriters of the offering to purchase 420,000 shares of common stock. The Shares and the Pre-Funded Warrants are being sold to the several underwriters named in, and pursuant to, an underwriting agreement among the Company and such underwriters (the “Underwriting Agreement”).</w:t>
      </w:r>
    </w:p>
    <w:p>
      <w:pPr>
        <w:spacing w:after="0" w:line="18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the foregoing, we are of the opinion that:</w:t>
      </w:r>
    </w:p>
    <w:p>
      <w:pPr>
        <w:spacing w:after="0" w:line="117" w:lineRule="exact"/>
        <w:rPr>
          <w:sz w:val="20"/>
          <w:szCs w:val="20"/>
          <w:color w:val="auto"/>
        </w:rPr>
      </w:pPr>
    </w:p>
    <w:p>
      <w:pPr>
        <w:ind w:right="240" w:firstLine="436"/>
        <w:spacing w:after="0" w:line="277" w:lineRule="auto"/>
        <w:tabs>
          <w:tab w:leader="none" w:pos="61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Shares have been duly authorized and, when delivered and paid for in accordance with the terms of the Underwriting Agreement, will be validly issued, fully paid and non-assessable.</w:t>
      </w:r>
    </w:p>
    <w:p>
      <w:pPr>
        <w:spacing w:after="0" w:line="170" w:lineRule="exact"/>
        <w:rPr>
          <w:rFonts w:ascii="Arial" w:cs="Arial" w:eastAsia="Arial" w:hAnsi="Arial"/>
          <w:sz w:val="18"/>
          <w:szCs w:val="18"/>
          <w:color w:val="auto"/>
        </w:rPr>
      </w:pPr>
    </w:p>
    <w:p>
      <w:pPr>
        <w:ind w:right="620" w:firstLine="436"/>
        <w:spacing w:after="0" w:line="277" w:lineRule="auto"/>
        <w:tabs>
          <w:tab w:leader="none" w:pos="61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Pre-Funded Warrants have been duly authorized and, when delivered and paid for in accordance with the terms of the Underwriting Agreement, will be valid and binding obligations of the Company.</w:t>
      </w:r>
    </w:p>
    <w:p>
      <w:pPr>
        <w:sectPr>
          <w:pgSz w:w="11900" w:h="16838" w:orient="portrait"/>
          <w:cols w:equalWidth="0" w:num="1">
            <w:col w:w="11020"/>
          </w:cols>
          <w:pgMar w:left="440" w:top="121" w:right="4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Disc Medicine,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13,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0" w:firstLine="436"/>
        <w:spacing w:after="0" w:line="277" w:lineRule="auto"/>
        <w:tabs>
          <w:tab w:leader="none" w:pos="61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Assuming the Pre-Funded Warrant Shares were issued today in accordance with the terms of the Pre-Funded Warrants, they would be validly issued, fully paid and non-assessable.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This opinion letter and the opinion it contains shall be interpreted in accordance with the Core Opinion Principles as published in 74 </w:t>
      </w:r>
      <w:r>
        <w:rPr>
          <w:rFonts w:ascii="Arial" w:cs="Arial" w:eastAsia="Arial" w:hAnsi="Arial"/>
          <w:sz w:val="18"/>
          <w:szCs w:val="18"/>
          <w:i w:val="1"/>
          <w:iCs w:val="1"/>
          <w:color w:val="auto"/>
        </w:rPr>
        <w:t>Business Lawyer</w:t>
      </w:r>
      <w:r>
        <w:rPr>
          <w:rFonts w:ascii="Arial" w:cs="Arial" w:eastAsia="Arial" w:hAnsi="Arial"/>
          <w:sz w:val="18"/>
          <w:szCs w:val="18"/>
          <w:color w:val="auto"/>
        </w:rPr>
        <w:t xml:space="preserve"> 815 (Summer 2019).</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inclusion of this opinion as Exhibit 5.1 to the Current Report and its incorporation by reference and the reference to our firm in the Current Report. In giving our consent, we do not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0960"/>
          </w:cols>
          <w:pgMar w:left="440" w:top="490" w:right="4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171450</wp:posOffset>
            </wp:positionV>
            <wp:extent cx="2691765" cy="420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9176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 Medicine Announces Proposed Public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Common Stock and Pre-Funded Warrants</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WATERTOWN, Mass. – (GLOBE NEWSWIRE) – June 12, 2023 – Disc Medicine, Inc. (NASDAQ: IRON) (Disc), a clinical-stage biopharmaceutical company focused on the discovery, development, and commercialization of novel treatments for patients suffering from serious hematologic diseases, today announced that it has commenced an underwritten public offering of $100 million of shares of its common stock and, in lieu of common stock to certain investors that so choose, pre-funded warrants to purchase shares of its common stock. All shares of common stock and pre-funded warrants to be sold in the offering will be offered by Disc. In addition, Disc intends to grant the underwriters a 30-day option to purchase up to an additional</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$15 million of shares of its common stock at the public offering price, less underwriting discounts and commissions. The offering is subject to market and other conditions, and there can be no assurance as to whether or when the offering may be completed, or as to the actual size or terms of the offering.</w:t>
      </w:r>
    </w:p>
    <w:p>
      <w:pPr>
        <w:spacing w:after="0" w:line="1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Disc intends to use the net proceeds from the offering to fund research and clinical development of its current or additional product candidates, as well as for working capital and other general corporate purposes.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Morgan Stanley, SVB Securities, Stifel and BMO Capital Markets are acting as joint book-running managers for the offering. Wedbush PacGrow is acting as lead manager for the offering.</w:t>
      </w:r>
    </w:p>
    <w:p>
      <w:pPr>
        <w:spacing w:after="0" w:line="170"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securities described above are being offered by Disc pursuant to a shelf registration statement on Form S-3 (No. 333-269272) that was declared effective by the Securities and Exchange Commission (SEC) on January 24, 2023. This offering is being made only by means of a prospectus and prospectus supplement that form a part of the registration statement. A preliminary prospectus supplement related to the offering will be filed with the SEC and will be available on the SEC’s website at www.sec.gov. Copies of the preliminary prospectus supplement and the accompanying prospectus relating to this offering may also be obtained, when available, by contacting: Morgan Stanley &amp; Co. LLC, Attention: Prospectus Department, 180 Varick Street, 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Floor, New York, New York 10014; SVB Securities LLC, Attention: Syndicate Department, 53 State Street, 40th Floor, Boston, Massachusetts 02109, telephone: 1 (800) 808-7525 ext. 6105, or by emailing syndicate@svbsecurities.com; Stifel, Nicolaus &amp; Company, Incorporated, Attention: Syndicate, One Montgomery Street, Suite 3700, San Francisco, California 94104, telephone: (415) 364-2720 or by emailing syndprospectus@stifel.com; or BMO Capital Markets Corp., Attention: Equity Syndicate Department, 151 W 42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Street, 32</w:t>
      </w:r>
      <w:r>
        <w:rPr>
          <w:rFonts w:ascii="Arial" w:cs="Arial" w:eastAsia="Arial" w:hAnsi="Arial"/>
          <w:sz w:val="25"/>
          <w:szCs w:val="25"/>
          <w:color w:val="auto"/>
          <w:vertAlign w:val="superscript"/>
        </w:rPr>
        <w:t>nd</w:t>
      </w:r>
      <w:r>
        <w:rPr>
          <w:rFonts w:ascii="Arial" w:cs="Arial" w:eastAsia="Arial" w:hAnsi="Arial"/>
          <w:sz w:val="17"/>
          <w:szCs w:val="17"/>
          <w:color w:val="auto"/>
        </w:rPr>
        <w:t xml:space="preserve"> Floor, New York, New York 10036, telephone: (212) 702-1101, or by emailing bmoprospectus@bmo.com.</w:t>
      </w:r>
    </w:p>
    <w:p>
      <w:pPr>
        <w:spacing w:after="0" w:line="21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Disc Medicine</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Disc Medicine (NASDAQ: 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w:t>
      </w:r>
    </w:p>
    <w:p>
      <w:pPr>
        <w:sectPr>
          <w:pgSz w:w="11900" w:h="16838" w:orient="portrait"/>
          <w:cols w:equalWidth="0" w:num="1">
            <w:col w:w="11020"/>
          </w:cols>
          <w:pgMar w:left="440" w:top="121"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2428240</wp:posOffset>
            </wp:positionH>
            <wp:positionV relativeFrom="page">
              <wp:posOffset>320675</wp:posOffset>
            </wp:positionV>
            <wp:extent cx="2691765" cy="420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2691765" cy="420370"/>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express or implied statements related to Disc’s expectations regarding the timing of the proposed public offering, the size and expected gross proceeds from the offering, the anticipated use of proceeds from the proposed offering and the grant to the underwriters of an option to purchase additional shares.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Disc’s stock price, changes in market conditions, the completion of the public offering on the anticipated terms or at all, and other risks identified in our SEC filings, including our Quarterly Report on Form 10-Q for the quarter ended March 31, 2023 and in the preliminary prospectus supplement related to the offering to be filed with the SEC on or about June 12, 2023. We caution you not to place undue reliance on any forward-looking statements, which speak only as of the date they are made. We disclaim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Peg Rusconi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prusconi@vergescientific.com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christina.tartaglia@sternir.com</w:t>
      </w:r>
    </w:p>
    <w:p>
      <w:pPr>
        <w:sectPr>
          <w:pgSz w:w="11900" w:h="16838" w:orient="portrait"/>
          <w:cols w:equalWidth="0" w:num="1">
            <w:col w:w="11000"/>
          </w:cols>
          <w:pgMar w:left="440" w:top="1296" w:right="4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171450</wp:posOffset>
            </wp:positionV>
            <wp:extent cx="2691765" cy="4203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9176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 Medicine Announces Pricing of Upsized Public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Common Stock and Pre-Funded Warrants</w:t>
      </w:r>
    </w:p>
    <w:p>
      <w:pPr>
        <w:spacing w:after="0" w:line="21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WATERTOWN, Mass. — (GLOBE NEWSWIRE) – June 13, 2023 – Disc Medicine, Inc. (NASDAQ: IRON) (Disc), a clinical-stage biopharmaceutical company focused on the discovery, development, and commercialization of novel treatments for patients suffering from serious hematologic diseases, today announced the pricing of its upsized underwritten public offering of shares of its common stock and, in lieu of common stock to certain investors that so choose, pre-funded warrants to purchase shares of its common stock. Disc is selling 2,595,919 shares of common stock and pre-funded warrants to purchase 204,081 shares of common stock in the offering. The shares of common stock are being sold at a public offering price of $49.00 per share, and the pre-funded warrants are being sold at a public offering price of $48.9999 per pre-funded warrant, which represents the per share public offering price for the common stock less the $0.0001 per share exercise price for each such pre-funded warrant. The aggregate gross proceeds to Disc from this offering are expected to be $137.2 million, before deducting underwriting discounts and commissions and other estimated offering expenses, excluding the exercise of any pre-funded warrants. In addition, Disc has granted the underwriters a 30-day option to purchase up to an additional 420,000 shares of its common stock at the public offering price less underwriting discounts and commissions. All of the securities being sold in the offering are being offered by Disc. The offering is expected to close on June 16, 2023, subject to the satisfaction of customary closing conditions.</w:t>
      </w:r>
    </w:p>
    <w:p>
      <w:pPr>
        <w:spacing w:after="0" w:line="17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Disc intends to use the net proceeds from the offering to fund research and clinical development of its current or additional product candidates, as well as for working capital and other general corporate purposes.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Morgan Stanley, SVB Securities, Stifel and BMO Capital Markets are acting as joint book-running managers for the offering. Wedbush PacGrow is acting as lead manager for the offering.</w:t>
      </w:r>
    </w:p>
    <w:p>
      <w:pPr>
        <w:spacing w:after="0" w:line="170"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securities described above are being offered by Disc pursuant to a shelf registration statement on Form S-3 (No. 333-269272) that was declared effective by the Securities and Exchange Commission (SEC) on January 24, 2023. This offering is being made only by means of a prospectus and prospectus supplement that form a part of the registration statement. A preliminary prospectus supplement and accompanying prospectus related to the offering has been filed, and a final prospectus supplement and accompanying prospectus related to the offering will be filed, with the SEC and are or will be available on the SEC’s website at www.sec.gov. Copies of the final prospectus supplement and the accompanying prospectus relating to this offering may also be obtained, when available, by contacting: Morgan Stanley &amp; Co. LLC, Attention: Prospectus Department, 180 Varick Street, 2nd Floor, New York, New York 10014; SVB Securities LLC, Attention: Syndicate Department, 53 State Street, 40th Floor, Boston, Massachusetts 02109, telephone: 1 (800) 808-7525 ext. 6105, or by emailing syndicate@svbsecurities.com; Stifel, Nicolaus &amp; Company, Incorporated, Attention: Syndicate, One Montgomery Street, Suite 3700, San Francisco, California 94104, telephone: (415) 364-2720 or by emailing syndprospectus@stifel.com; or BMO Capital Markets Corp., Attention: Equity Syndicate Department, 151 W 42nd Street, 32nd Floor, New York, New York 10036, telephone: (212)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702-1101, or by emailing bmoprospectus@bmo.com.</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ectPr>
          <w:pgSz w:w="11900" w:h="16838" w:orient="portrait"/>
          <w:cols w:equalWidth="0" w:num="1">
            <w:col w:w="11020"/>
          </w:cols>
          <w:pgMar w:left="440" w:top="121"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page">
              <wp:posOffset>2428240</wp:posOffset>
            </wp:positionH>
            <wp:positionV relativeFrom="page">
              <wp:posOffset>320675</wp:posOffset>
            </wp:positionV>
            <wp:extent cx="2691765" cy="420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2691765" cy="420370"/>
                    </a:xfrm>
                    <a:prstGeom prst="rect">
                      <a:avLst/>
                    </a:prstGeom>
                    <a:noFill/>
                  </pic:spPr>
                </pic:pic>
              </a:graphicData>
            </a:graphic>
          </wp:anchor>
        </w:drawing>
        <w:t>About Disc Medicine</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Disc Medicine (NASDAQ: 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including, without limitation, express or implied statements related to Disc’s expectations regarding the timing and closing of the offering, and the anticipated use of proceeds from the offering.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Disc’s stock price, changes in market conditions, the satisfaction of customary closing conditions related to the public offering, and other risks identified in our SEC filings, including our Quarterly Report on Form 10-Q for the quarter ended March 31, 2023, and in the preliminary prospectus supplement related to the offering filed with the SEC on June 12, 2023. We caution you not to place undue reliance on any forward-looking statements, which speak only as of the date they are made. We disclaim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Peg Rusconi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prusconi@vergescientific.com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Christina Tartaglia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christina.tartaglia@sternir.com</w:t>
      </w:r>
    </w:p>
    <w:sectPr>
      <w:pgSz w:w="11900" w:h="16838" w:orient="portrait"/>
      <w:cols w:equalWidth="0" w:num="1">
        <w:col w:w="10980"/>
      </w:cols>
      <w:pgMar w:left="440" w:top="129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1"/>
      <w:numFmt w:val="lowerLetter"/>
      <w:start w:val="1"/>
    </w:lvl>
    <w:lvl w:ilvl="1">
      <w:lvlJc w:val="left"/>
      <w:lvlText w:val="%2."/>
      <w:numFmt w:val="decimal"/>
      <w:start w:val="1"/>
    </w:lvl>
  </w:abstractNum>
  <w:abstractNum w:abstractNumId="2">
    <w:nsid w:val="6A2342EC"/>
    <w:multiLevelType w:val="hybridMultilevel"/>
    <w:lvl w:ilvl="0">
      <w:lvlJc w:val="left"/>
      <w:lvlText w:val="(%1)"/>
      <w:numFmt w:val="lowerLetter"/>
      <w:start w:val="1"/>
    </w:lvl>
    <w:lvl w:ilvl="1">
      <w:lvlJc w:val="left"/>
      <w:lvlText w:val="%2"/>
      <w:numFmt w:val="decimal"/>
      <w:start w:val="1"/>
    </w:lvl>
  </w:abstractNum>
  <w:abstractNum w:abstractNumId="3">
    <w:nsid w:val="2A487CB0"/>
    <w:multiLevelType w:val="hybridMultilevel"/>
    <w:lvl w:ilvl="0">
      <w:lvlJc w:val="left"/>
      <w:lvlText w:val="(%1)"/>
      <w:numFmt w:val="lowerLetter"/>
      <w:start w:val="2"/>
    </w:lvl>
  </w:abstractNum>
  <w:abstractNum w:abstractNumId="4">
    <w:nsid w:val="1D4ED43B"/>
    <w:multiLevelType w:val="hybridMultilevel"/>
    <w:lvl w:ilvl="0">
      <w:lvlJc w:val="left"/>
      <w:lvlText w:val="(%1)"/>
      <w:numFmt w:val="lowerLetter"/>
      <w:start w:val="6"/>
    </w:lvl>
  </w:abstractNum>
  <w:abstractNum w:abstractNumId="5">
    <w:nsid w:val="725A06FB"/>
    <w:multiLevelType w:val="hybridMultilevel"/>
    <w:lvl w:ilvl="0">
      <w:lvlJc w:val="left"/>
      <w:lvlText w:val="(%1)"/>
      <w:numFmt w:val="lowerLetter"/>
      <w:start w:val="11"/>
    </w:lvl>
    <w:lvl w:ilvl="1">
      <w:lvlJc w:val="left"/>
      <w:lvlText w:val="(%2)"/>
      <w:numFmt w:val="lowerLetter"/>
      <w:start w:val="12"/>
    </w:lvl>
  </w:abstractNum>
  <w:abstractNum w:abstractNumId="6">
    <w:nsid w:val="2CD89A32"/>
    <w:multiLevelType w:val="hybridMultilevel"/>
    <w:lvl w:ilvl="0">
      <w:lvlJc w:val="left"/>
      <w:lvlText w:val="(%1)"/>
      <w:numFmt w:val="lowerLetter"/>
      <w:start w:val="13"/>
    </w:lvl>
  </w:abstractNum>
  <w:abstractNum w:abstractNumId="7">
    <w:nsid w:val="57E4CCAF"/>
    <w:multiLevelType w:val="hybridMultilevel"/>
    <w:lvl w:ilvl="0">
      <w:lvlJc w:val="left"/>
      <w:lvlText w:val="(%1)"/>
      <w:numFmt w:val="lowerLetter"/>
      <w:start w:val="18"/>
    </w:lvl>
  </w:abstractNum>
  <w:abstractNum w:abstractNumId="8">
    <w:nsid w:val="7A6D8D3C"/>
    <w:multiLevelType w:val="hybridMultilevel"/>
    <w:lvl w:ilvl="0">
      <w:lvlJc w:val="left"/>
      <w:lvlText w:val="(%1)"/>
      <w:numFmt w:val="lowerLetter"/>
      <w:start w:val="20"/>
    </w:lvl>
  </w:abstractNum>
  <w:abstractNum w:abstractNumId="9">
    <w:nsid w:val="4B588F54"/>
    <w:multiLevelType w:val="hybridMultilevel"/>
    <w:lvl w:ilvl="0">
      <w:lvlJc w:val="left"/>
      <w:lvlText w:val="(%1)"/>
      <w:numFmt w:val="lowerLetter"/>
      <w:start w:val="24"/>
    </w:lvl>
  </w:abstractNum>
  <w:abstractNum w:abstractNumId="10">
    <w:nsid w:val="542289EC"/>
    <w:multiLevelType w:val="hybridMultilevel"/>
    <w:lvl w:ilvl="0">
      <w:lvlJc w:val="left"/>
      <w:lvlText w:val="%1"/>
      <w:numFmt w:val="lowerLetter"/>
      <w:start w:val="1"/>
    </w:lvl>
    <w:lvl w:ilvl="1">
      <w:lvlJc w:val="left"/>
      <w:lvlText w:val="(%2)"/>
      <w:numFmt w:val="lowerLetter"/>
      <w:start w:val="27"/>
    </w:lvl>
  </w:abstractNum>
  <w:abstractNum w:abstractNumId="11">
    <w:nsid w:val="6DE91B18"/>
    <w:multiLevelType w:val="hybridMultilevel"/>
    <w:lvl w:ilvl="0">
      <w:lvlJc w:val="left"/>
      <w:lvlText w:val="(%1)"/>
      <w:numFmt w:val="lowerLetter"/>
      <w:start w:val="9"/>
    </w:lvl>
    <w:lvl w:ilvl="1">
      <w:lvlJc w:val="left"/>
      <w:lvlText w:val="%2"/>
      <w:numFmt w:val="lowerLetter"/>
      <w:start w:val="1"/>
    </w:lvl>
  </w:abstractNum>
  <w:abstractNum w:abstractNumId="12">
    <w:nsid w:val="38437FDB"/>
    <w:multiLevelType w:val="hybridMultilevel"/>
    <w:lvl w:ilvl="0">
      <w:lvlJc w:val="left"/>
      <w:lvlText w:val="(%1)"/>
      <w:numFmt w:val="lowerLetter"/>
      <w:start w:val="28"/>
    </w:lvl>
  </w:abstractNum>
  <w:abstractNum w:abstractNumId="13">
    <w:nsid w:val="7644A45C"/>
    <w:multiLevelType w:val="hybridMultilevel"/>
    <w:lvl w:ilvl="0">
      <w:lvlJc w:val="left"/>
      <w:lvlText w:val="(%1)"/>
      <w:numFmt w:val="lowerLetter"/>
      <w:start w:val="32"/>
    </w:lvl>
  </w:abstractNum>
  <w:abstractNum w:abstractNumId="14">
    <w:nsid w:val="32FFF902"/>
    <w:multiLevelType w:val="hybridMultilevel"/>
    <w:lvl w:ilvl="0">
      <w:lvlJc w:val="left"/>
      <w:lvlText w:val="(%1)"/>
      <w:numFmt w:val="lowerLetter"/>
      <w:start w:val="34"/>
    </w:lvl>
    <w:lvl w:ilvl="1">
      <w:lvlJc w:val="left"/>
      <w:lvlText w:val="(%2)"/>
      <w:numFmt w:val="lowerRoman"/>
      <w:start w:val="1"/>
    </w:lvl>
    <w:lvl w:ilvl="2">
      <w:lvlJc w:val="left"/>
      <w:lvlText w:val="(%3)"/>
      <w:numFmt w:val="upperLetter"/>
      <w:start w:val="1"/>
    </w:lvl>
  </w:abstractNum>
  <w:abstractNum w:abstractNumId="15">
    <w:nsid w:val="684A481A"/>
    <w:multiLevelType w:val="hybridMultilevel"/>
    <w:lvl w:ilvl="0">
      <w:lvlJc w:val="left"/>
      <w:lvlText w:val="(%1)"/>
      <w:numFmt w:val="lowerLetter"/>
      <w:start w:val="36"/>
    </w:lvl>
  </w:abstractNum>
  <w:abstractNum w:abstractNumId="16">
    <w:nsid w:val="579478FE"/>
    <w:multiLevelType w:val="hybridMultilevel"/>
    <w:lvl w:ilvl="0">
      <w:lvlJc w:val="left"/>
      <w:lvlText w:val="(%1)"/>
      <w:numFmt w:val="lowerLetter"/>
      <w:start w:val="39"/>
    </w:lvl>
  </w:abstractNum>
  <w:abstractNum w:abstractNumId="17">
    <w:nsid w:val="749ABB43"/>
    <w:multiLevelType w:val="hybridMultilevel"/>
    <w:lvl w:ilvl="0">
      <w:lvlJc w:val="left"/>
      <w:lvlText w:val="(%1)"/>
      <w:numFmt w:val="lowerLetter"/>
      <w:start w:val="41"/>
    </w:lvl>
  </w:abstractNum>
  <w:abstractNum w:abstractNumId="18">
    <w:nsid w:val="3DC240FB"/>
    <w:multiLevelType w:val="hybridMultilevel"/>
    <w:lvl w:ilvl="0">
      <w:lvlJc w:val="left"/>
      <w:lvlText w:val="(%1)"/>
      <w:numFmt w:val="lowerLetter"/>
      <w:start w:val="42"/>
    </w:lvl>
  </w:abstractNum>
  <w:abstractNum w:abstractNumId="19">
    <w:nsid w:val="1BA026FA"/>
    <w:multiLevelType w:val="hybridMultilevel"/>
    <w:lvl w:ilvl="0">
      <w:lvlJc w:val="left"/>
      <w:lvlText w:val="(%1)"/>
      <w:numFmt w:val="lowerLetter"/>
      <w:start w:val="46"/>
    </w:lvl>
  </w:abstractNum>
  <w:abstractNum w:abstractNumId="20">
    <w:nsid w:val="79A1DEAA"/>
    <w:multiLevelType w:val="hybridMultilevel"/>
    <w:lvl w:ilvl="0">
      <w:lvlJc w:val="left"/>
      <w:lvlText w:val="(%1)"/>
      <w:numFmt w:val="lowerLetter"/>
      <w:start w:val="47"/>
    </w:lvl>
  </w:abstractNum>
  <w:abstractNum w:abstractNumId="21">
    <w:nsid w:val="75C6C33A"/>
    <w:multiLevelType w:val="hybridMultilevel"/>
    <w:lvl w:ilvl="0">
      <w:lvlJc w:val="left"/>
      <w:lvlText w:val="(%1)"/>
      <w:numFmt w:val="lowerLetter"/>
      <w:start w:val="51"/>
    </w:lvl>
    <w:lvl w:ilvl="1">
      <w:lvlJc w:val="left"/>
      <w:lvlText w:val="%2."/>
      <w:numFmt w:val="decimal"/>
      <w:start w:val="2"/>
    </w:lvl>
  </w:abstractNum>
  <w:abstractNum w:abstractNumId="22">
    <w:nsid w:val="12E685FB"/>
    <w:multiLevelType w:val="hybridMultilevel"/>
    <w:lvl w:ilvl="0">
      <w:lvlJc w:val="left"/>
      <w:lvlText w:val="%1."/>
      <w:numFmt w:val="decimal"/>
      <w:start w:val="3"/>
    </w:lvl>
  </w:abstractNum>
  <w:abstractNum w:abstractNumId="23">
    <w:nsid w:val="70C6A529"/>
    <w:multiLevelType w:val="hybridMultilevel"/>
    <w:lvl w:ilvl="0">
      <w:lvlJc w:val="left"/>
      <w:lvlText w:val="%1."/>
      <w:numFmt w:val="decimal"/>
      <w:start w:val="4"/>
    </w:lvl>
  </w:abstractNum>
  <w:abstractNum w:abstractNumId="24">
    <w:nsid w:val="520EEDD1"/>
    <w:multiLevelType w:val="hybridMultilevel"/>
    <w:lvl w:ilvl="0">
      <w:lvlJc w:val="left"/>
      <w:lvlText w:val="%1."/>
      <w:numFmt w:val="decimal"/>
      <w:start w:val="5"/>
    </w:lvl>
  </w:abstractNum>
  <w:abstractNum w:abstractNumId="25">
    <w:nsid w:val="374A3FE6"/>
    <w:multiLevelType w:val="hybridMultilevel"/>
    <w:lvl w:ilvl="0">
      <w:lvlJc w:val="left"/>
      <w:lvlText w:val="(%1)"/>
      <w:numFmt w:val="lowerLetter"/>
      <w:start w:val="1"/>
    </w:lvl>
    <w:lvl w:ilvl="1">
      <w:lvlJc w:val="left"/>
      <w:lvlText w:val="(%2)"/>
      <w:numFmt w:val="lowerRoman"/>
      <w:start w:val="1"/>
    </w:lvl>
  </w:abstractNum>
  <w:abstractNum w:abstractNumId="26">
    <w:nsid w:val="4F4EF005"/>
    <w:multiLevelType w:val="hybridMultilevel"/>
    <w:lvl w:ilvl="0">
      <w:lvlJc w:val="left"/>
      <w:lvlText w:val="(%1)"/>
      <w:numFmt w:val="lowerLetter"/>
      <w:start w:val="3"/>
    </w:lvl>
  </w:abstractNum>
  <w:abstractNum w:abstractNumId="27">
    <w:nsid w:val="23F9C13C"/>
    <w:multiLevelType w:val="hybridMultilevel"/>
    <w:lvl w:ilvl="0">
      <w:lvlJc w:val="left"/>
      <w:lvlText w:val="(%1)"/>
      <w:numFmt w:val="lowerLetter"/>
      <w:start w:val="7"/>
    </w:lvl>
  </w:abstractNum>
  <w:abstractNum w:abstractNumId="28">
    <w:nsid w:val="649BB77C"/>
    <w:multiLevelType w:val="hybridMultilevel"/>
    <w:lvl w:ilvl="0">
      <w:lvlJc w:val="left"/>
      <w:lvlText w:val="(%1)"/>
      <w:numFmt w:val="lowerLetter"/>
      <w:start w:val="9"/>
    </w:lvl>
    <w:lvl w:ilvl="1">
      <w:lvlJc w:val="left"/>
      <w:lvlText w:val="(%2)"/>
      <w:numFmt w:val="lowerRoman"/>
      <w:start w:val="1"/>
    </w:lvl>
  </w:abstractNum>
  <w:abstractNum w:abstractNumId="29">
    <w:nsid w:val="275AC79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6"/>
    </w:lvl>
  </w:abstractNum>
  <w:abstractNum w:abstractNumId="30">
    <w:nsid w:val="39386575"/>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1">
    <w:nsid w:val="1CF10FD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180115BE"/>
    <w:multiLevelType w:val="hybridMultilevel"/>
    <w:lvl w:ilvl="0">
      <w:lvlJc w:val="left"/>
      <w:lvlText w:val="(%1)"/>
      <w:numFmt w:val="lowerLetter"/>
      <w:start w:val="5"/>
    </w:lvl>
  </w:abstractNum>
  <w:abstractNum w:abstractNumId="33">
    <w:nsid w:val="235BA861"/>
    <w:multiLevelType w:val="hybridMultilevel"/>
    <w:lvl w:ilvl="0">
      <w:lvlJc w:val="left"/>
      <w:lvlText w:val="(%1)"/>
      <w:numFmt w:val="lowerRoman"/>
      <w:start w:val="1"/>
    </w:lvl>
  </w:abstractNum>
  <w:abstractNum w:abstractNumId="34">
    <w:nsid w:val="47398C89"/>
    <w:multiLevelType w:val="hybridMultilevel"/>
    <w:lvl w:ilvl="0">
      <w:lvlJc w:val="left"/>
      <w:lvlText w:val="(%1)"/>
      <w:numFmt w:val="lowerLetter"/>
      <w:start w:val="10"/>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7"/>
    </w:lvl>
  </w:abstractNum>
  <w:abstractNum w:abstractNumId="37">
    <w:nsid w:val="741226BB"/>
    <w:multiLevelType w:val="hybridMultilevel"/>
    <w:lvl w:ilvl="0">
      <w:lvlJc w:val="left"/>
      <w:lvlText w:val="(%1)"/>
      <w:numFmt w:val="lowerLetter"/>
      <w:start w:val="2"/>
    </w:lvl>
  </w:abstractNum>
  <w:abstractNum w:abstractNumId="38">
    <w:nsid w:val="D34B6A8"/>
    <w:multiLevelType w:val="hybridMultilevel"/>
    <w:lvl w:ilvl="0">
      <w:lvlJc w:val="left"/>
      <w:lvlText w:val="(%1)"/>
      <w:numFmt w:val="lowerLetter"/>
      <w:start w:val="4"/>
    </w:lvl>
  </w:abstractNum>
  <w:abstractNum w:abstractNumId="39">
    <w:nsid w:val="10233C99"/>
    <w:multiLevelType w:val="hybridMultilevel"/>
    <w:lvl w:ilvl="0">
      <w:lvlJc w:val="left"/>
      <w:lvlText w:val="(%1)"/>
      <w:numFmt w:val="lowerLetter"/>
      <w:start w:val="6"/>
    </w:lvl>
    <w:lvl w:ilvl="1">
      <w:lvlJc w:val="left"/>
      <w:lvlText w:val="%2."/>
      <w:numFmt w:val="decimal"/>
      <w:start w:val="9"/>
    </w:lvl>
  </w:abstractNum>
  <w:abstractNum w:abstractNumId="40">
    <w:nsid w:val="3F6AB60F"/>
    <w:multiLevelType w:val="hybridMultilevel"/>
    <w:lvl w:ilvl="0">
      <w:lvlJc w:val="left"/>
      <w:lvlText w:val="%1."/>
      <w:numFmt w:val="decimal"/>
      <w:start w:val="11"/>
    </w:lvl>
  </w:abstractNum>
  <w:abstractNum w:abstractNumId="41">
    <w:nsid w:val="61574095"/>
    <w:multiLevelType w:val="hybridMultilevel"/>
    <w:lvl w:ilvl="0">
      <w:lvlJc w:val="left"/>
      <w:lvlText w:val="(%1)"/>
      <w:numFmt w:val="lowerLetter"/>
      <w:start w:val="2"/>
    </w:lvl>
    <w:lvl w:ilvl="1">
      <w:lvlJc w:val="left"/>
      <w:lvlText w:val="%2."/>
      <w:numFmt w:val="decimal"/>
      <w:start w:val="12"/>
    </w:lvl>
  </w:abstractNum>
  <w:abstractNum w:abstractNumId="42">
    <w:nsid w:val="7E0C57B1"/>
    <w:multiLevelType w:val="hybridMultilevel"/>
    <w:lvl w:ilvl="0">
      <w:lvlJc w:val="left"/>
      <w:lvlText w:val="(%1)"/>
      <w:numFmt w:val="lowerLetter"/>
      <w:start w:val="2"/>
    </w:lvl>
  </w:abstractNum>
  <w:abstractNum w:abstractNumId="43">
    <w:nsid w:val="77AE35EB"/>
    <w:multiLevelType w:val="hybridMultilevel"/>
    <w:lvl w:ilvl="0">
      <w:lvlJc w:val="left"/>
      <w:lvlText w:val="%1."/>
      <w:numFmt w:val="decimal"/>
      <w:start w:val="13"/>
    </w:lvl>
  </w:abstractNum>
  <w:abstractNum w:abstractNumId="44">
    <w:nsid w:val="579BE4F1"/>
    <w:multiLevelType w:val="hybridMultilevel"/>
    <w:lvl w:ilvl="0">
      <w:lvlJc w:val="left"/>
      <w:lvlText w:val="(%1)"/>
      <w:numFmt w:val="lowerLetter"/>
      <w:start w:val="1"/>
    </w:lvl>
  </w:abstractNum>
  <w:abstractNum w:abstractNumId="45">
    <w:nsid w:val="310C50B3"/>
    <w:multiLevelType w:val="hybridMultilevel"/>
    <w:lvl w:ilvl="0">
      <w:lvlJc w:val="left"/>
      <w:lvlText w:val="%1"/>
      <w:numFmt w:val="lowerLetter"/>
      <w:start w:val="1"/>
    </w:lvl>
    <w:lvl w:ilvl="1">
      <w:lvlJc w:val="left"/>
      <w:lvlText w:val="(%2)"/>
      <w:numFmt w:val="lowerLetter"/>
      <w:start w:val="6"/>
    </w:lvl>
  </w:abstractNum>
  <w:abstractNum w:abstractNumId="46">
    <w:nsid w:val="5FF87E05"/>
    <w:multiLevelType w:val="hybridMultilevel"/>
    <w:lvl w:ilvl="0">
      <w:lvlJc w:val="left"/>
      <w:lvlText w:val="(%1)"/>
      <w:numFmt w:val="lowerLetter"/>
      <w:start w:val="35"/>
    </w:lvl>
    <w:lvl w:ilvl="1">
      <w:lvlJc w:val="left"/>
      <w:lvlText w:val="(%2)"/>
      <w:numFmt w:val="lowerLetter"/>
      <w:start w:val="7"/>
    </w:lvl>
  </w:abstractNum>
  <w:abstractNum w:abstractNumId="47">
    <w:nsid w:val="2F305DEF"/>
    <w:multiLevelType w:val="hybridMultilevel"/>
    <w:lvl w:ilvl="0">
      <w:lvlJc w:val="left"/>
      <w:lvlText w:val="(%1)"/>
      <w:numFmt w:val="lowerRoman"/>
      <w:start w:val="4"/>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1)"/>
      <w:numFmt w:val="lowerLetter"/>
      <w:start w:val="1"/>
    </w:lvl>
  </w:abstractNum>
  <w:abstractNum w:abstractNumId="50">
    <w:nsid w:val="4AD084E9"/>
    <w:multiLevelType w:val="hybridMultilevel"/>
    <w:lvl w:ilvl="0">
      <w:lvlJc w:val="left"/>
      <w:lvlText w:val="(%1)"/>
      <w:numFmt w:val="lowerLetter"/>
      <w:start w:val="7"/>
    </w:lvl>
  </w:abstractNum>
  <w:abstractNum w:abstractNumId="51">
    <w:nsid w:val="1F48EAA1"/>
    <w:multiLevelType w:val="hybridMultilevel"/>
    <w:lvl w:ilvl="0">
      <w:lvlJc w:val="left"/>
      <w:lvlText w:val="(%1)"/>
      <w:numFmt w:val="lowerLetter"/>
      <w:start w:val="8"/>
    </w:lvl>
  </w:abstractNum>
  <w:abstractNum w:abstractNumId="52">
    <w:nsid w:val="1381823A"/>
    <w:multiLevelType w:val="hybridMultilevel"/>
    <w:lvl w:ilvl="0">
      <w:lvlJc w:val="left"/>
      <w:lvlText w:val="%1."/>
      <w:numFmt w:val="decimal"/>
      <w:start w:val="2"/>
    </w:lvl>
  </w:abstractNum>
  <w:abstractNum w:abstractNumId="53">
    <w:nsid w:val="5DB70AE5"/>
    <w:multiLevelType w:val="hybridMultilevel"/>
    <w:lvl w:ilvl="0">
      <w:lvlJc w:val="left"/>
      <w:lvlText w:val="(%1)"/>
      <w:numFmt w:val="lowerLetter"/>
      <w:start w:val="1"/>
    </w:lvl>
  </w:abstractNum>
  <w:abstractNum w:abstractNumId="54">
    <w:nsid w:val="100F8FCA"/>
    <w:multiLevelType w:val="hybridMultilevel"/>
    <w:lvl w:ilvl="0">
      <w:lvlJc w:val="left"/>
      <w:lvlText w:val="(%1)"/>
      <w:numFmt w:val="lowerLetter"/>
      <w:start w:val="2"/>
    </w:lvl>
  </w:abstractNum>
  <w:abstractNum w:abstractNumId="55">
    <w:nsid w:val="6590700B"/>
    <w:multiLevelType w:val="hybridMultilevel"/>
    <w:lvl w:ilvl="0">
      <w:lvlJc w:val="left"/>
      <w:lvlText w:val="%1."/>
      <w:numFmt w:val="decimal"/>
      <w:start w:val="5"/>
    </w:lvl>
  </w:abstractNum>
  <w:abstractNum w:abstractNumId="56">
    <w:nsid w:val="15014ACB"/>
    <w:multiLevelType w:val="hybridMultilevel"/>
    <w:lvl w:ilvl="0">
      <w:lvlJc w:val="left"/>
      <w:lvlText w:val="(%1)"/>
      <w:numFmt w:val="lowerLetter"/>
      <w:start w:val="1"/>
    </w:lvl>
  </w:abstractNum>
  <w:abstractNum w:abstractNumId="57">
    <w:nsid w:val="5F5E7FD0"/>
    <w:multiLevelType w:val="hybridMultilevel"/>
    <w:lvl w:ilvl="0">
      <w:lvlJc w:val="left"/>
      <w:lvlText w:val="%1."/>
      <w:numFmt w:val="decimal"/>
      <w:start w:val="6"/>
    </w:lvl>
  </w:abstractNum>
  <w:abstractNum w:abstractNumId="58">
    <w:nsid w:val="98A3148"/>
    <w:multiLevelType w:val="hybridMultilevel"/>
    <w:lvl w:ilvl="0">
      <w:lvlJc w:val="left"/>
      <w:lvlText w:val="(%1)"/>
      <w:numFmt w:val="lowerLetter"/>
      <w:start w:val="1"/>
    </w:lvl>
  </w:abstractNum>
  <w:abstractNum w:abstractNumId="59">
    <w:nsid w:val="799D0247"/>
    <w:multiLevelType w:val="hybridMultilevel"/>
    <w:lvl w:ilvl="0">
      <w:lvlJc w:val="left"/>
      <w:lvlText w:val="(%1)"/>
      <w:numFmt w:val="lowerLetter"/>
      <w:start w:val="2"/>
    </w:lvl>
  </w:abstractNum>
  <w:abstractNum w:abstractNumId="60">
    <w:nsid w:val="6B94764"/>
    <w:multiLevelType w:val="hybridMultilevel"/>
    <w:lvl w:ilvl="0">
      <w:lvlJc w:val="left"/>
      <w:lvlText w:val="(%1)"/>
      <w:numFmt w:val="lowerLetter"/>
      <w:start w:val="35"/>
    </w:lvl>
  </w:abstractNum>
  <w:abstractNum w:abstractNumId="61">
    <w:nsid w:val="42C296BD"/>
    <w:multiLevelType w:val="hybridMultilevel"/>
    <w:lvl w:ilvl="0">
      <w:lvlJc w:val="left"/>
      <w:lvlText w:val="(%1)"/>
      <w:numFmt w:val="lowerRoman"/>
      <w:start w:val="2"/>
    </w:lvl>
  </w:abstractNum>
  <w:abstractNum w:abstractNumId="62">
    <w:nsid w:val="168E121F"/>
    <w:multiLevelType w:val="hybridMultilevel"/>
    <w:lvl w:ilvl="0">
      <w:lvlJc w:val="left"/>
      <w:lvlText w:val="(%1)"/>
      <w:numFmt w:val="lowerLetter"/>
      <w:start w:val="5"/>
    </w:lvl>
  </w:abstractNum>
  <w:abstractNum w:abstractNumId="63">
    <w:nsid w:val="1EBA5D23"/>
    <w:multiLevelType w:val="hybridMultilevel"/>
    <w:lvl w:ilvl="0">
      <w:lvlJc w:val="left"/>
      <w:lvlText w:val="%1."/>
      <w:numFmt w:val="decimal"/>
      <w:start w:val="10"/>
    </w:lvl>
  </w:abstractNum>
  <w:abstractNum w:abstractNumId="64">
    <w:nsid w:val="661E3F1E"/>
    <w:multiLevelType w:val="hybridMultilevel"/>
    <w:lvl w:ilvl="0">
      <w:lvlJc w:val="left"/>
      <w:lvlText w:val="%1."/>
      <w:numFmt w:val="decimal"/>
      <w:start w:val="11"/>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lowerRoman"/>
      <w:start w:val="3"/>
    </w:lvl>
  </w:abstractNum>
  <w:abstractNum w:abstractNumId="67">
    <w:nsid w:val="7BD3EE7B"/>
    <w:multiLevelType w:val="hybridMultilevel"/>
    <w:lvl w:ilvl="0">
      <w:lvlJc w:val="left"/>
      <w:lvlText w:val="(%1)"/>
      <w:numFmt w:val="lowerLetter"/>
      <w:start w:val="2"/>
    </w:lvl>
  </w:abstractNum>
  <w:abstractNum w:abstractNumId="68">
    <w:nsid w:val="51D9C564"/>
    <w:multiLevelType w:val="hybridMultilevel"/>
    <w:lvl w:ilvl="0">
      <w:lvlJc w:val="left"/>
      <w:lvlText w:val="(%1)"/>
      <w:numFmt w:val="lowerLetter"/>
      <w:start w:val="3"/>
    </w:lvl>
  </w:abstractNum>
  <w:abstractNum w:abstractNumId="69">
    <w:nsid w:val="613EFDC5"/>
    <w:multiLevelType w:val="hybridMultilevel"/>
    <w:lvl w:ilvl="0">
      <w:lvlJc w:val="left"/>
      <w:lvlText w:val="%1."/>
      <w:numFmt w:val="decimal"/>
      <w:start w:val="12"/>
    </w:lvl>
  </w:abstractNum>
  <w:abstractNum w:abstractNumId="70">
    <w:nsid w:val="BF72B14"/>
    <w:multiLevelType w:val="hybridMultilevel"/>
    <w:lvl w:ilvl="0">
      <w:lvlJc w:val="left"/>
      <w:lvlText w:val="%1"/>
      <w:numFmt w:val="decimal"/>
      <w:start w:val="100"/>
    </w:lvl>
  </w:abstractNum>
  <w:abstractNum w:abstractNumId="71">
    <w:nsid w:val="11447B73"/>
    <w:multiLevelType w:val="hybridMultilevel"/>
    <w:lvl w:ilvl="0">
      <w:lvlJc w:val="left"/>
      <w:lvlText w:val="%1."/>
      <w:numFmt w:val="decimal"/>
      <w:start w:val="14"/>
    </w:lvl>
  </w:abstractNum>
  <w:abstractNum w:abstractNumId="72">
    <w:nsid w:val="42963E5A"/>
    <w:multiLevelType w:val="hybridMultilevel"/>
    <w:lvl w:ilvl="0">
      <w:lvlJc w:val="left"/>
      <w:lvlText w:val="%1."/>
      <w:numFmt w:val="decimal"/>
      <w:start w:val="15"/>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lowerRoman"/>
      <w:start w:val="1"/>
    </w:lvl>
  </w:abstractNum>
  <w:abstractNum w:abstractNumId="75">
    <w:nsid w:val="1A32234B"/>
    <w:multiLevelType w:val="hybridMultilevel"/>
    <w:lvl w:ilvl="0">
      <w:lvlJc w:val="left"/>
      <w:lvlText w:val="(%1)"/>
      <w:numFmt w:val="lowerLetter"/>
      <w:start w:val="3"/>
    </w:lvl>
  </w:abstractNum>
  <w:abstractNum w:abstractNumId="76">
    <w:nsid w:val="3B0FD379"/>
    <w:multiLevelType w:val="hybridMultilevel"/>
    <w:lvl w:ilvl="0">
      <w:lvlJc w:val="left"/>
      <w:lvlText w:val="(%1)"/>
      <w:numFmt w:val="lowerLetter"/>
      <w:start w:val="7"/>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
      <w:numFmt w:val="bullet"/>
      <w:start w:val="1"/>
    </w:lvl>
  </w:abstractNum>
  <w:abstractNum w:abstractNumId="79">
    <w:nsid w:val="60B6DF70"/>
    <w:multiLevelType w:val="hybridMultilevel"/>
    <w:lvl w:ilvl="0">
      <w:lvlJc w:val="left"/>
      <w:lvlText w:val="(%1)"/>
      <w:numFmt w:val="decimal"/>
      <w:start w:val="4"/>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2023-06-16T06:23:54Z</dcterms:created>
  <dcterms:modified xsi:type="dcterms:W3CDTF">2023-06-16T06:23:54Z</dcterms:modified>
</cp:coreProperties>
</file>