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Arial" w:cs="Arial" w:eastAsia="Arial" w:hAnsi="Arial"/>
          <w:sz w:val="18"/>
          <w:szCs w:val="18"/>
          <w:color w:val="auto"/>
        </w:rPr>
        <w:t>As filed with the Securities and Exchange Commission on July 24, 2020.</w:t>
      </w:r>
    </w:p>
    <w:p>
      <w:pPr>
        <w:spacing w:after="0" w:line="14"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54610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39" w:lineRule="auto"/>
        <w:rPr>
          <w:sz w:val="20"/>
          <w:szCs w:val="20"/>
          <w:color w:val="auto"/>
        </w:rPr>
      </w:pPr>
      <w:r>
        <w:rPr>
          <w:rFonts w:ascii="Arial" w:cs="Arial" w:eastAsia="Arial" w:hAnsi="Arial"/>
          <w:sz w:val="22"/>
          <w:szCs w:val="22"/>
          <w:b w:val="1"/>
          <w:bCs w:val="1"/>
          <w:i w:val="1"/>
          <w:iCs w:val="1"/>
          <w:color w:val="auto"/>
        </w:rPr>
        <w:t>THE SECURITIES ACT OF 1933</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15"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85-1612845</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offices)</w:t>
      </w:r>
    </w:p>
    <w:p>
      <w:pPr>
        <w:spacing w:after="0" w:line="26"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Jim Tananbaum</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6"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76"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59"/>
              <w:spacing w:after="0"/>
              <w:rPr>
                <w:sz w:val="20"/>
                <w:szCs w:val="20"/>
                <w:color w:val="auto"/>
              </w:rPr>
            </w:pPr>
            <w:r>
              <w:rPr>
                <w:rFonts w:ascii="Arial" w:cs="Arial" w:eastAsia="Arial" w:hAnsi="Arial"/>
                <w:sz w:val="16"/>
                <w:szCs w:val="16"/>
                <w:b w:val="1"/>
                <w:bCs w:val="1"/>
                <w:color w:val="auto"/>
              </w:rPr>
              <w:t>Gregg A.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 Suite 1400</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19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ind w:left="460" w:right="999"/>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spacing w:after="0" w:line="14" w:lineRule="exact"/>
        <w:rPr>
          <w:sz w:val="24"/>
          <w:szCs w:val="24"/>
          <w:color w:val="auto"/>
        </w:rPr>
      </w:pPr>
    </w:p>
    <w:p>
      <w:pPr>
        <w:ind w:left="460" w:right="519"/>
        <w:spacing w:after="0" w:line="260"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33" w:lineRule="exact"/>
        <w:rPr>
          <w:sz w:val="24"/>
          <w:szCs w:val="24"/>
          <w:color w:val="auto"/>
        </w:rPr>
      </w:pPr>
    </w:p>
    <w:p>
      <w:pPr>
        <w:ind w:left="460" w:right="739"/>
        <w:spacing w:after="0" w:line="25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4"/>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10"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Proposed</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Proposed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 Being</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Offering Price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Registered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Registered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195"/>
        </w:trPr>
        <w:tc>
          <w:tcPr>
            <w:tcW w:w="2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Shares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59"/>
              <w:spacing w:after="0" w:line="195" w:lineRule="exact"/>
              <w:rPr>
                <w:sz w:val="20"/>
                <w:szCs w:val="20"/>
                <w:color w:val="auto"/>
              </w:rPr>
            </w:pPr>
            <w:r>
              <w:rPr>
                <w:rFonts w:ascii="Arial" w:cs="Arial" w:eastAsia="Arial" w:hAnsi="Arial"/>
                <w:sz w:val="18"/>
                <w:szCs w:val="18"/>
                <w:color w:val="auto"/>
              </w:rPr>
              <w:t>11,500,000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44"/>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 value $0.0001 per share</w:t>
            </w:r>
            <w:r>
              <w:rPr>
                <w:rFonts w:ascii="Arial" w:cs="Arial" w:eastAsia="Arial" w:hAnsi="Arial"/>
                <w:sz w:val="20"/>
                <w:szCs w:val="20"/>
                <w:color w:val="auto"/>
                <w:vertAlign w:val="superscript"/>
              </w:rPr>
              <w:t>(2)(3)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$ 115,000,000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14,927.00</w:t>
            </w: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57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65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1,500,000 Class A common stock, which may be issued upon exercise of a 45-day option granted to the underwriters to cover over-allotments, if any.</w:t>
      </w:r>
    </w:p>
    <w:p>
      <w:pPr>
        <w:ind w:left="880" w:right="619" w:hanging="426"/>
        <w:spacing w:after="0" w:line="230"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47"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565150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80" w:lineRule="exact"/>
        <w:rPr>
          <w:sz w:val="20"/>
          <w:szCs w:val="20"/>
          <w:color w:val="auto"/>
        </w:rPr>
      </w:pPr>
    </w:p>
    <w:tbl>
      <w:tblPr>
        <w:tblLayout w:type="fixed"/>
        <w:tblInd w:w="456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color w:val="EA0029"/>
              </w:rPr>
              <w:t>, 2020</w:t>
            </w:r>
          </w:p>
        </w:tc>
      </w:tr>
    </w:tbl>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92" w:lineRule="exact"/>
        <w:rPr>
          <w:sz w:val="20"/>
          <w:szCs w:val="20"/>
          <w:color w:val="auto"/>
        </w:rPr>
      </w:pPr>
    </w:p>
    <w:p>
      <w:pPr>
        <w:ind w:left="460" w:right="619"/>
        <w:spacing w:after="0" w:line="245" w:lineRule="auto"/>
        <w:rPr>
          <w:sz w:val="20"/>
          <w:szCs w:val="20"/>
          <w:color w:val="auto"/>
        </w:rPr>
      </w:pPr>
      <w:r>
        <w:rPr>
          <w:rFonts w:ascii="Arial" w:cs="Arial" w:eastAsia="Arial" w:hAnsi="Arial"/>
          <w:sz w:val="14"/>
          <w:szCs w:val="14"/>
          <w:color w:val="auto"/>
        </w:rPr>
        <w:t>FS Development Corp.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ind w:left="460" w:right="519"/>
        <w:spacing w:after="0" w:line="245" w:lineRule="auto"/>
        <w:rPr>
          <w:sz w:val="20"/>
          <w:szCs w:val="20"/>
          <w:color w:val="auto"/>
        </w:rPr>
      </w:pPr>
      <w:r>
        <w:rPr>
          <w:rFonts w:ascii="Arial" w:cs="Arial" w:eastAsia="Arial" w:hAnsi="Arial"/>
          <w:sz w:val="14"/>
          <w:szCs w:val="14"/>
          <w:color w:val="auto"/>
        </w:rPr>
        <w:t>This is the initial public offering of our shares of Class A common stock, par value $0.0001 per share, which we refer to as our public shares, at an initial public offering price of $10.00. The underwriters have a 45-day option from the date of this prospectus to purchase up to 1,500,000 additional shares of our Class A common stock to cover over-allotments, if any. Unlike other special purpose acquisition company initial public offerings (“SPAC IPOs”), investors in this offering will not receive warrants that would become exercisable following completion of our initial business combination.</w:t>
      </w:r>
    </w:p>
    <w:p>
      <w:pPr>
        <w:spacing w:after="0" w:line="42"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44" w:lineRule="exact"/>
        <w:rPr>
          <w:sz w:val="20"/>
          <w:szCs w:val="20"/>
          <w:color w:val="auto"/>
        </w:rPr>
      </w:pPr>
    </w:p>
    <w:p>
      <w:pPr>
        <w:ind w:left="460" w:right="479"/>
        <w:spacing w:after="0" w:line="244" w:lineRule="auto"/>
        <w:rPr>
          <w:sz w:val="20"/>
          <w:szCs w:val="20"/>
          <w:color w:val="auto"/>
        </w:rPr>
      </w:pPr>
      <w:r>
        <w:rPr>
          <w:rFonts w:ascii="Arial" w:cs="Arial" w:eastAsia="Arial" w:hAnsi="Arial"/>
          <w:sz w:val="14"/>
          <w:szCs w:val="14"/>
          <w:color w:val="auto"/>
        </w:rPr>
        <w:t>Our sponsor, FS Development Holdings, LLC has committed to purchase 400,000 shares of Class A common stock (or 430,000 shares of Class A common stock if the underwriters’ over-allotment option is exercised in full), at a price of $10.00 per share in a private placement for an aggregate purchase price of $4,000,000 (or $4,300,000 if the over-allotment option is exercised in full) that will close simultaneously with the closing of this offering. These shares of Class A common stock, which we refer to as the private placement shares, are identical to the shares of Class A common stock sold in this offering, subject to certain limited exceptions as described in this prospectus.</w:t>
      </w:r>
    </w:p>
    <w:p>
      <w:pPr>
        <w:spacing w:after="0" w:line="44" w:lineRule="exact"/>
        <w:rPr>
          <w:sz w:val="20"/>
          <w:szCs w:val="20"/>
          <w:color w:val="auto"/>
        </w:rPr>
      </w:pPr>
    </w:p>
    <w:p>
      <w:pPr>
        <w:ind w:left="460" w:right="639"/>
        <w:spacing w:after="0" w:line="243" w:lineRule="auto"/>
        <w:rPr>
          <w:sz w:val="20"/>
          <w:szCs w:val="20"/>
          <w:color w:val="auto"/>
        </w:rPr>
      </w:pPr>
      <w:r>
        <w:rPr>
          <w:rFonts w:ascii="Arial" w:cs="Arial" w:eastAsia="Arial" w:hAnsi="Arial"/>
          <w:sz w:val="14"/>
          <w:szCs w:val="14"/>
          <w:color w:val="auto"/>
        </w:rPr>
        <w:t>Our sponsor has indicated an interest to purchase an aggregate of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46" w:lineRule="exact"/>
        <w:rPr>
          <w:sz w:val="20"/>
          <w:szCs w:val="20"/>
          <w:color w:val="auto"/>
        </w:rPr>
      </w:pPr>
    </w:p>
    <w:p>
      <w:pPr>
        <w:ind w:left="460" w:right="479"/>
        <w:spacing w:after="0" w:line="247" w:lineRule="auto"/>
        <w:rPr>
          <w:sz w:val="20"/>
          <w:szCs w:val="20"/>
          <w:color w:val="auto"/>
        </w:rPr>
      </w:pPr>
      <w:r>
        <w:rPr>
          <w:rFonts w:ascii="Arial" w:cs="Arial" w:eastAsia="Arial" w:hAnsi="Arial"/>
          <w:sz w:val="14"/>
          <w:szCs w:val="14"/>
          <w:color w:val="auto"/>
        </w:rPr>
        <w:t>Our initial stockholders currently own an aggregate of 2,875,000 shares of Class B common stock (up to 375,000 shares of which are subject to forfeiture by our sponsor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9" w:lineRule="exact"/>
        <w:rPr>
          <w:sz w:val="20"/>
          <w:szCs w:val="20"/>
          <w:color w:val="auto"/>
        </w:rPr>
      </w:pPr>
    </w:p>
    <w:p>
      <w:pPr>
        <w:jc w:val="both"/>
        <w:ind w:left="460" w:right="599"/>
        <w:spacing w:after="0" w:line="249" w:lineRule="auto"/>
        <w:rPr>
          <w:sz w:val="20"/>
          <w:szCs w:val="20"/>
          <w:color w:val="auto"/>
        </w:rPr>
      </w:pPr>
      <w:r>
        <w:rPr>
          <w:rFonts w:ascii="Arial" w:cs="Arial" w:eastAsia="Arial" w:hAnsi="Arial"/>
          <w:sz w:val="14"/>
          <w:szCs w:val="14"/>
          <w:color w:val="auto"/>
        </w:rPr>
        <w:t>Currently, there is no public market for our Class A common stock. We have applied to have our Class A common stock listed on Nasdaq Capital Market, or Nasdaq, under the symbol “FSDC” on or promptly after the date of this prospectus. We cannot guarantee that our Class A common stock will be approved for listing on Nasdaq.</w:t>
      </w:r>
    </w:p>
    <w:p>
      <w:pPr>
        <w:spacing w:after="0" w:line="21"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25 for a discussion of information that should be considered in connection with an investment in our securities. Investors will not be entitled to protections normally afforded to investors in Rule 419 blank check offerings.</w:t>
      </w:r>
    </w:p>
    <w:p>
      <w:pPr>
        <w:spacing w:after="0" w:line="19"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PER SHARE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0"/>
              <w:spacing w:after="0"/>
              <w:rPr>
                <w:sz w:val="20"/>
                <w:szCs w:val="20"/>
                <w:color w:val="auto"/>
              </w:rPr>
            </w:pPr>
            <w:r>
              <w:rPr>
                <w:rFonts w:ascii="Arial" w:cs="Arial" w:eastAsia="Arial" w:hAnsi="Arial"/>
                <w:sz w:val="13"/>
                <w:szCs w:val="13"/>
                <w:b w:val="1"/>
                <w:bCs w:val="1"/>
                <w:color w:val="auto"/>
              </w:rPr>
              <w:t>TOTAL</w:t>
            </w:r>
          </w:p>
        </w:tc>
      </w:tr>
      <w:tr>
        <w:trPr>
          <w:trHeight w:val="30"/>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100,000,000</w:t>
            </w:r>
          </w:p>
        </w:tc>
      </w:tr>
      <w:tr>
        <w:trPr>
          <w:trHeight w:val="275"/>
        </w:trPr>
        <w:tc>
          <w:tcPr>
            <w:tcW w:w="538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4"/>
                <w:szCs w:val="1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5,500,000</w:t>
            </w:r>
          </w:p>
        </w:tc>
      </w:tr>
      <w:tr>
        <w:trPr>
          <w:trHeight w:val="26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94,500,000</w:t>
            </w:r>
          </w:p>
        </w:tc>
      </w:tr>
      <w:tr>
        <w:trPr>
          <w:trHeight w:val="25"/>
        </w:trPr>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880" w:right="539" w:hanging="426"/>
        <w:spacing w:after="0"/>
        <w:tabs>
          <w:tab w:leader="none" w:pos="812" w:val="left"/>
        </w:tabs>
        <w:numPr>
          <w:ilvl w:val="0"/>
          <w:numId w:val="2"/>
        </w:numPr>
        <w:rPr>
          <w:rFonts w:ascii="Arial" w:cs="Arial" w:eastAsia="Arial" w:hAnsi="Arial"/>
          <w:sz w:val="12"/>
          <w:szCs w:val="12"/>
          <w:color w:val="auto"/>
        </w:rPr>
      </w:pPr>
      <w:r>
        <w:rPr>
          <w:rFonts w:ascii="Arial" w:cs="Arial" w:eastAsia="Arial" w:hAnsi="Arial"/>
          <w:sz w:val="12"/>
          <w:szCs w:val="12"/>
          <w:color w:val="auto"/>
        </w:rPr>
        <w:t>$0.20 per share, or $2,000,000 in the aggregate (or $2,300,000 if the underwriters’ over-allotment option is exercised in full), is payable upon the closing of this offering. Includes $0.35 per share, or $3,500,000 in the aggregate (or up to $4,025,000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54" w:lineRule="exact"/>
        <w:rPr>
          <w:sz w:val="20"/>
          <w:szCs w:val="20"/>
          <w:color w:val="auto"/>
        </w:rPr>
      </w:pPr>
    </w:p>
    <w:p>
      <w:pPr>
        <w:jc w:val="both"/>
        <w:ind w:left="460" w:right="47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shares described in this prospectus, $100 million, or $115 million if the underwriters’ over-allotment option is exercised in full ($10.00 per public share in either case), will be deposited into a trust account in the United States with Continental Stock Transfer &amp; Trust Company acting as trustee, after deducting $2,000,000 in underwriting discounts and commissions payable upon the closing of this offering (or $2,300,000 if the underwriters’ over-allotment option is exercised in full) and an aggregate of $2.0 million to pay fees and expenses in connection with the closing of this offering and for working capital following the closing of this offering.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underwriters are offering the shares of our Class A common stock for sale on a firm commitment basis. The underwriters</w:t>
      </w:r>
    </w:p>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Arial" w:cs="Arial" w:eastAsia="Arial" w:hAnsi="Arial"/>
                <w:sz w:val="14"/>
                <w:szCs w:val="14"/>
                <w:color w:val="auto"/>
              </w:rPr>
              <w:t>expect to deliver the shares to the purchasers on or about</w:t>
            </w:r>
          </w:p>
        </w:tc>
        <w:tc>
          <w:tcPr>
            <w:tcW w:w="62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spacing w:after="0"/>
        <w:rPr>
          <w:sz w:val="20"/>
          <w:szCs w:val="20"/>
          <w:color w:val="auto"/>
        </w:rPr>
      </w:pPr>
      <w:r>
        <w:rPr>
          <w:rFonts w:ascii="Arial" w:cs="Arial" w:eastAsia="Arial" w:hAnsi="Arial"/>
          <w:sz w:val="29"/>
          <w:szCs w:val="29"/>
          <w:b w:val="1"/>
          <w:bCs w:val="1"/>
          <w:color w:val="auto"/>
        </w:rPr>
        <w:t>Jefferies</w:t>
      </w:r>
    </w:p>
    <w:p>
      <w:pPr>
        <w:spacing w:after="0" w:line="15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511"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25</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53</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57</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97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Description of Shares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124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124</w:t>
            </w:r>
          </w:p>
        </w:tc>
      </w:tr>
      <w:tr>
        <w:trPr>
          <w:trHeight w:val="256"/>
        </w:trPr>
        <w:tc>
          <w:tcPr>
            <w:tcW w:w="760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77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077200"/>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59" w:hanging="332"/>
        <w:spacing w:after="0" w:line="258"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FS Development Corp., a Delaware corporation;</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27" w:lineRule="exact"/>
        <w:rPr>
          <w:rFonts w:ascii="Arial" w:cs="Arial" w:eastAsia="Arial" w:hAnsi="Arial"/>
          <w:sz w:val="18"/>
          <w:szCs w:val="18"/>
          <w:color w:val="auto"/>
        </w:rPr>
      </w:pPr>
    </w:p>
    <w:p>
      <w:pPr>
        <w:ind w:left="1200" w:right="919" w:hanging="332"/>
        <w:spacing w:after="0" w:line="255"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6" w:lineRule="exact"/>
        <w:rPr>
          <w:rFonts w:ascii="Arial" w:cs="Arial" w:eastAsia="Arial" w:hAnsi="Arial"/>
          <w:sz w:val="18"/>
          <w:szCs w:val="18"/>
          <w:color w:val="auto"/>
        </w:rPr>
      </w:pPr>
    </w:p>
    <w:p>
      <w:pPr>
        <w:ind w:left="1200" w:right="559" w:hanging="332"/>
        <w:spacing w:after="0" w:line="244"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our Class A common stock issued in a financing transaction in connection with our initial business combination, including, but not limited to, a private placement of equity or debt;</w:t>
      </w:r>
    </w:p>
    <w:p>
      <w:pPr>
        <w:ind w:left="1200" w:right="659" w:hanging="332"/>
        <w:spacing w:after="0" w:line="241"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shares of Class B common stock transferred by our sponsor to certain of our directors as well as the shares of Class A common stock that will be issued upon the automatic conversion of the shares of Class B common stock at the time of our initial business combination as described herein;</w:t>
      </w:r>
    </w:p>
    <w:p>
      <w:pPr>
        <w:spacing w:after="0" w:line="8"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659" w:hanging="332"/>
        <w:spacing w:after="0" w:line="241"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shares” are to the shares of Class A common stock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 if any;</w:t>
      </w:r>
    </w:p>
    <w:p>
      <w:pPr>
        <w:spacing w:after="0" w:line="8" w:lineRule="exact"/>
        <w:rPr>
          <w:rFonts w:ascii="Arial" w:cs="Arial" w:eastAsia="Arial" w:hAnsi="Arial"/>
          <w:sz w:val="18"/>
          <w:szCs w:val="18"/>
          <w:color w:val="auto"/>
        </w:rPr>
      </w:pPr>
    </w:p>
    <w:p>
      <w:pPr>
        <w:ind w:left="1200" w:right="839" w:hanging="332"/>
        <w:spacing w:after="0" w:line="258"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Class A common stock sold in this offering (whether they are purchased in this offering or thereafter in the open market);</w:t>
      </w:r>
    </w:p>
    <w:p>
      <w:pPr>
        <w:ind w:left="1200" w:right="639" w:hanging="332"/>
        <w:spacing w:after="0" w:line="242"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jc w:val="center"/>
        <w:ind w:left="1200" w:right="1059" w:hanging="332"/>
        <w:spacing w:after="0" w:line="290" w:lineRule="auto"/>
        <w:tabs>
          <w:tab w:leader="none" w:pos="113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“sponsor” are to FS Development Holdings, LLC, a Delaware limited liability company, which is controlled by Foresite Capital Fund V, L.P., the sole member of the sponsor.</w:t>
      </w:r>
    </w:p>
    <w:p>
      <w:pPr>
        <w:spacing w:after="0" w:line="161"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375,000 founder shares by our sponsor for no consideration.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86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86090"/>
                    </a:xfrm>
                    <a:prstGeom prst="rect">
                      <a:avLst/>
                    </a:prstGeom>
                    <a:noFill/>
                  </pic:spPr>
                </pic:pic>
              </a:graphicData>
            </a:graphic>
          </wp:anchor>
        </w:drawing>
        <w:t>OUR FOUNDERS</w:t>
      </w:r>
    </w:p>
    <w:p>
      <w:pPr>
        <w:spacing w:after="0" w:line="153" w:lineRule="exact"/>
        <w:rPr>
          <w:sz w:val="20"/>
          <w:szCs w:val="20"/>
          <w:color w:val="auto"/>
        </w:rPr>
      </w:pPr>
    </w:p>
    <w:p>
      <w:pPr>
        <w:ind w:left="540" w:right="73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35"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540" w:right="63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540" w:right="95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 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TEAM</w:t>
      </w:r>
    </w:p>
    <w:p>
      <w:pPr>
        <w:spacing w:after="0" w:line="166" w:lineRule="exact"/>
        <w:rPr>
          <w:sz w:val="20"/>
          <w:szCs w:val="20"/>
          <w:color w:val="auto"/>
        </w:rPr>
      </w:pPr>
    </w:p>
    <w:p>
      <w:pPr>
        <w:ind w:left="540" w:right="859"/>
        <w:spacing w:after="0" w:line="238" w:lineRule="auto"/>
        <w:rPr>
          <w:sz w:val="20"/>
          <w:szCs w:val="20"/>
          <w:color w:val="auto"/>
        </w:rPr>
      </w:pPr>
      <w:r>
        <w:rPr>
          <w:rFonts w:ascii="Arial" w:cs="Arial" w:eastAsia="Arial" w:hAnsi="Arial"/>
          <w:sz w:val="18"/>
          <w:szCs w:val="18"/>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6" w:name="page7"/>
    <w:bookmarkEnd w:id="6"/>
    <w:p>
      <w:pPr>
        <w:ind w:left="540" w:right="579"/>
        <w:spacing w:after="0" w:line="23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8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in excess of approximately $3 billion as of July 2020. In 2000, Dr. Tananbaum co-founded Prospect Ventures</w:t>
      </w:r>
    </w:p>
    <w:p>
      <w:pPr>
        <w:spacing w:after="0" w:line="4" w:lineRule="exact"/>
        <w:rPr>
          <w:sz w:val="20"/>
          <w:szCs w:val="20"/>
          <w:color w:val="auto"/>
        </w:rPr>
      </w:pPr>
    </w:p>
    <w:p>
      <w:pPr>
        <w:ind w:left="540" w:right="699" w:firstLine="4"/>
        <w:spacing w:after="0" w:line="236" w:lineRule="auto"/>
        <w:tabs>
          <w:tab w:leader="none" w:pos="6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1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2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color w:val="auto"/>
        </w:rPr>
        <w:t>Dr. Michael Rome</w:t>
      </w:r>
      <w:r>
        <w:rPr>
          <w:rFonts w:ascii="Arial" w:cs="Arial" w:eastAsia="Arial" w:hAnsi="Arial"/>
          <w:sz w:val="18"/>
          <w:szCs w:val="18"/>
          <w:color w:val="auto"/>
        </w:rPr>
        <w:t>, Vice President and Director. Dr. Michael Rome has been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 director on our board of directors since June 2020, and is a Managing Director at Foresite Capital. He joined Foresite Capital in 2016 and is active in the firm’s public and private market investments. 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pacing w:after="0" w:line="108" w:lineRule="exact"/>
        <w:rPr>
          <w:sz w:val="20"/>
          <w:szCs w:val="20"/>
          <w:color w:val="auto"/>
        </w:rPr>
      </w:pPr>
    </w:p>
    <w:p>
      <w:pPr>
        <w:ind w:left="540" w:right="599"/>
        <w:spacing w:after="0" w:line="239"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w:t>
      </w:r>
    </w:p>
    <w:p>
      <w:pPr>
        <w:sectPr>
          <w:pgSz w:w="11900" w:h="16838" w:orient="portrait"/>
          <w:cols w:equalWidth="0" w:num="1">
            <w:col w:w="9019"/>
          </w:cols>
          <w:pgMar w:left="1440" w:top="454"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type w:val="continuous"/>
        </w:sectPr>
      </w:pPr>
    </w:p>
    <w:bookmarkStart w:id="7" w:name="page8"/>
    <w:bookmarkEnd w:id="7"/>
    <w:p>
      <w:pPr>
        <w:ind w:left="540" w:right="739"/>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540" w:right="559"/>
        <w:spacing w:after="0" w:line="253" w:lineRule="auto"/>
        <w:rPr>
          <w:sz w:val="20"/>
          <w:szCs w:val="20"/>
          <w:color w:val="auto"/>
        </w:rPr>
      </w:pPr>
      <w:r>
        <w:rPr>
          <w:rFonts w:ascii="Arial" w:cs="Arial" w:eastAsia="Arial" w:hAnsi="Arial"/>
          <w:sz w:val="17"/>
          <w:szCs w:val="17"/>
          <w:b w:val="1"/>
          <w:bCs w:val="1"/>
          <w:color w:val="auto"/>
        </w:rPr>
        <w:t xml:space="preserve">Robert Carey, </w:t>
      </w:r>
      <w:r>
        <w:rPr>
          <w:rFonts w:ascii="Arial" w:cs="Arial" w:eastAsia="Arial" w:hAnsi="Arial"/>
          <w:sz w:val="17"/>
          <w:szCs w:val="17"/>
          <w:color w:val="auto"/>
        </w:rPr>
        <w:t>Director Nominee. Mr. Carey served as Executive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09" w:lineRule="exact"/>
        <w:rPr>
          <w:sz w:val="20"/>
          <w:szCs w:val="20"/>
          <w:color w:val="auto"/>
        </w:rPr>
      </w:pPr>
    </w:p>
    <w:p>
      <w:pPr>
        <w:ind w:left="540" w:right="779"/>
        <w:spacing w:after="0"/>
        <w:rPr>
          <w:sz w:val="20"/>
          <w:szCs w:val="20"/>
          <w:color w:val="auto"/>
        </w:rPr>
      </w:pPr>
      <w:r>
        <w:rPr>
          <w:rFonts w:ascii="Arial" w:cs="Arial" w:eastAsia="Arial" w:hAnsi="Arial"/>
          <w:sz w:val="18"/>
          <w:szCs w:val="18"/>
          <w:b w:val="1"/>
          <w:bCs w:val="1"/>
          <w:color w:val="auto"/>
        </w:rPr>
        <w:t xml:space="preserve">Dan Dubin, </w:t>
      </w:r>
      <w:r>
        <w:rPr>
          <w:rFonts w:ascii="Arial" w:cs="Arial" w:eastAsia="Arial" w:hAnsi="Arial"/>
          <w:sz w:val="18"/>
          <w:szCs w:val="18"/>
          <w:color w:val="auto"/>
        </w:rPr>
        <w:t>Director Nominee. Dr. Dubin is also the Vice Chairman and Head of Biopharma</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99"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color w:val="auto"/>
        </w:rPr>
        <w:t xml:space="preserve">Deepa Pakianathan, </w:t>
      </w:r>
      <w:r>
        <w:rPr>
          <w:rFonts w:ascii="Arial" w:cs="Arial" w:eastAsia="Arial" w:hAnsi="Arial"/>
          <w:sz w:val="18"/>
          <w:szCs w:val="18"/>
          <w:color w:val="auto"/>
        </w:rPr>
        <w:t>Director Nominee. Dr. Pakianathan is a Managing Member of Delphi</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42"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 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w:t>
      </w:r>
    </w:p>
    <w:p>
      <w:pPr>
        <w:sectPr>
          <w:pgSz w:w="11900" w:h="16838" w:orient="portrait"/>
          <w:cols w:equalWidth="0" w:num="1">
            <w:col w:w="9019"/>
          </w:cols>
          <w:pgMar w:left="1440" w:top="476"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8" w:name="page9"/>
    <w:bookmarkEnd w:id="8"/>
    <w:p>
      <w:pPr>
        <w:ind w:left="540" w:right="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51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7751445"/>
                    </a:xfrm>
                    <a:prstGeom prst="rect">
                      <a:avLst/>
                    </a:prstGeom>
                    <a:noFill/>
                  </pic:spPr>
                </pic:pic>
              </a:graphicData>
            </a:graphic>
          </wp:anchor>
        </w:drawing>
        <w:t>Harvard University where she graduated summa cum laude. Dr. Margolskee is boarded in both Internal Medicine and Pulmonary, and completed her residency at the Johns Hopkins Hospital and fellowship training at UCSF.</w:t>
      </w:r>
    </w:p>
    <w:p>
      <w:pPr>
        <w:spacing w:after="0" w:line="135"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320"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3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40"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ACQUISITION STRATEGY</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200" w:right="759" w:hanging="332"/>
        <w:spacing w:after="0"/>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200" w:right="61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200" w:right="105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7" w:lineRule="exact"/>
        <w:rPr>
          <w:rFonts w:ascii="Arial" w:cs="Arial" w:eastAsia="Arial" w:hAnsi="Arial"/>
          <w:sz w:val="18"/>
          <w:szCs w:val="18"/>
          <w:color w:val="auto"/>
        </w:rPr>
      </w:pPr>
    </w:p>
    <w:p>
      <w:pPr>
        <w:ind w:left="1200" w:right="9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21" w:lineRule="exact"/>
        <w:rPr>
          <w:rFonts w:ascii="Arial" w:cs="Arial" w:eastAsia="Arial" w:hAnsi="Arial"/>
          <w:sz w:val="18"/>
          <w:szCs w:val="18"/>
          <w:color w:val="auto"/>
        </w:rPr>
      </w:pPr>
    </w:p>
    <w:p>
      <w:pPr>
        <w:ind w:left="1200" w:right="85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21" w:lineRule="exact"/>
        <w:rPr>
          <w:rFonts w:ascii="Arial" w:cs="Arial" w:eastAsia="Arial" w:hAnsi="Arial"/>
          <w:sz w:val="18"/>
          <w:szCs w:val="18"/>
          <w:color w:val="auto"/>
        </w:rPr>
      </w:pPr>
    </w:p>
    <w:p>
      <w:pPr>
        <w:ind w:left="1200" w:right="11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0" w:name="page11"/>
    <w:bookmarkEnd w:id="10"/>
    <w:p>
      <w:pPr>
        <w:ind w:left="540" w:right="5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35"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1" w:name="page12"/>
    <w:bookmarkEnd w:id="11"/>
    <w:p>
      <w:pPr>
        <w:ind w:left="540" w:right="5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31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231505"/>
                    </a:xfrm>
                    <a:prstGeom prst="rect">
                      <a:avLst/>
                    </a:prstGeom>
                    <a:noFill/>
                  </pic:spPr>
                </pic:pic>
              </a:graphicData>
            </a:graphic>
          </wp:anchor>
        </w:drawing>
        <w:t>In addition, our sponsor has indicated an interest to purchase $25,000,000 of shares of our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3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540" w:right="6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24" w:lineRule="exact"/>
        <w:rPr>
          <w:sz w:val="20"/>
          <w:szCs w:val="20"/>
          <w:color w:val="auto"/>
        </w:rPr>
      </w:pPr>
    </w:p>
    <w:p>
      <w:pPr>
        <w:ind w:left="540" w:right="1019"/>
        <w:spacing w:after="0" w:line="246" w:lineRule="auto"/>
        <w:rPr>
          <w:sz w:val="20"/>
          <w:szCs w:val="20"/>
          <w:color w:val="auto"/>
        </w:rPr>
      </w:pPr>
      <w:r>
        <w:rPr>
          <w:rFonts w:ascii="Arial" w:cs="Arial" w:eastAsia="Arial" w:hAnsi="Arial"/>
          <w:sz w:val="18"/>
          <w:szCs w:val="18"/>
          <w:color w:val="auto"/>
        </w:rPr>
        <w:t>Unlike other SPAC IPOs, investors in this offering will not receive warrants that would become exercisable following completion of our initial business combination.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22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222875"/>
                    </a:xfrm>
                    <a:prstGeom prst="rect">
                      <a:avLst/>
                    </a:prstGeom>
                    <a:noFill/>
                  </pic:spPr>
                </pic:pic>
              </a:graphicData>
            </a:graphic>
          </wp:anchor>
        </w:drawing>
        <w:t>CORPORATE INFORMATION</w:t>
      </w:r>
    </w:p>
    <w:p>
      <w:pPr>
        <w:spacing w:after="0" w:line="153" w:lineRule="exact"/>
        <w:rPr>
          <w:sz w:val="20"/>
          <w:szCs w:val="20"/>
          <w:color w:val="auto"/>
        </w:rPr>
      </w:pPr>
    </w:p>
    <w:p>
      <w:pPr>
        <w:ind w:left="540" w:right="659"/>
        <w:spacing w:after="0" w:line="246" w:lineRule="auto"/>
        <w:rPr>
          <w:sz w:val="20"/>
          <w:szCs w:val="20"/>
          <w:color w:val="auto"/>
        </w:rPr>
      </w:pPr>
      <w:r>
        <w:rPr>
          <w:rFonts w:ascii="Arial" w:cs="Arial" w:eastAsia="Arial" w:hAnsi="Arial"/>
          <w:sz w:val="18"/>
          <w:szCs w:val="18"/>
          <w:color w:val="auto"/>
        </w:rPr>
        <w:t>Our executive offices are located at 600 Montgomery Street, Suite 4500, San Francisco, California 94111, and our telephone number is (415) 877-4887.</w:t>
      </w:r>
    </w:p>
    <w:p>
      <w:pPr>
        <w:spacing w:after="0" w:line="129"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5"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79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6979920"/>
                    </a:xfrm>
                    <a:prstGeom prst="rect">
                      <a:avLst/>
                    </a:prstGeom>
                    <a:noFill/>
                  </pic:spPr>
                </pic:pic>
              </a:graphicData>
            </a:graphic>
          </wp:anchor>
        </w:drawing>
        <w:t>THE OFFERING</w:t>
      </w:r>
    </w:p>
    <w:p>
      <w:pPr>
        <w:spacing w:after="0" w:line="234" w:lineRule="exact"/>
        <w:rPr>
          <w:sz w:val="20"/>
          <w:szCs w:val="20"/>
          <w:color w:val="auto"/>
        </w:rPr>
      </w:pPr>
    </w:p>
    <w:p>
      <w:pPr>
        <w:ind w:left="540" w:right="779"/>
        <w:spacing w:after="0" w:line="237" w:lineRule="auto"/>
        <w:rPr>
          <w:sz w:val="20"/>
          <w:szCs w:val="20"/>
          <w:color w:val="auto"/>
        </w:rPr>
      </w:pPr>
      <w:r>
        <w:rPr>
          <w:rFonts w:ascii="Arial" w:cs="Arial" w:eastAsia="Arial" w:hAnsi="Arial"/>
          <w:sz w:val="18"/>
          <w:szCs w:val="18"/>
          <w:color w:val="auto"/>
        </w:rPr>
        <w:t>In making your decision on whether to invest in our Class A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162"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Shares of Class A common stock offered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39"/>
        <w:spacing w:after="0"/>
        <w:rPr>
          <w:sz w:val="20"/>
          <w:szCs w:val="20"/>
          <w:color w:val="auto"/>
        </w:rPr>
      </w:pPr>
      <w:r>
        <w:rPr>
          <w:rFonts w:ascii="Arial" w:cs="Arial" w:eastAsia="Arial" w:hAnsi="Arial"/>
          <w:sz w:val="18"/>
          <w:szCs w:val="18"/>
          <w:color w:val="auto"/>
        </w:rPr>
        <w:t>10,000,000 shares (or 11,500,000 shares if the underwriter’s over-allotment option is exercised in full), at $10.00 per share.</w:t>
      </w:r>
    </w:p>
    <w:p>
      <w:pPr>
        <w:spacing w:after="0" w:line="176" w:lineRule="exact"/>
        <w:rPr>
          <w:sz w:val="20"/>
          <w:szCs w:val="20"/>
          <w:color w:val="auto"/>
        </w:rPr>
      </w:pPr>
    </w:p>
    <w:p>
      <w:pPr>
        <w:sectPr>
          <w:pgSz w:w="11900" w:h="16838" w:orient="portrait"/>
          <w:cols w:equalWidth="0" w:num="2">
            <w:col w:w="3200" w:space="5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Nasdaq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“FSDC”</w:t>
      </w:r>
    </w:p>
    <w:p>
      <w:pPr>
        <w:spacing w:after="0" w:line="185"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Trading commencement</w:t>
      </w:r>
    </w:p>
    <w:p>
      <w:pPr>
        <w:spacing w:after="0" w:line="20" w:lineRule="exact"/>
        <w:rPr>
          <w:sz w:val="20"/>
          <w:szCs w:val="20"/>
          <w:color w:val="auto"/>
        </w:rPr>
      </w:pPr>
      <w:r>
        <w:rPr>
          <w:sz w:val="20"/>
          <w:szCs w:val="20"/>
          <w:color w:val="auto"/>
        </w:rPr>
        <w:br w:type="column"/>
      </w:r>
    </w:p>
    <w:p>
      <w:pPr>
        <w:ind w:right="1019"/>
        <w:spacing w:after="0"/>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176"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jc w:val="center"/>
        <w:ind w:left="540"/>
        <w:spacing w:after="0"/>
        <w:rPr>
          <w:sz w:val="20"/>
          <w:szCs w:val="20"/>
          <w:color w:val="auto"/>
        </w:rPr>
      </w:pPr>
      <w:r>
        <w:rPr>
          <w:rFonts w:ascii="Arial" w:cs="Arial" w:eastAsia="Arial" w:hAnsi="Arial"/>
          <w:sz w:val="17"/>
          <w:szCs w:val="17"/>
          <w:color w:val="auto"/>
        </w:rPr>
        <w:t>Number of shares of common stock</w:t>
      </w:r>
    </w:p>
    <w:p>
      <w:pPr>
        <w:spacing w:after="0" w:line="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outstanding before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2,875,000</w:t>
      </w:r>
      <w:r>
        <w:rPr>
          <w:rFonts w:ascii="Arial" w:cs="Arial" w:eastAsia="Arial" w:hAnsi="Arial"/>
          <w:sz w:val="10"/>
          <w:szCs w:val="10"/>
          <w:color w:val="auto"/>
        </w:rPr>
        <w:t>(2)(3)</w:t>
      </w:r>
    </w:p>
    <w:p>
      <w:pPr>
        <w:spacing w:after="0" w:line="185"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720" w:hanging="179"/>
        <w:spacing w:after="0" w:line="274" w:lineRule="auto"/>
        <w:rPr>
          <w:sz w:val="20"/>
          <w:szCs w:val="20"/>
          <w:color w:val="auto"/>
        </w:rPr>
      </w:pPr>
      <w:r>
        <w:rPr>
          <w:rFonts w:ascii="Arial" w:cs="Arial" w:eastAsia="Arial" w:hAnsi="Arial"/>
          <w:sz w:val="17"/>
          <w:szCs w:val="17"/>
          <w:color w:val="auto"/>
        </w:rPr>
        <w:t>Number of shares of common stock outstanding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12,900,000</w:t>
      </w:r>
      <w:r>
        <w:rPr>
          <w:rFonts w:ascii="Arial" w:cs="Arial" w:eastAsia="Arial" w:hAnsi="Arial"/>
          <w:sz w:val="10"/>
          <w:szCs w:val="10"/>
          <w:color w:val="auto"/>
        </w:rPr>
        <w:t>(1)(3)(4)(5)</w:t>
      </w:r>
    </w:p>
    <w:p>
      <w:pPr>
        <w:spacing w:after="0" w:line="184" w:lineRule="exact"/>
        <w:rPr>
          <w:sz w:val="20"/>
          <w:szCs w:val="20"/>
          <w:color w:val="auto"/>
        </w:rPr>
      </w:pPr>
    </w:p>
    <w:p>
      <w:pPr>
        <w:sectPr>
          <w:pgSz w:w="11900" w:h="16838" w:orient="portrait"/>
          <w:cols w:equalWidth="0" w:num="2">
            <w:col w:w="3380" w:space="34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Indication of Interest</w:t>
      </w:r>
    </w:p>
    <w:p>
      <w:pPr>
        <w:spacing w:after="0" w:line="20" w:lineRule="exact"/>
        <w:rPr>
          <w:sz w:val="20"/>
          <w:szCs w:val="20"/>
          <w:color w:val="auto"/>
        </w:rPr>
      </w:pPr>
      <w:r>
        <w:rPr>
          <w:sz w:val="20"/>
          <w:szCs w:val="20"/>
          <w:color w:val="auto"/>
        </w:rPr>
        <w:br w:type="column"/>
      </w:r>
    </w:p>
    <w:p>
      <w:pPr>
        <w:ind w:right="599"/>
        <w:spacing w:after="0" w:line="235" w:lineRule="auto"/>
        <w:rPr>
          <w:sz w:val="20"/>
          <w:szCs w:val="20"/>
          <w:color w:val="auto"/>
        </w:rPr>
      </w:pPr>
      <w:r>
        <w:rPr>
          <w:rFonts w:ascii="Arial" w:cs="Arial" w:eastAsia="Arial" w:hAnsi="Arial"/>
          <w:sz w:val="18"/>
          <w:szCs w:val="18"/>
          <w:color w:val="auto"/>
        </w:rPr>
        <w:t>Our sponsor has indicated an interest to purchase an aggregate of $ 25,000,000 of shares of our Class A common stock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We are not under any obligation to sell any such shares. Such investment would be made on terms and conditions determined at the time of the business combination.</w:t>
      </w:r>
    </w:p>
    <w:p>
      <w:pPr>
        <w:spacing w:after="0" w:line="94" w:lineRule="exact"/>
        <w:rPr>
          <w:sz w:val="20"/>
          <w:szCs w:val="20"/>
          <w:color w:val="auto"/>
        </w:rPr>
      </w:pPr>
    </w:p>
    <w:p>
      <w:pPr>
        <w:sectPr>
          <w:pgSz w:w="11900" w:h="16838" w:orient="portrait"/>
          <w:cols w:equalWidth="0" w:num="2">
            <w:col w:w="3000" w:space="720"/>
            <w:col w:w="5299"/>
          </w:cols>
          <w:pgMar w:left="1440" w:top="535"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____________</w:t>
      </w:r>
    </w:p>
    <w:p>
      <w:pPr>
        <w:sectPr>
          <w:pgSz w:w="11900" w:h="16838" w:orient="portrait"/>
          <w:cols w:equalWidth="0" w:num="1">
            <w:col w:w="9019"/>
          </w:cols>
          <w:pgMar w:left="1440" w:top="535" w:right="1440" w:bottom="1440" w:gutter="0" w:footer="0" w:header="0"/>
          <w:type w:val="continuous"/>
        </w:sectPr>
      </w:pPr>
    </w:p>
    <w:p>
      <w:pPr>
        <w:spacing w:after="0" w:line="173" w:lineRule="exact"/>
        <w:rPr>
          <w:sz w:val="20"/>
          <w:szCs w:val="20"/>
          <w:color w:val="auto"/>
        </w:rPr>
      </w:pPr>
    </w:p>
    <w:p>
      <w:pPr>
        <w:ind w:left="980" w:right="859" w:hanging="436"/>
        <w:spacing w:after="0" w:line="216" w:lineRule="auto"/>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375,000 founder shares by our sponsor for no consideration.</w:t>
      </w:r>
    </w:p>
    <w:p>
      <w:pPr>
        <w:ind w:left="980" w:right="759" w:hanging="436"/>
        <w:spacing w:after="0" w:line="216"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375,000 founder shares that will be forfeited by our sponsor depending on the extent to which the underwriters’ over-allotment option is exercised.</w:t>
      </w:r>
    </w:p>
    <w:p>
      <w:pPr>
        <w:ind w:left="980" w:right="659" w:hanging="436"/>
        <w:spacing w:after="0" w:line="234" w:lineRule="auto"/>
        <w:tabs>
          <w:tab w:leader="none" w:pos="947"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right="1139" w:hanging="436"/>
        <w:spacing w:after="0" w:line="216"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10,000,000 public shares, 2,500,000 founder shares and 400,000 private placement shares to be sold in the private placement that will close simultaneously with the closing of the offering.</w:t>
      </w:r>
    </w:p>
    <w:p>
      <w:pPr>
        <w:ind w:left="980" w:right="659" w:hanging="436"/>
        <w:spacing w:after="0" w:line="230"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Unlike other SPAC IPOs, investors in this offering will not receive warrants that would become exercisable following completion of our initial business combination.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31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831580"/>
                    </a:xfrm>
                    <a:prstGeom prst="rect">
                      <a:avLst/>
                    </a:prstGeom>
                    <a:noFill/>
                  </pic:spPr>
                </pic:pic>
              </a:graphicData>
            </a:graphic>
          </wp:anchor>
        </w:drawing>
        <w:t>Founder shares</w:t>
      </w:r>
    </w:p>
    <w:p>
      <w:pPr>
        <w:ind w:left="3720" w:right="679"/>
        <w:spacing w:after="0" w:line="238"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Mr. Dubin and Ms. Pakianathan.</w:t>
      </w:r>
    </w:p>
    <w:p>
      <w:pPr>
        <w:spacing w:after="0" w:line="121"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of Class A common stock if the underwriters’ over-allotment option is exercised in full, and therefore that such founder shares would represent 20% of the issued and outstanding shares of common stock after this offering (excluding the private placement shares). Up to 375,000 of the founder shares will be forfeited by our sponsor depending on the extent to which the underwriters’ over-allotment option is not exercised. If we increase or decrease the size of the offering pursuant to Rule 462(b) under the Securities Act, we will effect a stock dividend or share contribution back to capital or other appropriate mechanism, as applicable, with respect to our Class B common stock immediately prior to the consummation of the offering in such amount as to maintain the ownership of founder shares by our initial stockholders, on an as-converted basis, at 20.0% of our issued and outstanding common stock upon the consummation of this offering (excluding the private placement shares).</w:t>
      </w:r>
    </w:p>
    <w:p>
      <w:pPr>
        <w:spacing w:after="0" w:line="185" w:lineRule="exact"/>
        <w:rPr>
          <w:sz w:val="20"/>
          <w:szCs w:val="20"/>
          <w:color w:val="auto"/>
        </w:rPr>
      </w:pPr>
    </w:p>
    <w:p>
      <w:pPr>
        <w:ind w:left="3720" w:right="739"/>
        <w:spacing w:after="0" w:line="246" w:lineRule="auto"/>
        <w:rPr>
          <w:sz w:val="20"/>
          <w:szCs w:val="20"/>
          <w:color w:val="auto"/>
        </w:rPr>
      </w:pPr>
      <w:r>
        <w:rPr>
          <w:rFonts w:ascii="Arial" w:cs="Arial" w:eastAsia="Arial" w:hAnsi="Arial"/>
          <w:sz w:val="18"/>
          <w:szCs w:val="18"/>
          <w:color w:val="auto"/>
        </w:rPr>
        <w:t>The founder shares are identical to the shares of Class A common stock being sold in this offering, except that:</w:t>
      </w:r>
    </w:p>
    <w:p>
      <w:pPr>
        <w:spacing w:after="0" w:line="89" w:lineRule="exact"/>
        <w:rPr>
          <w:sz w:val="20"/>
          <w:szCs w:val="20"/>
          <w:color w:val="auto"/>
        </w:rPr>
      </w:pPr>
    </w:p>
    <w:p>
      <w:pPr>
        <w:ind w:left="4160" w:right="659" w:hanging="214"/>
        <w:spacing w:after="0"/>
        <w:tabs>
          <w:tab w:leader="none" w:pos="41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and the private placement shares are subject to certain transfer restrictions, as described in more detail below;</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49" w:lineRule="auto"/>
        <w:tabs>
          <w:tab w:leader="none" w:pos="41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initial stockholders, sponsor, officers and directors have entered into a letter agreement with us, pursuant to which they have agreed to (i) waive their redemption rights with respect to any founder shares and private placement shares and any public shares they may acquire during or after this offering in connection with the completion of our initial business combination, (ii) waive their redemption rights with respect to any founder shares and private placement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and private placement shares they hold if we fail to complete our initial business combination within 24 months from the closing of this offering</w:t>
      </w:r>
    </w:p>
    <w:p>
      <w:pPr>
        <w:sectPr>
          <w:pgSz w:w="11900" w:h="16838" w:orient="portrait"/>
          <w:cols w:equalWidth="0" w:num="1">
            <w:col w:w="9019"/>
          </w:cols>
          <w:pgMar w:left="144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8" w:right="1440"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Transfer restrictions on founder shares and private placement shares</w:t>
      </w:r>
    </w:p>
    <w:p>
      <w:pPr>
        <w:spacing w:after="0" w:line="20" w:lineRule="exact"/>
        <w:rPr>
          <w:sz w:val="20"/>
          <w:szCs w:val="20"/>
          <w:color w:val="auto"/>
        </w:rPr>
      </w:pPr>
      <w:r>
        <w:rPr>
          <w:sz w:val="20"/>
          <w:szCs w:val="20"/>
          <w:color w:val="auto"/>
        </w:rPr>
        <w:br w:type="column"/>
      </w:r>
    </w:p>
    <w:p>
      <w:pPr>
        <w:ind w:left="440" w:right="579"/>
        <w:spacing w:after="0" w:line="235" w:lineRule="auto"/>
        <w:rPr>
          <w:sz w:val="20"/>
          <w:szCs w:val="20"/>
          <w:color w:val="auto"/>
        </w:rPr>
      </w:pPr>
      <w:r>
        <w:rPr>
          <w:rFonts w:ascii="Arial" w:cs="Arial" w:eastAsia="Arial" w:hAnsi="Arial"/>
          <w:sz w:val="18"/>
          <w:szCs w:val="18"/>
          <w:color w:val="auto"/>
        </w:rPr>
        <w:t>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the private placement shares and any public shares purchased during or after this offering in favor of our initial business combination.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-3422015</wp:posOffset>
            </wp:positionV>
            <wp:extent cx="5147310" cy="8463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463280"/>
                    </a:xfrm>
                    <a:prstGeom prst="rect">
                      <a:avLst/>
                    </a:prstGeom>
                    <a:noFill/>
                  </pic:spPr>
                </pic:pic>
              </a:graphicData>
            </a:graphic>
          </wp:anchor>
        </w:drawing>
      </w:r>
    </w:p>
    <w:p>
      <w:pPr>
        <w:spacing w:after="0" w:line="165" w:lineRule="exact"/>
        <w:rPr>
          <w:sz w:val="20"/>
          <w:szCs w:val="20"/>
          <w:color w:val="auto"/>
        </w:rPr>
      </w:pPr>
    </w:p>
    <w:p>
      <w:pPr>
        <w:ind w:left="440" w:right="599" w:hanging="214"/>
        <w:spacing w:after="0" w:line="237"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230" w:lineRule="exact"/>
        <w:rPr>
          <w:sz w:val="20"/>
          <w:szCs w:val="20"/>
          <w:color w:val="auto"/>
        </w:rPr>
      </w:pPr>
    </w:p>
    <w:p>
      <w:pPr>
        <w:ind w:right="619"/>
        <w:spacing w:after="0" w:line="234"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private placement shares until the earlier to occur 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and Private Placement Shares”. Any permitted transferees will be subject to the same restrictions and other agreements of our initial stockholders with respect to any founder shares or private placement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w:t>
      </w:r>
    </w:p>
    <w:p>
      <w:pPr>
        <w:spacing w:after="0" w:line="16" w:lineRule="exact"/>
        <w:rPr>
          <w:sz w:val="20"/>
          <w:szCs w:val="20"/>
          <w:color w:val="auto"/>
        </w:rPr>
      </w:pPr>
    </w:p>
    <w:p>
      <w:pPr>
        <w:ind w:right="619" w:firstLine="10"/>
        <w:spacing w:after="0" w:line="255"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consummate a transaction after our initial business combination which results in our stockholders having the right to exchange their shares for cash, securities or other property, the founder shares and private placement shares will be released from the lock-up.</w:t>
      </w:r>
    </w:p>
    <w:p>
      <w:pPr>
        <w:spacing w:after="0" w:line="200" w:lineRule="exact"/>
        <w:rPr>
          <w:sz w:val="20"/>
          <w:szCs w:val="20"/>
          <w:color w:val="auto"/>
        </w:rPr>
      </w:pPr>
    </w:p>
    <w:p>
      <w:pPr>
        <w:sectPr>
          <w:pgSz w:w="11900" w:h="16838" w:orient="portrait"/>
          <w:cols w:equalWidth="0" w:num="2">
            <w:col w:w="3080" w:space="640"/>
            <w:col w:w="5299"/>
          </w:cols>
          <w:pgMar w:left="1440" w:top="665"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6" w:name="page17"/>
    <w:bookmarkEnd w:id="16"/>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Founder shares conversion and</w:t>
            </w:r>
          </w:p>
        </w:tc>
        <w:tc>
          <w:tcPr>
            <w:tcW w:w="5160" w:type="dxa"/>
            <w:vAlign w:val="bottom"/>
            <w:tcBorders>
              <w:top w:val="single" w:sz="8" w:color="auto"/>
              <w:right w:val="single" w:sz="8" w:color="auto"/>
            </w:tcBorders>
          </w:tcPr>
          <w:p>
            <w:pPr>
              <w:spacing w:after="0"/>
              <w:rPr>
                <w:sz w:val="24"/>
                <w:szCs w:val="24"/>
                <w:color w:val="auto"/>
              </w:rPr>
            </w:pPr>
          </w:p>
        </w:tc>
      </w:tr>
      <w:tr>
        <w:trPr>
          <w:trHeight w:val="203"/>
        </w:trPr>
        <w:tc>
          <w:tcPr>
            <w:tcW w:w="2940" w:type="dxa"/>
            <w:vAlign w:val="bottom"/>
            <w:tcBorders>
              <w:left w:val="single" w:sz="8" w:color="auto"/>
            </w:tcBorders>
          </w:tcPr>
          <w:p>
            <w:pPr>
              <w:ind w:left="260"/>
              <w:spacing w:after="0" w:line="202" w:lineRule="exact"/>
              <w:rPr>
                <w:sz w:val="20"/>
                <w:szCs w:val="20"/>
                <w:color w:val="auto"/>
              </w:rPr>
            </w:pPr>
            <w:r>
              <w:rPr>
                <w:rFonts w:ascii="Arial" w:cs="Arial" w:eastAsia="Arial" w:hAnsi="Arial"/>
                <w:sz w:val="18"/>
                <w:szCs w:val="18"/>
                <w:color w:val="auto"/>
              </w:rPr>
              <w:t>anti-dilution rights</w:t>
            </w: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founder shares will automatically convert into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of Class A common stock concurrently with or immediately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following the consummation of our initial business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combination on a one-for-one basis, subject to adjustment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for stock splits, stock dividends, reorganizations,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recapitalizations and the like, and subject to further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adjustment as provided herein. In the case that additional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or equity-linked securities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are issued or deemed issued in connection with our initial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business combination, the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issuable upon conversion of all founder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will equal, in the aggregate, on an as-converted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basis, 20% of the total number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issued and outstanding (excluding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after such conversion (after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giving effect to any redemptions of shares of Class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common stock by public stockholders), including the total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number of shares of Class A common stock issued,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deemed issued or issuable upon conversion or exercise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equity-linked securities or rights issued or deemed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issued, by the Company in connection with or in relation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the consummation of the initial business combination,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excluding any shares of Class A common stock or equity-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linked securities or rights exercisable for or convertible into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shares of Class A common stock issued, or to be issued, to</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any seller in the initial business combination and any</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private placement shares issued to our sponsor, officers or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directors upon conversion of working capital loans,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provided that such conversion of founder shares will never</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occur on a less than one-for-one basis.</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Voting Rights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Holders of record of our Class A common stock and</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holders of record of our Class B common stock will vote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together as a single class on all matters submitted to a</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vote of our stockholders, with each share of common stock</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entitling the holder to one vote except as required by law.</w:t>
            </w:r>
          </w:p>
        </w:tc>
      </w:tr>
      <w:tr>
        <w:trPr>
          <w:trHeight w:val="229"/>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Private placement shares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Our sponsor has committed, pursuant to a written</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agreement, to purchase 400,000 private placement shares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(or 430,000 private placement shares if the underwriters’</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over-allotment option is exercised in full) at a price of</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$10.00 per private placement share ($4,000,000 in the</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aggregate or $4,300,000 if the underwriters’ over-allotment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option is exercised in full), in a private placement that will</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close simultaneously with the closing of this offering. Our</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sponsor has entered into an agreement with us, pursuant</w:t>
            </w:r>
          </w:p>
        </w:tc>
      </w:tr>
      <w:tr>
        <w:trPr>
          <w:trHeight w:val="203"/>
        </w:trPr>
        <w:tc>
          <w:tcPr>
            <w:tcW w:w="2940" w:type="dxa"/>
            <w:vAlign w:val="bottom"/>
            <w:tcBorders>
              <w:left w:val="single" w:sz="8" w:color="auto"/>
            </w:tcBorders>
          </w:tcPr>
          <w:p>
            <w:pPr>
              <w:spacing w:after="0"/>
              <w:rPr>
                <w:sz w:val="17"/>
                <w:szCs w:val="17"/>
                <w:color w:val="auto"/>
              </w:rPr>
            </w:pPr>
          </w:p>
        </w:tc>
        <w:tc>
          <w:tcPr>
            <w:tcW w:w="51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to which it has agreed to waive its redemption rights with</w:t>
            </w:r>
          </w:p>
        </w:tc>
      </w:tr>
      <w:tr>
        <w:trPr>
          <w:trHeight w:val="217"/>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respect to the private placement shares.</w:t>
            </w:r>
          </w:p>
        </w:tc>
      </w:tr>
      <w:tr>
        <w:trPr>
          <w:trHeight w:val="388"/>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75"/>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9019"/>
          </w:cols>
          <w:pgMar w:left="1440" w:top="120" w:right="1440" w:bottom="1440" w:gutter="0" w:footer="0" w:header="0"/>
        </w:sectPr>
      </w:pPr>
    </w:p>
    <w:bookmarkStart w:id="17" w:name="page18"/>
    <w:bookmarkEnd w:id="17"/>
    <w:p>
      <w:pPr>
        <w:ind w:left="540"/>
        <w:spacing w:after="0"/>
        <w:tabs>
          <w:tab w:leader="none" w:pos="4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423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423400"/>
                    </a:xfrm>
                    <a:prstGeom prst="rect">
                      <a:avLst/>
                    </a:prstGeom>
                    <a:noFill/>
                  </pic:spPr>
                </pic:pic>
              </a:graphicData>
            </a:graphic>
          </wp:anchor>
        </w:drawing>
        <w:t>Proceeds to be held in trust account</w:t>
      </w:r>
      <w:r>
        <w:rPr>
          <w:sz w:val="20"/>
          <w:szCs w:val="20"/>
          <w:color w:val="auto"/>
        </w:rPr>
        <w:tab/>
      </w:r>
      <w:r>
        <w:rPr>
          <w:rFonts w:ascii="Arial" w:cs="Arial" w:eastAsia="Arial" w:hAnsi="Arial"/>
          <w:sz w:val="17"/>
          <w:szCs w:val="17"/>
          <w:color w:val="auto"/>
        </w:rPr>
        <w:t>Nasdaq rules provide that at least 90% of the gross</w:t>
      </w:r>
    </w:p>
    <w:p>
      <w:pPr>
        <w:ind w:left="40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4020"/>
        <w:spacing w:after="0" w:line="235" w:lineRule="auto"/>
        <w:rPr>
          <w:sz w:val="20"/>
          <w:szCs w:val="20"/>
          <w:color w:val="auto"/>
        </w:rPr>
      </w:pPr>
      <w:r>
        <w:rPr>
          <w:rFonts w:ascii="Arial" w:cs="Arial" w:eastAsia="Arial" w:hAnsi="Arial"/>
          <w:sz w:val="18"/>
          <w:szCs w:val="18"/>
          <w:color w:val="auto"/>
        </w:rPr>
        <w:t>placement shares be deposited in a trust account. Of</w:t>
      </w:r>
    </w:p>
    <w:p>
      <w:pPr>
        <w:ind w:left="4020"/>
        <w:spacing w:after="0" w:line="235" w:lineRule="auto"/>
        <w:rPr>
          <w:sz w:val="20"/>
          <w:szCs w:val="20"/>
          <w:color w:val="auto"/>
        </w:rPr>
      </w:pPr>
      <w:r>
        <w:rPr>
          <w:rFonts w:ascii="Arial" w:cs="Arial" w:eastAsia="Arial" w:hAnsi="Arial"/>
          <w:sz w:val="18"/>
          <w:szCs w:val="18"/>
          <w:color w:val="auto"/>
        </w:rPr>
        <w:t>the proceeds we will receive from this offering and the</w:t>
      </w:r>
    </w:p>
    <w:p>
      <w:pPr>
        <w:ind w:left="4020"/>
        <w:spacing w:after="0" w:line="235" w:lineRule="auto"/>
        <w:rPr>
          <w:sz w:val="20"/>
          <w:szCs w:val="20"/>
          <w:color w:val="auto"/>
        </w:rPr>
      </w:pPr>
      <w:r>
        <w:rPr>
          <w:rFonts w:ascii="Arial" w:cs="Arial" w:eastAsia="Arial" w:hAnsi="Arial"/>
          <w:sz w:val="18"/>
          <w:szCs w:val="18"/>
          <w:color w:val="auto"/>
        </w:rPr>
        <w:t>sale of the private placement shares described in this</w:t>
      </w:r>
    </w:p>
    <w:p>
      <w:pPr>
        <w:ind w:left="4020"/>
        <w:spacing w:after="0" w:line="235" w:lineRule="auto"/>
        <w:rPr>
          <w:sz w:val="20"/>
          <w:szCs w:val="20"/>
          <w:color w:val="auto"/>
        </w:rPr>
      </w:pPr>
      <w:r>
        <w:rPr>
          <w:rFonts w:ascii="Arial" w:cs="Arial" w:eastAsia="Arial" w:hAnsi="Arial"/>
          <w:sz w:val="18"/>
          <w:szCs w:val="18"/>
          <w:color w:val="auto"/>
        </w:rPr>
        <w:t>prospectus, $100 million, or $115 million if the</w:t>
      </w:r>
    </w:p>
    <w:p>
      <w:pPr>
        <w:ind w:left="40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4020"/>
        <w:spacing w:after="0" w:line="235" w:lineRule="auto"/>
        <w:rPr>
          <w:sz w:val="20"/>
          <w:szCs w:val="20"/>
          <w:color w:val="auto"/>
        </w:rPr>
      </w:pPr>
      <w:r>
        <w:rPr>
          <w:rFonts w:ascii="Arial" w:cs="Arial" w:eastAsia="Arial" w:hAnsi="Arial"/>
          <w:sz w:val="18"/>
          <w:szCs w:val="18"/>
          <w:color w:val="auto"/>
        </w:rPr>
        <w:t>($10.00 per share in either case), will be deposited into</w:t>
      </w:r>
    </w:p>
    <w:p>
      <w:pPr>
        <w:ind w:left="4020"/>
        <w:spacing w:after="0" w:line="235" w:lineRule="auto"/>
        <w:rPr>
          <w:sz w:val="20"/>
          <w:szCs w:val="20"/>
          <w:color w:val="auto"/>
        </w:rPr>
      </w:pPr>
      <w:r>
        <w:rPr>
          <w:rFonts w:ascii="Arial" w:cs="Arial" w:eastAsia="Arial" w:hAnsi="Arial"/>
          <w:sz w:val="18"/>
          <w:szCs w:val="18"/>
          <w:color w:val="auto"/>
        </w:rPr>
        <w:t>a segregated trust account located in the United States</w:t>
      </w:r>
    </w:p>
    <w:p>
      <w:pPr>
        <w:ind w:left="4020"/>
        <w:spacing w:after="0" w:line="235" w:lineRule="auto"/>
        <w:rPr>
          <w:sz w:val="20"/>
          <w:szCs w:val="20"/>
          <w:color w:val="auto"/>
        </w:rPr>
      </w:pPr>
      <w:r>
        <w:rPr>
          <w:rFonts w:ascii="Arial" w:cs="Arial" w:eastAsia="Arial" w:hAnsi="Arial"/>
          <w:sz w:val="18"/>
          <w:szCs w:val="18"/>
          <w:color w:val="auto"/>
        </w:rPr>
        <w:t>at JP Morgan Chase Bank, N.A. with Continental Stock</w:t>
      </w:r>
    </w:p>
    <w:p>
      <w:pPr>
        <w:ind w:left="4020"/>
        <w:spacing w:after="0" w:line="235" w:lineRule="auto"/>
        <w:rPr>
          <w:sz w:val="20"/>
          <w:szCs w:val="20"/>
          <w:color w:val="auto"/>
        </w:rPr>
      </w:pPr>
      <w:r>
        <w:rPr>
          <w:rFonts w:ascii="Arial" w:cs="Arial" w:eastAsia="Arial" w:hAnsi="Arial"/>
          <w:sz w:val="18"/>
          <w:szCs w:val="18"/>
          <w:color w:val="auto"/>
        </w:rPr>
        <w:t>Transfer &amp; Trust Company acting as trustee, after</w:t>
      </w:r>
    </w:p>
    <w:p>
      <w:pPr>
        <w:ind w:left="4020"/>
        <w:spacing w:after="0" w:line="234" w:lineRule="auto"/>
        <w:rPr>
          <w:sz w:val="20"/>
          <w:szCs w:val="20"/>
          <w:color w:val="auto"/>
        </w:rPr>
      </w:pPr>
      <w:r>
        <w:rPr>
          <w:rFonts w:ascii="Arial" w:cs="Arial" w:eastAsia="Arial" w:hAnsi="Arial"/>
          <w:sz w:val="18"/>
          <w:szCs w:val="18"/>
          <w:color w:val="auto"/>
        </w:rPr>
        <w:t>deducting $2,000,000 in underwriting discounts and</w:t>
      </w:r>
    </w:p>
    <w:p>
      <w:pPr>
        <w:ind w:left="4020"/>
        <w:spacing w:after="0" w:line="235" w:lineRule="auto"/>
        <w:rPr>
          <w:sz w:val="20"/>
          <w:szCs w:val="20"/>
          <w:color w:val="auto"/>
        </w:rPr>
      </w:pPr>
      <w:r>
        <w:rPr>
          <w:rFonts w:ascii="Arial" w:cs="Arial" w:eastAsia="Arial" w:hAnsi="Arial"/>
          <w:sz w:val="18"/>
          <w:szCs w:val="18"/>
          <w:color w:val="auto"/>
        </w:rPr>
        <w:t>commissions payable upon the closing of this offering</w:t>
      </w:r>
    </w:p>
    <w:p>
      <w:pPr>
        <w:ind w:left="4020"/>
        <w:spacing w:after="0" w:line="235" w:lineRule="auto"/>
        <w:rPr>
          <w:sz w:val="20"/>
          <w:szCs w:val="20"/>
          <w:color w:val="auto"/>
        </w:rPr>
      </w:pPr>
      <w:r>
        <w:rPr>
          <w:rFonts w:ascii="Arial" w:cs="Arial" w:eastAsia="Arial" w:hAnsi="Arial"/>
          <w:sz w:val="18"/>
          <w:szCs w:val="18"/>
          <w:color w:val="auto"/>
        </w:rPr>
        <w:t>(or $2,300,000 if the underwriters’ over-allotment option</w:t>
      </w:r>
    </w:p>
    <w:p>
      <w:pPr>
        <w:ind w:left="4020"/>
        <w:spacing w:after="0" w:line="235" w:lineRule="auto"/>
        <w:rPr>
          <w:sz w:val="20"/>
          <w:szCs w:val="20"/>
          <w:color w:val="auto"/>
        </w:rPr>
      </w:pPr>
      <w:r>
        <w:rPr>
          <w:rFonts w:ascii="Arial" w:cs="Arial" w:eastAsia="Arial" w:hAnsi="Arial"/>
          <w:sz w:val="18"/>
          <w:szCs w:val="18"/>
          <w:color w:val="auto"/>
        </w:rPr>
        <w:t>is exercised in full) and an aggregate of $2.0 million to</w:t>
      </w:r>
    </w:p>
    <w:p>
      <w:pPr>
        <w:ind w:left="4020"/>
        <w:spacing w:after="0"/>
        <w:rPr>
          <w:sz w:val="20"/>
          <w:szCs w:val="20"/>
          <w:color w:val="auto"/>
        </w:rPr>
      </w:pPr>
      <w:r>
        <w:rPr>
          <w:rFonts w:ascii="Arial" w:cs="Arial" w:eastAsia="Arial" w:hAnsi="Arial"/>
          <w:sz w:val="17"/>
          <w:szCs w:val="17"/>
          <w:color w:val="auto"/>
        </w:rPr>
        <w:t>pay fees and expenses in connection with the closing of</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this offering and for working capital following the closing</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of this offering. The proceeds to be placed in the trust</w:t>
      </w:r>
    </w:p>
    <w:p>
      <w:pPr>
        <w:ind w:left="4020"/>
        <w:spacing w:after="0" w:line="234" w:lineRule="auto"/>
        <w:rPr>
          <w:sz w:val="20"/>
          <w:szCs w:val="20"/>
          <w:color w:val="auto"/>
        </w:rPr>
      </w:pPr>
      <w:r>
        <w:rPr>
          <w:rFonts w:ascii="Arial" w:cs="Arial" w:eastAsia="Arial" w:hAnsi="Arial"/>
          <w:sz w:val="18"/>
          <w:szCs w:val="18"/>
          <w:color w:val="auto"/>
        </w:rPr>
        <w:t>account include $3,500,000 (or up to $4,025,000 if the</w:t>
      </w:r>
    </w:p>
    <w:p>
      <w:pPr>
        <w:ind w:left="4020"/>
        <w:spacing w:after="0" w:line="235" w:lineRule="auto"/>
        <w:rPr>
          <w:sz w:val="20"/>
          <w:szCs w:val="20"/>
          <w:color w:val="auto"/>
        </w:rPr>
      </w:pPr>
      <w:r>
        <w:rPr>
          <w:rFonts w:ascii="Arial" w:cs="Arial" w:eastAsia="Arial" w:hAnsi="Arial"/>
          <w:sz w:val="18"/>
          <w:szCs w:val="18"/>
          <w:color w:val="auto"/>
        </w:rPr>
        <w:t>underwriters’ over-allotment option is exercised in full)</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deferred underwriting commissions.</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shares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$100,000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shares not held in the trust account, which initially will be approximately $1,000,000 in working capital after the payment of approximately $1,000,000 in expenses relating to this offering; and</w:t>
      </w:r>
    </w:p>
    <w:p>
      <w:pPr>
        <w:sectPr>
          <w:pgSz w:w="11900" w:h="16838" w:orient="portrait"/>
          <w:cols w:equalWidth="0" w:num="1">
            <w:col w:w="9019"/>
          </w:cols>
          <w:pgMar w:left="1440" w:top="512" w:right="1440" w:bottom="927"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927"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left="440" w:right="579" w:hanging="214"/>
        <w:spacing w:after="0" w:line="236"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shares, at a price of $10.00 per share, at the option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-1660525</wp:posOffset>
            </wp:positionV>
            <wp:extent cx="5147310" cy="8891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891905"/>
                    </a:xfrm>
                    <a:prstGeom prst="rect">
                      <a:avLst/>
                    </a:prstGeom>
                    <a:noFill/>
                  </pic:spPr>
                </pic:pic>
              </a:graphicData>
            </a:graphic>
          </wp:anchor>
        </w:drawing>
      </w:r>
    </w:p>
    <w:p>
      <w:pPr>
        <w:spacing w:after="0" w:line="212"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We will complete our initial business combination only if the post-transaction company in which our public stockholders own shares will own or acquire</w:t>
      </w:r>
    </w:p>
    <w:p>
      <w:pPr>
        <w:spacing w:after="0" w:line="16" w:lineRule="exact"/>
        <w:rPr>
          <w:sz w:val="20"/>
          <w:szCs w:val="20"/>
          <w:color w:val="auto"/>
        </w:rPr>
      </w:pPr>
    </w:p>
    <w:p>
      <w:pPr>
        <w:ind w:right="579"/>
        <w:spacing w:after="0" w:line="249" w:lineRule="auto"/>
        <w:rPr>
          <w:sz w:val="20"/>
          <w:szCs w:val="20"/>
          <w:color w:val="auto"/>
        </w:rPr>
      </w:pPr>
      <w:r>
        <w:rPr>
          <w:rFonts w:ascii="Arial" w:cs="Arial" w:eastAsia="Arial" w:hAnsi="Arial"/>
          <w:sz w:val="17"/>
          <w:szCs w:val="17"/>
          <w:color w:val="auto"/>
        </w:rPr>
        <w:t>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720" w:hanging="179"/>
        <w:spacing w:after="0" w:line="246" w:lineRule="auto"/>
        <w:rPr>
          <w:sz w:val="20"/>
          <w:szCs w:val="20"/>
          <w:color w:val="auto"/>
        </w:rPr>
      </w:pPr>
      <w:r>
        <w:rPr>
          <w:rFonts w:ascii="Arial" w:cs="Arial" w:eastAsia="Arial" w:hAnsi="Arial"/>
          <w:sz w:val="18"/>
          <w:szCs w:val="18"/>
          <w:color w:val="auto"/>
        </w:rPr>
        <w:t>Permitted purchases of public shares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-5257800</wp:posOffset>
            </wp:positionV>
            <wp:extent cx="5147310" cy="7828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782891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of Class A common stock may result in the completion of our initial business combination that may not otherwise have been possible. 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200" w:lineRule="exact"/>
        <w:rPr>
          <w:sz w:val="20"/>
          <w:szCs w:val="20"/>
          <w:color w:val="auto"/>
        </w:rPr>
      </w:pPr>
    </w:p>
    <w:p>
      <w:pPr>
        <w:sectPr>
          <w:pgSz w:w="11900" w:h="16838" w:orient="portrait"/>
          <w:cols w:equalWidth="0" w:num="2">
            <w:col w:w="3500" w:space="2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private placement shares. Our initial stockholders, sponsor, officers and directors have entered into a letter agreement with us, pursuant to which they have agreed to waive their redemption rights with respect to any founder shares, private placement shares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8848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ind w:left="540"/>
        <w:spacing w:after="0"/>
        <w:tabs>
          <w:tab w:leader="none" w:pos="3700" w:val="left"/>
        </w:tabs>
        <w:rPr>
          <w:sz w:val="20"/>
          <w:szCs w:val="20"/>
          <w:color w:val="auto"/>
        </w:rPr>
      </w:pPr>
      <w:r>
        <w:rPr>
          <w:rFonts w:ascii="Arial" w:cs="Arial" w:eastAsia="Arial" w:hAnsi="Arial"/>
          <w:sz w:val="18"/>
          <w:szCs w:val="18"/>
          <w:color w:val="auto"/>
        </w:rPr>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659"/>
        <w:spacing w:after="0" w:line="236"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3720" w:right="59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852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852025"/>
                    </a:xfrm>
                    <a:prstGeom prst="rect">
                      <a:avLst/>
                    </a:prstGeom>
                    <a:noFill/>
                  </pic:spPr>
                </pic:pic>
              </a:graphicData>
            </a:graphic>
          </wp:anchor>
        </w:drawing>
        <w:t>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77"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at least 65% of all then issued and outstanding shares of our common stock entitled to vote thereon.</w:t>
      </w:r>
    </w:p>
    <w:p>
      <w:pPr>
        <w:spacing w:after="0" w:line="179" w:lineRule="exact"/>
        <w:rPr>
          <w:sz w:val="20"/>
          <w:szCs w:val="20"/>
          <w:color w:val="auto"/>
        </w:rPr>
      </w:pPr>
    </w:p>
    <w:p>
      <w:pPr>
        <w:jc w:val="both"/>
        <w:ind w:left="3720" w:right="559"/>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176" w:lineRule="exact"/>
        <w:rPr>
          <w:sz w:val="20"/>
          <w:szCs w:val="20"/>
          <w:color w:val="auto"/>
        </w:rPr>
      </w:pPr>
    </w:p>
    <w:p>
      <w:pPr>
        <w:ind w:left="4160" w:right="739" w:hanging="214"/>
        <w:spacing w:after="0" w:line="238" w:lineRule="auto"/>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and private placement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ectPr>
          <w:pgSz w:w="11900" w:h="16838" w:orient="portrait"/>
          <w:cols w:equalWidth="0" w:num="1">
            <w:col w:w="9019"/>
          </w:cols>
          <w:pgMar w:left="1440" w:top="517" w:right="1440" w:bottom="252"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252" w:gutter="0" w:footer="0" w:header="0"/>
          <w:type w:val="continuous"/>
        </w:sectPr>
      </w:pPr>
    </w:p>
    <w:bookmarkStart w:id="22" w:name="page23"/>
    <w:bookmarkEnd w:id="22"/>
    <w:p>
      <w:pPr>
        <w:ind w:left="3720" w:right="7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14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9114790"/>
                    </a:xfrm>
                    <a:prstGeom prst="rect">
                      <a:avLst/>
                    </a:prstGeom>
                    <a:noFill/>
                  </pic:spPr>
                </pic:pic>
              </a:graphicData>
            </a:graphic>
          </wp:anchor>
        </w:drawing>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28" w:lineRule="exact"/>
        <w:rPr>
          <w:sz w:val="20"/>
          <w:szCs w:val="20"/>
          <w:color w:val="auto"/>
        </w:rPr>
      </w:pPr>
    </w:p>
    <w:p>
      <w:pPr>
        <w:ind w:left="3720" w:right="61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-6029960</wp:posOffset>
            </wp:positionV>
            <wp:extent cx="5147310" cy="97574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757410"/>
                    </a:xfrm>
                    <a:prstGeom prst="rect">
                      <a:avLst/>
                    </a:prstGeom>
                    <a:noFill/>
                  </pic:spPr>
                </pic:pic>
              </a:graphicData>
            </a:graphic>
          </wp:anchor>
        </w:drawing>
      </w:r>
    </w:p>
    <w:p>
      <w:pPr>
        <w:spacing w:after="0" w:line="364" w:lineRule="exact"/>
        <w:rPr>
          <w:sz w:val="20"/>
          <w:szCs w:val="20"/>
          <w:color w:val="auto"/>
        </w:rPr>
      </w:pPr>
    </w:p>
    <w:p>
      <w:pPr>
        <w:ind w:right="599"/>
        <w:spacing w:after="0" w:line="24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020" w:space="280"/>
            <w:col w:w="4719"/>
          </w:cols>
          <w:pgMar w:left="1440" w:top="517" w:right="1440" w:bottom="40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401" w:gutter="0" w:footer="0" w:header="0"/>
          <w:type w:val="continuous"/>
        </w:sectPr>
      </w:pPr>
    </w:p>
    <w:bookmarkStart w:id="24" w:name="page25"/>
    <w:bookmarkEnd w:id="24"/>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-2676525</wp:posOffset>
            </wp:positionV>
            <wp:extent cx="5147310" cy="8745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745855"/>
                    </a:xfrm>
                    <a:prstGeom prst="rect">
                      <a:avLst/>
                    </a:prstGeom>
                    <a:noFill/>
                  </pic:spPr>
                </pic:pic>
              </a:graphicData>
            </a:graphic>
          </wp:anchor>
        </w:drawing>
      </w:r>
    </w:p>
    <w:p>
      <w:pPr>
        <w:ind w:right="879" w:firstLine="10"/>
        <w:spacing w:after="0" w:line="237" w:lineRule="auto"/>
        <w:tabs>
          <w:tab w:leader="none" w:pos="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78"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and private placement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32"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w:t>
      </w:r>
    </w:p>
    <w:p>
      <w:pPr>
        <w:spacing w:after="0" w:line="200" w:lineRule="exact"/>
        <w:rPr>
          <w:sz w:val="20"/>
          <w:szCs w:val="20"/>
          <w:color w:val="auto"/>
        </w:rPr>
      </w:pPr>
    </w:p>
    <w:p>
      <w:pPr>
        <w:sectPr>
          <w:pgSz w:w="11900" w:h="16838" w:orient="portrait"/>
          <w:cols w:equalWidth="0" w:num="2">
            <w:col w:w="3200" w:space="520"/>
            <w:col w:w="529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tbl>
      <w:tblPr>
        <w:tblLayout w:type="fixed"/>
        <w:tblInd w:w="470" w:type="dxa"/>
        <w:tblCellMar>
          <w:top w:w="0" w:type="dxa"/>
          <w:left w:w="0" w:type="dxa"/>
          <w:bottom w:w="0" w:type="dxa"/>
          <w:right w:w="0" w:type="dxa"/>
        </w:tblCellMar>
      </w:tblPr>
      <w:tr>
        <w:trPr>
          <w:trHeight w:val="580"/>
        </w:trPr>
        <w:tc>
          <w:tcPr>
            <w:tcW w:w="2820" w:type="dxa"/>
            <w:vAlign w:val="bottom"/>
            <w:tcBorders>
              <w:top w:val="single" w:sz="8" w:color="auto"/>
              <w:left w:val="single" w:sz="8" w:color="auto"/>
            </w:tcBorders>
          </w:tcPr>
          <w:p>
            <w:pPr>
              <w:spacing w:after="0"/>
              <w:rPr>
                <w:sz w:val="24"/>
                <w:szCs w:val="24"/>
                <w:color w:val="auto"/>
              </w:rPr>
            </w:pPr>
          </w:p>
        </w:tc>
        <w:tc>
          <w:tcPr>
            <w:tcW w:w="52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then outstanding public shares, subject to the limitations</w:t>
            </w:r>
          </w:p>
        </w:tc>
      </w:tr>
      <w:tr>
        <w:trPr>
          <w:trHeight w:val="202"/>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described above under “Limitations on redemptions.”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example, our board of directors may propose such an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amendment if it determines that additional time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necessary to complete our initial business combination.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such event, we will conduct a proxy solicitation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distribute proxy materials pursuant to Regulation 14A of</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 Exchange Act seeking stockholder approval of such</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proposal, and in connection therewith, provide our public</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stockholders with the redemption rights described above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upon stockholder approval of such amendment.</w:t>
            </w:r>
          </w:p>
        </w:tc>
      </w:tr>
      <w:tr>
        <w:trPr>
          <w:trHeight w:val="377"/>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Limited payments to insiders</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There will be no finder’s fees, reimbursement, consulting</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fee, monies in respect of any payment of a loan or other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compensation paid by us to our sponsor, officers 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directors, or any affiliate of our sponsor or officers prior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or in connection with any services rendered in order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effectuate, the consummation of our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combination (regardless of the type of transaction that it is).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However, the following payments will be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affiliates, and,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if made prior to our initial business combination will be</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made from funds held outside the trust account.</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up to an aggregate of $200,000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loans made to us by our sponsor to cover offering-</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related and organizational expenses;</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Payment to our sponsor of $10,000 per month for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 space, secretarial and administrative services</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provided to members of our management team;</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Reimbursement for any out-of-pocket expenses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related to identifying, investigating, negotiating and</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completing an initial business combination; and</w:t>
            </w:r>
          </w:p>
        </w:tc>
      </w:tr>
      <w:tr>
        <w:trPr>
          <w:trHeight w:val="377"/>
        </w:trPr>
        <w:tc>
          <w:tcPr>
            <w:tcW w:w="2820" w:type="dxa"/>
            <w:vAlign w:val="bottom"/>
            <w:tcBorders>
              <w:left w:val="single" w:sz="8" w:color="auto"/>
            </w:tcBorders>
          </w:tcPr>
          <w:p>
            <w:pPr>
              <w:spacing w:after="0"/>
              <w:rPr>
                <w:sz w:val="24"/>
                <w:szCs w:val="24"/>
                <w:color w:val="auto"/>
              </w:rPr>
            </w:pPr>
          </w:p>
        </w:tc>
        <w:tc>
          <w:tcPr>
            <w:tcW w:w="52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Repayment of loans which may be made by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sponsor or an affiliate of our sponsor or certain of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officers and directors to finance transaction costs in</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connection with an intended initial business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combination. Up to $1,500,000 of such loans may be</w:t>
            </w:r>
          </w:p>
        </w:tc>
      </w:tr>
      <w:tr>
        <w:trPr>
          <w:trHeight w:val="202"/>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convertible into private placement shares of the post-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business combination entity at a price of $10.00 per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share at the option of the lender. Except for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foregoing, the terms of such loans, if any, have not</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880"/>
              <w:spacing w:after="0" w:line="202" w:lineRule="exact"/>
              <w:rPr>
                <w:sz w:val="20"/>
                <w:szCs w:val="20"/>
                <w:color w:val="auto"/>
              </w:rPr>
            </w:pPr>
            <w:r>
              <w:rPr>
                <w:rFonts w:ascii="Arial" w:cs="Arial" w:eastAsia="Arial" w:hAnsi="Arial"/>
                <w:sz w:val="18"/>
                <w:szCs w:val="18"/>
                <w:color w:val="auto"/>
              </w:rPr>
              <w:t>been determined and no written agreements exist</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 respect to such loans.</w:t>
            </w:r>
          </w:p>
        </w:tc>
      </w:tr>
      <w:tr>
        <w:trPr>
          <w:trHeight w:val="229"/>
        </w:trPr>
        <w:tc>
          <w:tcPr>
            <w:tcW w:w="28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will establish and maintain an audit committee. Among</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its responsibilities, the audit committee will review on a</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quarterly basis all payments that were made to our</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sponsor, officers or directors, or our or their respective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affiliates and monitor compliance with the other terms</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relating to this offering. If any noncompliance is identified,</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then the audit committee will be charged with the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responsibility to promptly take all action necessary to</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rectify such noncompliance or otherwise to cause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compliance with the terms of this offering. For more</w:t>
            </w:r>
          </w:p>
        </w:tc>
      </w:tr>
      <w:tr>
        <w:trPr>
          <w:trHeight w:val="203"/>
        </w:trPr>
        <w:tc>
          <w:tcPr>
            <w:tcW w:w="2820" w:type="dxa"/>
            <w:vAlign w:val="bottom"/>
            <w:tcBorders>
              <w:left w:val="single" w:sz="8" w:color="auto"/>
            </w:tcBorders>
          </w:tcPr>
          <w:p>
            <w:pPr>
              <w:spacing w:after="0"/>
              <w:rPr>
                <w:sz w:val="17"/>
                <w:szCs w:val="17"/>
                <w:color w:val="auto"/>
              </w:rPr>
            </w:pPr>
          </w:p>
        </w:tc>
        <w:tc>
          <w:tcPr>
            <w:tcW w:w="528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information, see the section entitled “Management —</w:t>
            </w:r>
          </w:p>
        </w:tc>
      </w:tr>
      <w:tr>
        <w:trPr>
          <w:trHeight w:val="217"/>
        </w:trPr>
        <w:tc>
          <w:tcPr>
            <w:tcW w:w="2820" w:type="dxa"/>
            <w:vAlign w:val="bottom"/>
            <w:tcBorders>
              <w:left w:val="single" w:sz="8" w:color="auto"/>
            </w:tcBorders>
          </w:tcPr>
          <w:p>
            <w:pPr>
              <w:spacing w:after="0"/>
              <w:rPr>
                <w:sz w:val="18"/>
                <w:szCs w:val="18"/>
                <w:color w:val="auto"/>
              </w:rPr>
            </w:pPr>
          </w:p>
        </w:tc>
        <w:tc>
          <w:tcPr>
            <w:tcW w:w="5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Committees of the Board of Directors — Audit Committee.”</w:t>
            </w:r>
          </w:p>
        </w:tc>
      </w:tr>
      <w:tr>
        <w:trPr>
          <w:trHeight w:val="388"/>
        </w:trPr>
        <w:tc>
          <w:tcPr>
            <w:tcW w:w="2820" w:type="dxa"/>
            <w:vAlign w:val="bottom"/>
            <w:tcBorders>
              <w:left w:val="single" w:sz="8" w:color="auto"/>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r>
        <w:trPr>
          <w:trHeight w:val="375"/>
        </w:trPr>
        <w:tc>
          <w:tcPr>
            <w:tcW w:w="28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9019"/>
          </w:cols>
          <w:pgMar w:left="1440" w:top="120"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in this prospectus.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common stock. If any of the following events occur, our business, financial condition and operating results may be materially adversely affected. In that event, the trading price of our Class A common stock could decline, and you could lose all or part of your investment.</w:t>
      </w:r>
    </w:p>
    <w:p>
      <w:pPr>
        <w:spacing w:after="0" w:line="180"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460" w:right="519"/>
        <w:spacing w:after="0" w:line="247"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For instance, Nasdaq rules currently allow us to engage in a tender offer in lieu of a stockholder meeting but would still require us to obtain stockholder approval if we were seeking to issue more than 20% of our issued and outstanding shares of common stock (excluding the private placement shares) to a target business as consideration in any business combination. Therefore, if we were structuring a business combination that required us to issue more than 20% of our issued and outstanding common stock (excluding the private placement shares), we would seek stockholder approval of such business combination. However,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91"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jc w:val="both"/>
        <w:ind w:left="460" w:right="759"/>
        <w:spacing w:after="0" w:line="238" w:lineRule="auto"/>
        <w:rPr>
          <w:sz w:val="20"/>
          <w:szCs w:val="20"/>
          <w:color w:val="auto"/>
        </w:rPr>
      </w:pPr>
      <w:r>
        <w:rPr>
          <w:rFonts w:ascii="Arial" w:cs="Arial" w:eastAsia="Arial" w:hAnsi="Arial"/>
          <w:sz w:val="18"/>
          <w:szCs w:val="18"/>
          <w:color w:val="auto"/>
        </w:rPr>
        <w:t>Our initial stockholders will own, on an as-converted basis, 20% of our outstanding common stock immediately following the completion of this offering (excluding the private placement shares). Our initial stockholders and management team also may from time to time purchase Class A common stock prior to the completion of our initial</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9" w:name="page30"/>
    <w:bookmarkEnd w:id="29"/>
    <w:p>
      <w:pPr>
        <w:ind w:left="460" w:right="479"/>
        <w:spacing w:after="0" w:line="236" w:lineRule="auto"/>
        <w:rPr>
          <w:sz w:val="20"/>
          <w:szCs w:val="20"/>
          <w:color w:val="auto"/>
        </w:rPr>
      </w:pPr>
      <w:r>
        <w:rPr>
          <w:rFonts w:ascii="Arial" w:cs="Arial" w:eastAsia="Arial" w:hAnsi="Arial"/>
          <w:sz w:val="18"/>
          <w:szCs w:val="18"/>
          <w:color w:val="auto"/>
        </w:rPr>
        <w:t>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and private placement shares.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1"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0" w:name="page31"/>
    <w:bookmarkEnd w:id="30"/>
    <w:p>
      <w:pPr>
        <w:ind w:left="460" w:right="519"/>
        <w:spacing w:after="0" w:line="238" w:lineRule="auto"/>
        <w:rPr>
          <w:sz w:val="20"/>
          <w:szCs w:val="20"/>
          <w:color w:val="auto"/>
        </w:rPr>
      </w:pPr>
      <w:r>
        <w:rPr>
          <w:rFonts w:ascii="Arial" w:cs="Arial" w:eastAsia="Arial" w:hAnsi="Arial"/>
          <w:sz w:val="18"/>
          <w:szCs w:val="18"/>
          <w:color w:val="auto"/>
        </w:rPr>
        <w:t>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80"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20"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w:t>
      </w:r>
    </w:p>
    <w:p>
      <w:pPr>
        <w:sectPr>
          <w:pgSz w:w="11900" w:h="16838" w:orient="portrait"/>
          <w:cols w:equalWidth="0" w:num="1">
            <w:col w:w="9019"/>
          </w:cols>
          <w:pgMar w:left="1440" w:top="28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1" w:name="page32"/>
    <w:bookmarkEnd w:id="31"/>
    <w:p>
      <w:pPr>
        <w:ind w:left="460" w:right="499"/>
        <w:spacing w:after="0" w:line="236" w:lineRule="auto"/>
        <w:rPr>
          <w:sz w:val="20"/>
          <w:szCs w:val="20"/>
          <w:color w:val="auto"/>
        </w:rPr>
      </w:pPr>
      <w:r>
        <w:rPr>
          <w:rFonts w:ascii="Arial" w:cs="Arial" w:eastAsia="Arial" w:hAnsi="Arial"/>
          <w:sz w:val="18"/>
          <w:szCs w:val="18"/>
          <w:color w:val="auto"/>
        </w:rPr>
        <w:t>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2" w:lineRule="exact"/>
        <w:rPr>
          <w:sz w:val="20"/>
          <w:szCs w:val="20"/>
          <w:color w:val="auto"/>
        </w:rPr>
      </w:pPr>
    </w:p>
    <w:p>
      <w:pPr>
        <w:ind w:left="460" w:right="57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public shares from stockholders, which may influence a vote on a proposed business combination and reduce the public “float”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equity-linked securities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equity-linked securities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33" w:lineRule="exact"/>
        <w:rPr>
          <w:sz w:val="20"/>
          <w:szCs w:val="20"/>
          <w:color w:val="auto"/>
        </w:rPr>
      </w:pPr>
    </w:p>
    <w:p>
      <w:pPr>
        <w:jc w:val="both"/>
        <w:ind w:left="460" w:right="10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and the number of beneficial holders of our Class A common stock may be reduced, possibly making it difficult to obtain or maintain the quotation, listing or trading of our Class A common stock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w:t>
      </w:r>
    </w:p>
    <w:p>
      <w:pPr>
        <w:sectPr>
          <w:pgSz w:w="11900" w:h="16838" w:orient="portrait"/>
          <w:cols w:equalWidth="0" w:num="1">
            <w:col w:w="9019"/>
          </w:cols>
          <w:pgMar w:left="1440" w:top="287"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2" w:name="page33"/>
    <w:bookmarkEnd w:id="32"/>
    <w:p>
      <w:pPr>
        <w:ind w:left="460" w:right="479"/>
        <w:spacing w:after="0" w:line="236" w:lineRule="auto"/>
        <w:rPr>
          <w:sz w:val="20"/>
          <w:szCs w:val="20"/>
          <w:color w:val="auto"/>
        </w:rPr>
      </w:pPr>
      <w:r>
        <w:rPr>
          <w:rFonts w:ascii="Arial" w:cs="Arial" w:eastAsia="Arial" w:hAnsi="Arial"/>
          <w:sz w:val="18"/>
          <w:szCs w:val="18"/>
          <w:color w:val="auto"/>
        </w:rPr>
        <w:t>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1"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Accordingly, to liquidate your investment, you may be forced to sell your public shares, potentially at a loss.</w:t>
      </w:r>
    </w:p>
    <w:p>
      <w:pPr>
        <w:spacing w:after="0" w:line="191" w:lineRule="exact"/>
        <w:rPr>
          <w:sz w:val="20"/>
          <w:szCs w:val="20"/>
          <w:color w:val="auto"/>
        </w:rPr>
      </w:pPr>
    </w:p>
    <w:p>
      <w:pPr>
        <w:ind w:left="460" w:right="539"/>
        <w:spacing w:after="0" w:line="253" w:lineRule="auto"/>
        <w:rPr>
          <w:sz w:val="20"/>
          <w:szCs w:val="20"/>
          <w:color w:val="auto"/>
        </w:rPr>
      </w:pPr>
      <w:r>
        <w:rPr>
          <w:rFonts w:ascii="Arial" w:cs="Arial" w:eastAsia="Arial" w:hAnsi="Arial"/>
          <w:sz w:val="18"/>
          <w:szCs w:val="18"/>
          <w:b w:val="1"/>
          <w:bCs w:val="1"/>
          <w:color w:val="auto"/>
        </w:rPr>
        <w:t>Nasdaq may delist our Class A common stock from trading on its exchange, which could limit investors’ ability to make transactions in our Class A common stock and subject us to additional trading restrictions.</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have applied to have our shares of Class A common stock listed on Nasdaq on or promptly after the date of this prospectus. Although after giving effect to this offering we expect to meet, on a pro forma basis, the minimum initial listing standards set forth in Nasdaq listing standards, we cannot assure you that our Class A common stock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46" w:lineRule="exact"/>
        <w:rPr>
          <w:sz w:val="20"/>
          <w:szCs w:val="20"/>
          <w:color w:val="auto"/>
        </w:rPr>
      </w:pPr>
    </w:p>
    <w:p>
      <w:pPr>
        <w:jc w:val="both"/>
        <w:ind w:left="460" w:right="559"/>
        <w:spacing w:after="0" w:line="238" w:lineRule="auto"/>
        <w:rPr>
          <w:sz w:val="20"/>
          <w:szCs w:val="20"/>
          <w:color w:val="auto"/>
        </w:rPr>
      </w:pPr>
      <w:r>
        <w:rPr>
          <w:rFonts w:ascii="Arial" w:cs="Arial" w:eastAsia="Arial" w:hAnsi="Arial"/>
          <w:sz w:val="18"/>
          <w:szCs w:val="18"/>
          <w:color w:val="auto"/>
        </w:rPr>
        <w:t>If Nasdaq delists our Class A common stock from trading on its exchange and we are not able to list our Class A common stock on another national securities exchange, we expect our Class A common stock could be quoted on an over-the-counter market. If this were to occur, we could face significant material adverse consequences, including:</w:t>
      </w:r>
    </w:p>
    <w:p>
      <w:pPr>
        <w:spacing w:after="0" w:line="16" w:lineRule="exact"/>
        <w:rPr>
          <w:sz w:val="20"/>
          <w:szCs w:val="20"/>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Class A common stock;</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3" w:name="page34"/>
    <w:bookmarkEnd w:id="33"/>
    <w:p>
      <w:pPr>
        <w:ind w:left="1100" w:right="459" w:hanging="322"/>
        <w:spacing w:after="0" w:line="238" w:lineRule="auto"/>
        <w:tabs>
          <w:tab w:leader="none" w:pos="10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shares of Class A common stock;</w:t>
      </w:r>
    </w:p>
    <w:p>
      <w:pPr>
        <w:spacing w:after="0" w:line="15" w:lineRule="exact"/>
        <w:rPr>
          <w:rFonts w:ascii="Arial" w:cs="Arial" w:eastAsia="Arial" w:hAnsi="Arial"/>
          <w:sz w:val="18"/>
          <w:szCs w:val="18"/>
          <w:color w:val="auto"/>
        </w:rPr>
      </w:pPr>
    </w:p>
    <w:p>
      <w:pPr>
        <w:ind w:left="1040" w:hanging="26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common stock will be listed on Nasdaq, our shares of Class A common stock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81"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5"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2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34" w:name="page35"/>
    <w:bookmarkEnd w:id="34"/>
    <w:p>
      <w:pPr>
        <w:ind w:left="460" w:right="719"/>
        <w:spacing w:after="0" w:line="244"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9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90"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shares of the post-business combination entity at a price of $10.00 per share at the option of the lender. Prior to the completion of our initial business combination, we do not expect to seek loans from parties other than our sponsor or an affiliate of our sponsor as we do not believe third parties will be willing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ind w:left="460" w:right="559"/>
        <w:spacing w:after="0" w:line="238" w:lineRule="auto"/>
        <w:rPr>
          <w:sz w:val="20"/>
          <w:szCs w:val="20"/>
          <w:color w:val="auto"/>
        </w:rPr>
      </w:pPr>
      <w:r>
        <w:rPr>
          <w:rFonts w:ascii="Arial" w:cs="Arial" w:eastAsia="Arial" w:hAnsi="Arial"/>
          <w:sz w:val="18"/>
          <w:szCs w:val="18"/>
          <w:color w:val="auto"/>
        </w:rPr>
        <w:t>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w:t>
      </w:r>
    </w:p>
    <w:p>
      <w:pPr>
        <w:spacing w:after="0" w:line="180"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0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who choose to remain stockholders following the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1"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9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32"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6" w:name="page37"/>
    <w:bookmarkEnd w:id="36"/>
    <w:p>
      <w:pPr>
        <w:ind w:left="460" w:right="479"/>
        <w:spacing w:after="0" w:line="235" w:lineRule="auto"/>
        <w:rPr>
          <w:sz w:val="20"/>
          <w:szCs w:val="20"/>
          <w:color w:val="auto"/>
        </w:rPr>
      </w:pPr>
      <w:r>
        <w:rPr>
          <w:rFonts w:ascii="Arial" w:cs="Arial" w:eastAsia="Arial" w:hAnsi="Arial"/>
          <w:sz w:val="18"/>
          <w:szCs w:val="18"/>
          <w:color w:val="auto"/>
        </w:rPr>
        <w:t>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0"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81"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6" w:lineRule="exact"/>
        <w:rPr>
          <w:sz w:val="20"/>
          <w:szCs w:val="20"/>
          <w:color w:val="auto"/>
        </w:rPr>
      </w:pPr>
    </w:p>
    <w:p>
      <w:pPr>
        <w:jc w:val="both"/>
        <w:ind w:left="460" w:right="499"/>
        <w:spacing w:after="0"/>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w:t>
      </w:r>
    </w:p>
    <w:p>
      <w:pPr>
        <w:sectPr>
          <w:pgSz w:w="11900" w:h="16838" w:orient="portrait"/>
          <w:cols w:equalWidth="0" w:num="1">
            <w:col w:w="9019"/>
          </w:cols>
          <w:pgMar w:left="1440" w:top="260"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37" w:name="page38"/>
    <w:bookmarkEnd w:id="37"/>
    <w:p>
      <w:pPr>
        <w:ind w:left="460" w:right="499"/>
        <w:spacing w:after="0" w:line="237" w:lineRule="auto"/>
        <w:rPr>
          <w:sz w:val="20"/>
          <w:szCs w:val="20"/>
          <w:color w:val="auto"/>
        </w:rPr>
      </w:pPr>
      <w:r>
        <w:rPr>
          <w:rFonts w:ascii="Arial" w:cs="Arial" w:eastAsia="Arial" w:hAnsi="Arial"/>
          <w:sz w:val="18"/>
          <w:szCs w:val="18"/>
          <w:color w:val="auto"/>
        </w:rPr>
        <w:t>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3"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 w:lineRule="exact"/>
        <w:rPr>
          <w:sz w:val="20"/>
          <w:szCs w:val="20"/>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8" w:lineRule="exact"/>
        <w:rPr>
          <w:sz w:val="20"/>
          <w:szCs w:val="20"/>
          <w:color w:val="auto"/>
        </w:rPr>
      </w:pPr>
    </w:p>
    <w:p>
      <w:pPr>
        <w:ind w:left="1040" w:hanging="26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16"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39"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7" w:lineRule="exact"/>
        <w:rPr>
          <w:sz w:val="20"/>
          <w:szCs w:val="20"/>
          <w:color w:val="auto"/>
        </w:rPr>
      </w:pPr>
    </w:p>
    <w:p>
      <w:pPr>
        <w:ind w:left="460" w:right="539" w:hanging="6"/>
        <w:spacing w:after="0"/>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8" w:name="page39"/>
    <w:bookmarkEnd w:id="38"/>
    <w:p>
      <w:pPr>
        <w:ind w:left="460" w:right="519"/>
        <w:spacing w:after="0" w:line="236" w:lineRule="auto"/>
        <w:rPr>
          <w:sz w:val="20"/>
          <w:szCs w:val="20"/>
          <w:color w:val="auto"/>
        </w:rPr>
      </w:pPr>
      <w:r>
        <w:rPr>
          <w:rFonts w:ascii="Arial" w:cs="Arial" w:eastAsia="Arial" w:hAnsi="Arial"/>
          <w:sz w:val="18"/>
          <w:szCs w:val="18"/>
          <w:color w:val="auto"/>
        </w:rPr>
        <w:t>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9" w:name="page40"/>
    <w:bookmarkEnd w:id="39"/>
    <w:p>
      <w:pPr>
        <w:ind w:left="460" w:right="699"/>
        <w:spacing w:after="0" w:line="238" w:lineRule="auto"/>
        <w:rPr>
          <w:sz w:val="20"/>
          <w:szCs w:val="20"/>
          <w:color w:val="auto"/>
        </w:rPr>
      </w:pPr>
      <w:r>
        <w:rPr>
          <w:rFonts w:ascii="Arial" w:cs="Arial" w:eastAsia="Arial" w:hAnsi="Arial"/>
          <w:sz w:val="18"/>
          <w:szCs w:val="18"/>
          <w:color w:val="auto"/>
        </w:rPr>
        <w:t>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76" w:lineRule="exact"/>
        <w:rPr>
          <w:sz w:val="20"/>
          <w:szCs w:val="20"/>
          <w:color w:val="auto"/>
        </w:rPr>
      </w:pPr>
    </w:p>
    <w:p>
      <w:pPr>
        <w:ind w:left="460" w:right="619"/>
        <w:spacing w:after="0" w:line="247"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and holders of our private placement shares and their permitted transferees may make it more difficult to complete our initial business combination, and the future exercise of such rights may adversely affect the market price of our shares of Class A common stock.</w:t>
      </w:r>
    </w:p>
    <w:p>
      <w:pPr>
        <w:spacing w:after="0" w:line="8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shares and their permitted transferees can demand that we register the private placement shares of Class A common stock and holders of private placement shares that may be issued upon conversion of working capital loans may demand that we register such Class A common stock issuable upon conversion of such loans.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shares or holders of our working capital loans or their respective permitted transferees are registered.</w:t>
      </w:r>
    </w:p>
    <w:p>
      <w:pPr>
        <w:spacing w:after="0" w:line="83" w:lineRule="exact"/>
        <w:rPr>
          <w:sz w:val="20"/>
          <w:szCs w:val="20"/>
          <w:color w:val="auto"/>
        </w:rPr>
      </w:pPr>
    </w:p>
    <w:p>
      <w:pPr>
        <w:ind w:left="460" w:right="79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or sector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0" w:name="page41"/>
    <w:bookmarkEnd w:id="40"/>
    <w:p>
      <w:pPr>
        <w:ind w:left="460" w:right="599"/>
        <w:spacing w:after="0" w:line="236" w:lineRule="auto"/>
        <w:rPr>
          <w:sz w:val="20"/>
          <w:szCs w:val="20"/>
          <w:color w:val="auto"/>
        </w:rPr>
      </w:pPr>
      <w:r>
        <w:rPr>
          <w:rFonts w:ascii="Arial" w:cs="Arial" w:eastAsia="Arial" w:hAnsi="Arial"/>
          <w:sz w:val="18"/>
          <w:szCs w:val="18"/>
          <w:color w:val="auto"/>
        </w:rPr>
        <w:t>and leave us with no ability to control or reduce the chances that those risks will adversely impact a target business. We also cannot assure you that an investment in our shares of Class A common stock will ultimately prove to be more favorable to investors than a direct investment, if such opportunity were available, in a business combination target.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83"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95"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51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or sectors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will consider a business combination in industries or sectors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Class A common shares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who choose to remain stockholders, respectively, following our initial business combination could suffer a reduction in the value of their shares. Such stockholders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w:t>
      </w:r>
    </w:p>
    <w:p>
      <w:pPr>
        <w:sectPr>
          <w:pgSz w:w="11900" w:h="16838" w:orient="portrait"/>
          <w:cols w:equalWidth="0" w:num="1">
            <w:col w:w="9019"/>
          </w:cols>
          <w:pgMar w:left="1440" w:top="287"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1" w:name="page42"/>
    <w:bookmarkEnd w:id="41"/>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28"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$ 0.0001 per share, 10,000,000 shares of Class B common stock, par value $0.0001 per share, and 1,000,000 shares of preferred stock, par value $0.0001 per share. Immediately after this offering, there will be 89,600,000 and 7,500,000 (assuming in each case that the underwriters have not exercised their over-allotment option and the forfeiture by our sponsor of 375,000 shares of Class B common stock) authorized but unissued shares of Class A common stock and Class B common stock, respectively, available for issuance which amount does not take into account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38" w:lineRule="exact"/>
        <w:rPr>
          <w:sz w:val="20"/>
          <w:szCs w:val="20"/>
          <w:color w:val="auto"/>
        </w:rPr>
      </w:pPr>
    </w:p>
    <w:p>
      <w:pPr>
        <w:ind w:left="1040" w:hanging="26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29" w:lineRule="exact"/>
        <w:rPr>
          <w:rFonts w:ascii="Arial" w:cs="Arial" w:eastAsia="Arial" w:hAnsi="Arial"/>
          <w:sz w:val="18"/>
          <w:szCs w:val="18"/>
          <w:color w:val="auto"/>
        </w:rPr>
      </w:pPr>
    </w:p>
    <w:p>
      <w:pPr>
        <w:ind w:left="1040" w:hanging="26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issued and outstanding prior to the initial business combination.</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1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who choose to remain stockholders following the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2"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7" w:lineRule="exact"/>
        <w:rPr>
          <w:sz w:val="20"/>
          <w:szCs w:val="20"/>
          <w:color w:val="auto"/>
        </w:rPr>
      </w:pPr>
    </w:p>
    <w:p>
      <w:pPr>
        <w:ind w:left="460" w:right="879"/>
        <w:spacing w:after="0" w:line="238"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ind w:left="460" w:right="499"/>
        <w:spacing w:after="0" w:line="238" w:lineRule="auto"/>
        <w:rPr>
          <w:sz w:val="20"/>
          <w:szCs w:val="20"/>
          <w:color w:val="auto"/>
        </w:rPr>
      </w:pPr>
      <w:r>
        <w:rPr>
          <w:rFonts w:ascii="Arial" w:cs="Arial" w:eastAsia="Arial" w:hAnsi="Arial"/>
          <w:sz w:val="18"/>
          <w:szCs w:val="18"/>
          <w:color w:val="auto"/>
        </w:rPr>
        <w:t>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0"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Initial Business Combination — Sourcing of Potential Initial Business Combination Targets”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Mr. Dubin and Ms. Pakianathan.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of Class A common stock if the underwriters’ over-allotment option is exercised in full, and therefore that such founder shares would represent 20% of the issued and outstanding shares after this offering (excluding the private placement shares). Up to 375,000 of the founder shares will be forfeited by our sponsor depending on the extent to which the underwriters’ over-allotment is exercised. The founder shares will be worthless if we do not complete an initial business combination. In addition, our sponsor has committed to purchase 400,000 private placement shares (or 430,000 private placement shares if the underwriters’ over-allotment option is exercised in full) at a price of $10.00 per private placement share ($4,000,000 in the aggregate or $ 4,300,000 if the underwriters’ over-allotment option is exercised in full),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6" w:name="page47"/>
    <w:bookmarkEnd w:id="46"/>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3"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115"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The net proceeds from this offering and the private placement of shares will provide us with $96,500,000 (or $110,975,000 if the underwriters’ over-allotment option is exercised in full) that we may use to complete our initial business combination (after taking into account the $3,500,000, or up to $4,025,000 if the over-allotment option is exercised in full, of deferred underwriting commissions being held in the trust account).</w:t>
      </w:r>
    </w:p>
    <w:p>
      <w:pPr>
        <w:spacing w:after="0" w:line="135"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040" w:hanging="26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1"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2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1439"/>
        <w:spacing w:after="0" w:line="275"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9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8" w:name="page49"/>
    <w:bookmarkEnd w:id="48"/>
    <w:p>
      <w:pPr>
        <w:ind w:left="460" w:right="499"/>
        <w:spacing w:after="0" w:line="236" w:lineRule="auto"/>
        <w:rPr>
          <w:sz w:val="20"/>
          <w:szCs w:val="20"/>
          <w:color w:val="auto"/>
        </w:rPr>
      </w:pPr>
      <w:r>
        <w:rPr>
          <w:rFonts w:ascii="Arial" w:cs="Arial" w:eastAsia="Arial" w:hAnsi="Arial"/>
          <w:sz w:val="18"/>
          <w:szCs w:val="18"/>
          <w:color w:val="auto"/>
        </w:rPr>
        <w:t>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2"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1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For example, special purpose acquisition companies have amended the definition of business combination, increased redemption thresholds and extended the time to consummate an initial business combination. Amending such provisions of our amended and restated certificate of incorporation will require the approval of holders of at least 65% of all then issued and outstanding shares of common stock.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Class A common shares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1"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shares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9" w:name="page50"/>
    <w:bookmarkEnd w:id="49"/>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shares purchase agreement between us and our sponsor; and the administrative services agreement among us, our sponsor and an affiliate of our sponsor. These agreements contain various provisions that our public stockholders might deem to be material. For example, our letter agreement and the underwriting agreement contain certain lock-up provisions with respect to the founder shares, private placement shares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9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have not selected any specific business combination target but intend to target businesses with enterprise values that are greater than we could acquire with the net proceeds of this offering and the sale of the private placement shares. As a result, if the cash portion of the purchase price exceeds the amount available from the trust account, net of amounts needed to satisfy any redemption by public stockholders,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 stockholders. In addition, even if we do not need additional financing to complete our initial business combination, we may require such financing to fund the operations or growth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0" w:name="page51"/>
    <w:bookmarkEnd w:id="50"/>
    <w:p>
      <w:pPr>
        <w:ind w:left="460" w:right="519"/>
        <w:spacing w:after="0" w:line="238" w:lineRule="auto"/>
        <w:rPr>
          <w:sz w:val="20"/>
          <w:szCs w:val="20"/>
          <w:color w:val="auto"/>
        </w:rPr>
      </w:pPr>
      <w:r>
        <w:rPr>
          <w:rFonts w:ascii="Arial" w:cs="Arial" w:eastAsia="Arial" w:hAnsi="Arial"/>
          <w:sz w:val="18"/>
          <w:szCs w:val="18"/>
          <w:color w:val="auto"/>
        </w:rPr>
        <w:t>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3"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2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(excluding the private placement shares and assuming they do not purchase any shares of Class A common stock in this offering). Accordingly, they may exert a substantial influence on actions requiring a stockholder vote, potentially in a manner that you do not support, including amendments to our amended and restated certificate of incorporation. If our initial stockholders purchase any shares of Class A common stock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91"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2,875,000 founder shares, or approximately $0.009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86.3% or $8.63 per share, assuming no exercise of the underwriters’ over-allotment option), the difference between the pro forma net tangible book value per share after this offering of $1.37 and the initial offering price of $10.00 per share.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2"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The determination of the offering price of our shares of Class A common stock, the size of this offering and terms of the shares is more arbitrary than the pricing of securities and size of an offering of an operating company in a particular industry. You may have less assurance, therefore, that the offering price of our shares properly reflects the value of such shares than you would have in a typical offering of an operating company.</w:t>
      </w:r>
    </w:p>
    <w:p>
      <w:pPr>
        <w:spacing w:after="0" w:line="117"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this offering there has been no public market for any of our Class A common stock.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common stock include:</w:t>
      </w:r>
    </w:p>
    <w:p>
      <w:pPr>
        <w:spacing w:after="0" w:line="27" w:lineRule="exact"/>
        <w:rPr>
          <w:sz w:val="20"/>
          <w:szCs w:val="20"/>
          <w:color w:val="auto"/>
        </w:rPr>
      </w:pPr>
    </w:p>
    <w:p>
      <w:pPr>
        <w:ind w:left="1100" w:right="759" w:hanging="322"/>
        <w:spacing w:after="0" w:line="246" w:lineRule="auto"/>
        <w:tabs>
          <w:tab w:leader="none" w:pos="10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ectPr>
          <w:pgSz w:w="11900" w:h="16838" w:orient="portrait"/>
          <w:cols w:equalWidth="0" w:num="1">
            <w:col w:w="9019"/>
          </w:cols>
          <w:pgMar w:left="1440" w:top="26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51" w:name="page52"/>
    <w:bookmarkEnd w:id="51"/>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shares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759"/>
        <w:spacing w:after="0" w:line="253" w:lineRule="auto"/>
        <w:rPr>
          <w:sz w:val="20"/>
          <w:szCs w:val="20"/>
          <w:color w:val="auto"/>
        </w:rPr>
      </w:pPr>
      <w:r>
        <w:rPr>
          <w:rFonts w:ascii="Arial" w:cs="Arial" w:eastAsia="Arial" w:hAnsi="Arial"/>
          <w:sz w:val="18"/>
          <w:szCs w:val="18"/>
          <w:b w:val="1"/>
          <w:bCs w:val="1"/>
          <w:color w:val="auto"/>
        </w:rPr>
        <w:t>There is currently no market for our Class A common stock and a market for our Class A common stock may not develop, which would adversely affect the liquidity and price of our shares.</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Class A common stock. Stockholders therefore have no access to information about prior market history on which to base their investment decision. Following this offering, the price of our Class A common stock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Class A common stock may never develop or, if developed, it may not be sustained. You may be unable to sell your shares of Class A common stock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10"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52" w:name="page53"/>
    <w:bookmarkEnd w:id="52"/>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92"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53" w:name="page54"/>
    <w:bookmarkEnd w:id="53"/>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6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0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Class A common stock shall be deemed to have notice of and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40"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56"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4" w:name="page55"/>
    <w:bookmarkEnd w:id="54"/>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4"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27" w:lineRule="exact"/>
        <w:rPr>
          <w:sz w:val="20"/>
          <w:szCs w:val="20"/>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 w:lineRule="exact"/>
        <w:rPr>
          <w:rFonts w:ascii="Arial" w:cs="Arial" w:eastAsia="Arial" w:hAnsi="Arial"/>
          <w:sz w:val="18"/>
          <w:szCs w:val="18"/>
          <w:color w:val="auto"/>
        </w:rPr>
      </w:pPr>
    </w:p>
    <w:p>
      <w:pPr>
        <w:ind w:left="1100" w:right="145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99" w:hanging="322"/>
        <w:spacing w:after="0" w:line="273" w:lineRule="auto"/>
        <w:tabs>
          <w:tab w:leader="none" w:pos="10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1"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6"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We are offering 10,000,000 shares of our Class A common stock at an offering price of $ 10.00 per shares. We estimate that the net proceeds of this offering together with the funds we will receive from the sale of the private placement shares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Gross proceeds from shares of Class A common stock offered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to public</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shares offered in the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4,300,000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119,300,000</w:t>
            </w:r>
          </w:p>
        </w:tc>
        <w:tc>
          <w:tcPr>
            <w:tcW w:w="0" w:type="dxa"/>
            <w:vAlign w:val="bottom"/>
          </w:tcPr>
          <w:p>
            <w:pPr>
              <w:spacing w:after="0"/>
              <w:rPr>
                <w:sz w:val="1"/>
                <w:szCs w:val="1"/>
                <w:color w:val="auto"/>
              </w:rPr>
            </w:pPr>
          </w:p>
        </w:tc>
      </w:tr>
      <w:tr>
        <w:trPr>
          <w:trHeight w:val="264"/>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60"/>
              <w:spacing w:after="0" w:line="202" w:lineRule="exact"/>
              <w:rPr>
                <w:sz w:val="20"/>
                <w:szCs w:val="20"/>
                <w:color w:val="auto"/>
              </w:rPr>
            </w:pPr>
            <w:r>
              <w:rPr>
                <w:rFonts w:ascii="Arial" w:cs="Arial" w:eastAsia="Arial" w:hAnsi="Arial"/>
                <w:sz w:val="18"/>
                <w:szCs w:val="18"/>
                <w:color w:val="auto"/>
              </w:rPr>
              <w:t>shares of Class A common stock offered to public, excluding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ind w:left="360"/>
              <w:spacing w:after="0"/>
              <w:rPr>
                <w:sz w:val="20"/>
                <w:szCs w:val="20"/>
                <w:color w:val="auto"/>
              </w:rPr>
            </w:pPr>
            <w:r>
              <w:rPr>
                <w:rFonts w:ascii="Arial" w:cs="Arial" w:eastAsia="Arial" w:hAnsi="Arial"/>
                <w:sz w:val="18"/>
                <w:szCs w:val="18"/>
                <w:color w:val="auto"/>
              </w:rPr>
              <w:t>deferred portion)</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road show</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36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36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188"/>
        </w:trPr>
        <w:tc>
          <w:tcPr>
            <w:tcW w:w="536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116,000,000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Payment for office space, secretarial and administrative services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 search</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initial business combination target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7"/>
        </w:trPr>
        <w:tc>
          <w:tcPr>
            <w:tcW w:w="5700" w:type="dxa"/>
            <w:vAlign w:val="bottom"/>
          </w:tcPr>
          <w:p>
            <w:pPr>
              <w:spacing w:after="0"/>
              <w:rPr>
                <w:sz w:val="20"/>
                <w:szCs w:val="20"/>
                <w:color w:val="auto"/>
              </w:rPr>
            </w:pPr>
            <w:r>
              <w:rPr>
                <w:rFonts w:ascii="Arial" w:cs="Arial" w:eastAsia="Arial" w:hAnsi="Arial"/>
                <w:sz w:val="18"/>
                <w:szCs w:val="18"/>
                <w:color w:val="auto"/>
              </w:rPr>
              <w:t>Working capital to cover miscellaneous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79" w:hanging="426"/>
        <w:spacing w:after="0" w:line="216" w:lineRule="auto"/>
        <w:tabs>
          <w:tab w:leader="none" w:pos="8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16"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$200,000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 w:lineRule="exact"/>
        <w:rPr>
          <w:rFonts w:ascii="Arial" w:cs="Arial" w:eastAsia="Arial" w:hAnsi="Arial"/>
          <w:sz w:val="13"/>
          <w:szCs w:val="13"/>
          <w:color w:val="auto"/>
        </w:rPr>
      </w:pPr>
    </w:p>
    <w:p>
      <w:pPr>
        <w:ind w:left="880" w:right="499" w:hanging="426"/>
        <w:spacing w:after="0" w:line="222" w:lineRule="auto"/>
        <w:tabs>
          <w:tab w:leader="none" w:pos="845"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$3,500,000, which constitutes the underwriters’ deferred commissions (or up to $4,025,000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7" w:name="page58"/>
    <w:bookmarkEnd w:id="57"/>
    <w:p>
      <w:pPr>
        <w:ind w:left="880" w:right="519"/>
        <w:spacing w:after="0" w:line="216" w:lineRule="auto"/>
        <w:rPr>
          <w:sz w:val="20"/>
          <w:szCs w:val="20"/>
          <w:color w:val="auto"/>
        </w:rPr>
      </w:pPr>
      <w:r>
        <w:rPr>
          <w:rFonts w:ascii="Arial" w:cs="Arial" w:eastAsia="Arial" w:hAnsi="Arial"/>
          <w:sz w:val="13"/>
          <w:szCs w:val="13"/>
          <w:color w:val="auto"/>
        </w:rPr>
        <w:t>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16" w:lineRule="auto"/>
        <w:tabs>
          <w:tab w:leader="none" w:pos="84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639" w:hanging="426"/>
        <w:spacing w:after="0" w:line="230" w:lineRule="auto"/>
        <w:tabs>
          <w:tab w:leader="none" w:pos="8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shares be deposited in a trust account. Of the $104.0 million in gross proceeds we receive from this offering and the sale of the private placement shares described in this prospectus, or $119.3 million if the underwriters’ over-allotment option is exercised in full, $ 100 million ($10.00 per share), or $115 million if the underwriters’ over-allotment option is exercised in full ($10.00 per share), will be deposited into a trust account with Continental Stock Transfer &amp; Trust Company acting as trustee, after deducting $2.0 million in underwriting discounts and commissions payable upon the closing of this offering (or $2.3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$200,000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shares of the post business combination entity at a price of $ 10.00 per share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(excluding the private placement shares).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619"/>
        <w:spacing w:after="0" w:line="237" w:lineRule="auto"/>
        <w:rPr>
          <w:sz w:val="20"/>
          <w:szCs w:val="20"/>
          <w:color w:val="auto"/>
        </w:rPr>
      </w:pPr>
      <w:r>
        <w:rPr>
          <w:rFonts w:ascii="Arial" w:cs="Arial" w:eastAsia="Arial" w:hAnsi="Arial"/>
          <w:sz w:val="18"/>
          <w:szCs w:val="18"/>
          <w:color w:val="auto"/>
        </w:rPr>
        <w:t>The difference between the public offering price per share of Class A common stock and the pro forma net tangible book value per share of our Class A common stock after this offering constitutes the dilution to investors in this offering.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June 30, 2020, our net tangible book deficit was $(29,500), or approximately $(0.01) per share of common stock. After giving effect to the sale of 10,000,000 shares of Class A common stock we are offering by this prospectus (or 11,500,000 shares of Class A common stock if the underwriters’ over-allotment option is exercised in full), the sale of the private placement shares and the deduction of underwriting commissions and estimated expenses of this offering, our pro forma net tangible book value at June 30, 2020 would have been $5,000,010 or $1.37 per share (or $5,000,010 or $1.22 per share if the underwriters’ over-allotment option is exercised in full), representing an immediate increase in net tangible book value (as decreased by the value of 9,252,349 shares of Class A common stock that may be redeemed for cash, or 10,699,849 shares of Class A common stock if the underwriters’ over-allotment option is exercised in full) of $1.38 per share (or $1.23 if the underwriters’ over-allotment option is exercised in full) to our initial stockholders as of the date of this prospectus. Total dilution to public stockholders from this offering will be $8.63 per share (or $8.78 if the underwriters’ over-allotment option is exercised in full).</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the public stockholders on a per-share basis: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1.22</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8.78</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$92,523,490 because holders of up to approximately 92.5%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2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r>
              <w:rPr>
                <w:rFonts w:ascii="Arial" w:cs="Arial" w:eastAsia="Arial" w:hAnsi="Arial"/>
                <w:sz w:val="20"/>
                <w:szCs w:val="20"/>
                <w:color w:val="auto"/>
                <w:vertAlign w:val="superscript"/>
              </w:rPr>
              <w:t>(1)(2)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19.38%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0"/>
                <w:szCs w:val="20"/>
                <w:color w:val="auto"/>
              </w:rPr>
            </w:pPr>
            <w:r>
              <w:rPr>
                <w:rFonts w:ascii="Arial" w:cs="Arial" w:eastAsia="Arial" w:hAnsi="Arial"/>
                <w:sz w:val="18"/>
                <w:szCs w:val="18"/>
                <w:color w:val="auto"/>
              </w:rPr>
              <w:t>Private placement shares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96.13%</w:t>
            </w:r>
          </w:p>
        </w:tc>
        <w:tc>
          <w:tcPr>
            <w:tcW w:w="1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12,900,000</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100.00%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104,025,000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19" w:hanging="426"/>
        <w:spacing w:after="0" w:line="216" w:lineRule="auto"/>
        <w:tabs>
          <w:tab w:leader="none" w:pos="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that 375,000 founder shares are forfeited by our sponsor after the closing of this offering in the event the underwriters do not exercise their over-allotment option.</w:t>
      </w:r>
    </w:p>
    <w:p>
      <w:pPr>
        <w:ind w:left="860" w:hanging="406"/>
        <w:spacing w:after="0"/>
        <w:tabs>
          <w:tab w:leader="none" w:pos="8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July 2020, our sponsor transferred 30,000 shares of Class B common stock to each of Mr. Carey, Mr. Dubin and Ms. Pakianathan.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(4,025,000)</w:t>
            </w:r>
          </w:p>
        </w:tc>
        <w:tc>
          <w:tcPr>
            <w:tcW w:w="0" w:type="dxa"/>
            <w:vAlign w:val="bottom"/>
          </w:tcPr>
          <w:p>
            <w:pPr>
              <w:spacing w:after="0"/>
              <w:rPr>
                <w:sz w:val="1"/>
                <w:szCs w:val="1"/>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(92,523,490)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(106,998,490)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Class B common stock forfeited by our sponsor if over-allotment is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not 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sold in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Class A common stock sold to our sponsor in a private placement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430,000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(9,252,349)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(10,699,849)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3,647,651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4,105,151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1039" w:hanging="426"/>
        <w:spacing w:after="0" w:line="216"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$2,000,000 (excluding deferred underwriting fees). See “Use of Proceeds.”</w:t>
      </w:r>
    </w:p>
    <w:p>
      <w:pPr>
        <w:ind w:left="880" w:right="579" w:hanging="426"/>
        <w:spacing w:after="0" w:line="220"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filing of our amended and restated certificate of incorporation, the sale of our shares of common stock in this offering and the sale of the private placement shares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1"/>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9,252,349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92,523,490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1,147,651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9,252,349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2,875,000 and 2,500,000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5,001,145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101,023,500</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34" w:lineRule="auto"/>
        <w:tabs>
          <w:tab w:leader="none" w:pos="8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sponsor has agreed to purchase 400,000 shares of Class A common stock (or 430,000 shares of Class A common stock if the underwriters’ over-allotment option is exercised in full), at a price of $10.00 per share in a private placement for an aggregate purchase price of $4,000,000 (or $4,300,000 if the over-allotment option is exercised in full) that will close simultaneously with the closing of this offering. Additionally, our sponsor may loan us up to $200,000 under an unsecured promissory note to be used for a portion of the expenses of this offering. The “as adjusted” information gives effect to the repayment of any loans made under this note out of the proceeds from this offering and the sale of the private placement shares. To date, we had borrowed $50,000 under the promissory note.</w:t>
      </w:r>
    </w:p>
    <w:p>
      <w:pPr>
        <w:spacing w:after="0" w:line="2" w:lineRule="exact"/>
        <w:rPr>
          <w:rFonts w:ascii="Arial" w:cs="Arial" w:eastAsia="Arial" w:hAnsi="Arial"/>
          <w:sz w:val="12"/>
          <w:szCs w:val="12"/>
          <w:color w:val="auto"/>
        </w:rPr>
      </w:pPr>
    </w:p>
    <w:p>
      <w:pPr>
        <w:ind w:left="880" w:right="499" w:hanging="426"/>
        <w:spacing w:after="0" w:line="216" w:lineRule="auto"/>
        <w:tabs>
          <w:tab w:leader="none" w:pos="847"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59" w:hanging="426"/>
        <w:spacing w:after="0" w:line="230" w:lineRule="auto"/>
        <w:tabs>
          <w:tab w:leader="none" w:pos="8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by our sponsor of an aggregate of 375,000 founder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3" w:name="page64"/>
    <w:bookmarkEnd w:id="63"/>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or geographic region. We intend to focus our search for an initial business combination in the biotechnology sector. We intend to effectuate our initial business combination using cash from the proceeds of this offering and the private placement of the private placement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22"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w:t>
      </w:r>
    </w:p>
    <w:p>
      <w:pPr>
        <w:spacing w:after="0" w:line="21" w:lineRule="exact"/>
        <w:rPr>
          <w:sz w:val="20"/>
          <w:szCs w:val="20"/>
          <w:color w:val="auto"/>
        </w:rPr>
      </w:pPr>
    </w:p>
    <w:p>
      <w:pPr>
        <w:ind w:left="1100" w:right="53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7"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ind w:left="460" w:right="479"/>
        <w:spacing w:after="0" w:line="238" w:lineRule="auto"/>
        <w:rPr>
          <w:sz w:val="20"/>
          <w:szCs w:val="20"/>
          <w:color w:val="auto"/>
        </w:rPr>
      </w:pPr>
      <w:r>
        <w:rPr>
          <w:rFonts w:ascii="Arial" w:cs="Arial" w:eastAsia="Arial" w:hAnsi="Arial"/>
          <w:sz w:val="18"/>
          <w:szCs w:val="18"/>
          <w:color w:val="auto"/>
        </w:rPr>
        <w:t>As indicated in the accompanying financial statements, at June 30, 2020, we had $25,000 in cash, deferred offering costs of $53,000, and a working capital deficit of $(29,500).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$200,000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shares of Class A common stock in this offering and the sale of the private placement shares for an aggregate purchase price of $4,000,000 (or $4,300,000 if the underwriters’ over-allotment option is exercised in full), after deducting offering expenses of approximately $1,000,000 and underwriting commissions of $2,000,000 (or $2,300,000 if the underwriters’ over-allotment option is exercised in full) (excluding deferred underwriting commissions of $3,500,000, or $4,025,000 if the underwriters’ over-allotment option is exercised in full), will be $101,000,000 (or $116,000,000 if the underwriters’ over-allotment option is exercised in full). $100,000,000 (or $115,000,000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5" w:name="page66"/>
    <w:bookmarkEnd w:id="65"/>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 at the option of the lender.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expect our primary liquidity requirements during that period to include approximately $500,000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$50,000 for consulting, travel and miscellaneous expenses incurred during the search for a business combination target; and approximately $25,000 for general working capital that will be used for miscellaneous expenses and reserves. We will also pay our sponsor $10,000 per month for office space, secretarial and administrative services provided to members of our management team subsequent to the closing of this offering.</w:t>
      </w:r>
    </w:p>
    <w:p>
      <w:pPr>
        <w:spacing w:after="0" w:line="139"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shares,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As of June 30, 2020,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7" w:name="page68"/>
    <w:bookmarkEnd w:id="67"/>
    <w:p>
      <w:pPr>
        <w:ind w:left="460" w:right="479"/>
        <w:spacing w:after="0" w:line="238" w:lineRule="auto"/>
        <w:rPr>
          <w:sz w:val="20"/>
          <w:szCs w:val="20"/>
          <w:color w:val="auto"/>
        </w:rPr>
      </w:pPr>
      <w:r>
        <w:rPr>
          <w:rFonts w:ascii="Arial" w:cs="Arial" w:eastAsia="Arial" w:hAnsi="Arial"/>
          <w:sz w:val="18"/>
          <w:szCs w:val="18"/>
          <w:color w:val="auto"/>
        </w:rPr>
        <w:t>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2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Representative investments by Foresite include Turning Point Therapeutics, Kinnate Biopharma, Keros Therapeutics, Fulcrum Therapeutics, 10X Genomics, Oric Pharmaceuticals, Generation Bio, Vaxcyte, Relay Therapeutics, Alx Oncology Holdings and Nurix Therapeutics.</w:t>
      </w:r>
    </w:p>
    <w:p>
      <w:pPr>
        <w:spacing w:after="0" w:line="135" w:lineRule="exact"/>
        <w:rPr>
          <w:sz w:val="20"/>
          <w:szCs w:val="20"/>
          <w:color w:val="auto"/>
        </w:rPr>
      </w:pPr>
    </w:p>
    <w:p>
      <w:pPr>
        <w:ind w:left="460" w:right="103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53" w:lineRule="exact"/>
        <w:rPr>
          <w:sz w:val="20"/>
          <w:szCs w:val="20"/>
          <w:color w:val="auto"/>
        </w:rPr>
      </w:pPr>
    </w:p>
    <w:p>
      <w:pPr>
        <w:jc w:val="both"/>
        <w:ind w:left="460" w:right="699"/>
        <w:spacing w:after="0" w:line="238"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9" w:name="page70"/>
    <w:bookmarkEnd w:id="69"/>
    <w:p>
      <w:pPr>
        <w:ind w:left="460" w:right="579"/>
        <w:spacing w:after="0" w:line="237" w:lineRule="auto"/>
        <w:rPr>
          <w:sz w:val="20"/>
          <w:szCs w:val="20"/>
          <w:color w:val="auto"/>
        </w:rPr>
      </w:pPr>
      <w:r>
        <w:rPr>
          <w:rFonts w:ascii="Arial" w:cs="Arial" w:eastAsia="Arial" w:hAnsi="Arial"/>
          <w:sz w:val="18"/>
          <w:szCs w:val="18"/>
          <w:color w:val="auto"/>
        </w:rPr>
        <w:t>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Team</w:t>
      </w:r>
    </w:p>
    <w:p>
      <w:pPr>
        <w:spacing w:after="0" w:line="153"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99"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b w:val="1"/>
          <w:bCs w:val="1"/>
          <w:color w:val="auto"/>
        </w:rPr>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of approximately $3 billion as of July 2020. In 2000, Dr. Tananbaum co-founded Prospect Ventures II (and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2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08" w:lineRule="exact"/>
        <w:rPr>
          <w:sz w:val="20"/>
          <w:szCs w:val="20"/>
          <w:color w:val="auto"/>
        </w:rPr>
      </w:pPr>
    </w:p>
    <w:p>
      <w:pPr>
        <w:jc w:val="both"/>
        <w:ind w:left="460" w:right="599"/>
        <w:spacing w:after="0" w:line="257" w:lineRule="auto"/>
        <w:rPr>
          <w:sz w:val="20"/>
          <w:szCs w:val="20"/>
          <w:color w:val="auto"/>
        </w:rPr>
      </w:pPr>
      <w:r>
        <w:rPr>
          <w:rFonts w:ascii="Arial" w:cs="Arial" w:eastAsia="Arial" w:hAnsi="Arial"/>
          <w:sz w:val="17"/>
          <w:szCs w:val="17"/>
          <w:b w:val="1"/>
          <w:bCs w:val="1"/>
          <w:color w:val="auto"/>
        </w:rPr>
        <w:t>Dr. Michael Rome</w:t>
      </w:r>
      <w:r>
        <w:rPr>
          <w:rFonts w:ascii="Arial" w:cs="Arial" w:eastAsia="Arial" w:hAnsi="Arial"/>
          <w:sz w:val="17"/>
          <w:szCs w:val="17"/>
          <w:color w:val="auto"/>
        </w:rPr>
        <w:t>, Vice President and Director. Dr. Michael Rome has been our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on our board of directors since June 2020, and is a Managing Director at Foresite Capital. He joined Foresite Capital in 2016 and is active in the firm’s public and private market investments.</w:t>
      </w:r>
    </w:p>
    <w:p>
      <w:pPr>
        <w:spacing w:after="0" w:line="2"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0" w:name="page71"/>
    <w:bookmarkEnd w:id="70"/>
    <w:p>
      <w:pPr>
        <w:ind w:left="460" w:right="499"/>
        <w:spacing w:after="0" w:line="237"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 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0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color w:val="auto"/>
        </w:rPr>
        <w:t>Robert Carey</w:t>
      </w:r>
      <w:r>
        <w:rPr>
          <w:rFonts w:ascii="Arial" w:cs="Arial" w:eastAsia="Arial" w:hAnsi="Arial"/>
          <w:sz w:val="18"/>
          <w:szCs w:val="18"/>
          <w:color w:val="auto"/>
        </w:rPr>
        <w:t>, Director Nominee. Mr. Carey served as Executive Vice President and Chief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Horizon Therapeutics plc (Nasdaq: HZNP) from March 2014 until October 2019, during which time Horizon deployed more than $3 billion to acquire or license eight commercial products and three products in development, including TEPEZZA™ and KRYSTEXXA®, resulting in Horizon’s net sales increasing from $ 74 million in 2013 to $1.2 billion in 2018. Prior to Horizon, Mr. Carey was Managing Director and Head of the Life Sciences Investment Banking Group at JMP Securities International, Inc. from 2003 until 2014 and Managing Director in the healthcare groups at Dresdner Kleinwort Wasserstein, from 2001 until 2003, and Vector Securities, from 1988 until 2001. Mr. Carey currently serves on the board of Sangamo Therapeutics, Inc. (Nasdaq: SGMO) and Beyond Air, Inc. (Nasdaq: XAIR). Mr. Carey also has held roles at Shearson Lehman Hutton and Ernst &amp; Whinney. Mr. Carey received his bachelor’s degree from the University of Notre Dame.</w:t>
      </w:r>
    </w:p>
    <w:p>
      <w:pPr>
        <w:spacing w:after="0" w:line="118" w:lineRule="exact"/>
        <w:rPr>
          <w:sz w:val="20"/>
          <w:szCs w:val="20"/>
          <w:color w:val="auto"/>
        </w:rPr>
      </w:pPr>
    </w:p>
    <w:p>
      <w:pPr>
        <w:ind w:left="460" w:right="499"/>
        <w:spacing w:after="0" w:line="257" w:lineRule="auto"/>
        <w:rPr>
          <w:sz w:val="20"/>
          <w:szCs w:val="20"/>
          <w:color w:val="auto"/>
        </w:rPr>
      </w:pPr>
      <w:r>
        <w:rPr>
          <w:rFonts w:ascii="Arial" w:cs="Arial" w:eastAsia="Arial" w:hAnsi="Arial"/>
          <w:sz w:val="17"/>
          <w:szCs w:val="17"/>
          <w:b w:val="1"/>
          <w:bCs w:val="1"/>
          <w:color w:val="auto"/>
        </w:rPr>
        <w:t>Dan Dubin</w:t>
      </w:r>
      <w:r>
        <w:rPr>
          <w:rFonts w:ascii="Arial" w:cs="Arial" w:eastAsia="Arial" w:hAnsi="Arial"/>
          <w:sz w:val="17"/>
          <w:szCs w:val="17"/>
          <w:color w:val="auto"/>
        </w:rPr>
        <w:t>, Director Nominee. Dr. Dubin is also the Vice Chairman and Head of Biopharma</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Banking at SVB Leerink, an investment bank specializing in healthcare and life sciences, a role he has held since January 2006. Prior to joining SVB Leerink in 1999, Dr. Dubin co-founded MEDACorp, a provider of insights on the commercial potential of biotherapeutics and medical devices to healthcare companies and investors. He also serves as a director of Olivo Laboratories LLC, a dermatological biotechnology company and sits on the SVB Leerink’s executive committee. Dr. Dubin holds a B.A. from Dartmouth College in Chemistry and an M.D. from Harvard Medical School.</w:t>
      </w:r>
    </w:p>
    <w:p>
      <w:pPr>
        <w:spacing w:after="0" w:line="10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Deepa Pakianathan</w:t>
      </w:r>
      <w:r>
        <w:rPr>
          <w:rFonts w:ascii="Arial" w:cs="Arial" w:eastAsia="Arial" w:hAnsi="Arial"/>
          <w:sz w:val="18"/>
          <w:szCs w:val="18"/>
          <w:color w:val="auto"/>
        </w:rPr>
        <w:t>, Director Nominee. Dr. Pakianathan is a Managing Member of Delphi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she joined in 2001 to build and lead the firm’s biotechnology investment practice. Prior to joining Delphi, Deepa was an M&amp;A and corporate finance banker in the healthcare group at J.P. Morgan. Prior to that, she was a biotechnology research analyst at Genesis Merchant Group and a postdoctoral scientist in the Immunology Department at Genentech Corporation. Dr. Pakianathan currently serves on the board of Calithera Biosciences, Inc. (Nasdaq: CALA) where she is lead director, as well as the boards of Karyopharm Therapeutics (Nasdaq: KPTI), Mereo BioPharma Group plc (Nasdaq: MREO) and Theravance Biopharma (Nasdaq: TBPH). She serves as Executive Vice-chair and Treasurer on the San Francisco Conservatory of Music’s Board of Trustees. Deepa previously served on the boards of Alder Biopharma (Nasdaq: ALDR), Relypsa (acquired by Vifor), Proteolix (acquired by Onyx Pharmaceuticals), Ilypsa (acquired by Amgen), Forsight V5 (acquired by Allergan), Alexa Pharmaceuticals (acquired by Ferrer), Salmedix (acquired by Cephalon) and led an investment in Seattle Genetics. She was also on the BIO and NVCA boards. Deepa received her Ph.D. and MS from Wake Forest University and her MSc and BSc from the University of Bombay.</w:t>
      </w:r>
    </w:p>
    <w:p>
      <w:pPr>
        <w:spacing w:after="0" w:line="130"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460" w:right="559"/>
        <w:spacing w:after="0" w:line="250" w:lineRule="auto"/>
        <w:rPr>
          <w:sz w:val="20"/>
          <w:szCs w:val="20"/>
          <w:color w:val="auto"/>
        </w:rPr>
      </w:pPr>
      <w:r>
        <w:rPr>
          <w:rFonts w:ascii="Arial" w:cs="Arial" w:eastAsia="Arial" w:hAnsi="Arial"/>
          <w:sz w:val="17"/>
          <w:szCs w:val="17"/>
          <w:color w:val="auto"/>
        </w:rPr>
        <w:t>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 Harvard University where she graduated summa cum laude. Dr. Margolskee is boarded in both Internal Medicine and Pulmonary, and completed her residency at the Johns Hopkins Hospital and fellowship training at UCSF.</w:t>
      </w:r>
    </w:p>
    <w:p>
      <w:pPr>
        <w:spacing w:after="0" w:line="11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The global biotechnology market is expecting to grow almost 2.9% to over $294 billion in revenue in 2020, according to IBISWorld, and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14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ind w:left="460" w:right="599"/>
        <w:spacing w:after="0" w:line="255" w:lineRule="auto"/>
        <w:rPr>
          <w:sz w:val="20"/>
          <w:szCs w:val="20"/>
          <w:color w:val="auto"/>
        </w:rPr>
      </w:pPr>
      <w:r>
        <w:rPr>
          <w:rFonts w:ascii="Arial" w:cs="Arial" w:eastAsia="Arial" w:hAnsi="Arial"/>
          <w:sz w:val="17"/>
          <w:szCs w:val="17"/>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ind w:left="1100" w:right="859" w:hanging="322"/>
        <w:spacing w:after="0"/>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team with experience in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assets with the ability to create value, diversifying risk, looking for multiple shots on goal;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Premier scientific and clinical leadership.</w:t>
      </w:r>
    </w:p>
    <w:p>
      <w:pPr>
        <w:spacing w:after="0" w:line="14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Acquisition and Diligence Process includes:</w:t>
      </w:r>
    </w:p>
    <w:p>
      <w:pPr>
        <w:spacing w:after="0" w:line="23" w:lineRule="exact"/>
        <w:rPr>
          <w:sz w:val="20"/>
          <w:szCs w:val="20"/>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100" w:right="113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ind w:left="1100" w:right="6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129"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ectPr>
          <w:pgSz w:w="11900" w:h="16838" w:orient="portrait"/>
          <w:cols w:equalWidth="0" w:num="1">
            <w:col w:w="9019"/>
          </w:cols>
          <w:pgMar w:left="1440" w:top="179"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74" w:name="page75"/>
    <w:bookmarkEnd w:id="74"/>
    <w:p>
      <w:pPr>
        <w:ind w:left="460" w:right="519"/>
        <w:spacing w:after="0" w:line="236" w:lineRule="auto"/>
        <w:rPr>
          <w:sz w:val="20"/>
          <w:szCs w:val="20"/>
          <w:color w:val="auto"/>
        </w:rPr>
      </w:pPr>
      <w:r>
        <w:rPr>
          <w:rFonts w:ascii="Arial" w:cs="Arial" w:eastAsia="Arial" w:hAnsi="Arial"/>
          <w:sz w:val="18"/>
          <w:szCs w:val="18"/>
          <w:color w:val="auto"/>
        </w:rPr>
        <w:t>In addition, our sponsor has indicated an interest to purchase $25,000,000 of our shares of Class A common stock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23"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5" w:name="page76"/>
    <w:bookmarkEnd w:id="75"/>
    <w:p>
      <w:pPr>
        <w:ind w:left="460" w:right="619"/>
        <w:spacing w:after="0" w:line="236" w:lineRule="auto"/>
        <w:rPr>
          <w:sz w:val="20"/>
          <w:szCs w:val="20"/>
          <w:color w:val="auto"/>
        </w:rPr>
      </w:pPr>
      <w:r>
        <w:rPr>
          <w:rFonts w:ascii="Arial" w:cs="Arial" w:eastAsia="Arial" w:hAnsi="Arial"/>
          <w:sz w:val="18"/>
          <w:szCs w:val="18"/>
          <w:color w:val="auto"/>
        </w:rPr>
        <w:t>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$96,500,000 (assuming no redemptions), after payment of $3,500,000 of deferred underwriting fees (or $110,975,000 (assuming no redemptions) after payment of $4,025,000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 w:lineRule="exact"/>
        <w:rPr>
          <w:sz w:val="20"/>
          <w:szCs w:val="20"/>
          <w:color w:val="auto"/>
        </w:rPr>
      </w:pPr>
    </w:p>
    <w:p>
      <w:pPr>
        <w:ind w:left="1100" w:right="499" w:hanging="322"/>
        <w:spacing w:after="0"/>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2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6" w:name="page77"/>
    <w:bookmarkEnd w:id="76"/>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37"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Purchase of stock of target not involving a merger with the company</w:t>
            </w:r>
          </w:p>
        </w:tc>
        <w:tc>
          <w:tcPr>
            <w:tcW w:w="1200" w:type="dxa"/>
            <w:vAlign w:val="bottom"/>
          </w:tcPr>
          <w:p>
            <w:pPr>
              <w:jc w:val="center"/>
              <w:spacing w:after="0"/>
              <w:rPr>
                <w:sz w:val="20"/>
                <w:szCs w:val="20"/>
                <w:color w:val="auto"/>
              </w:rPr>
            </w:pPr>
            <w:r>
              <w:rPr>
                <w:rFonts w:ascii="Arial" w:cs="Arial" w:eastAsia="Arial" w:hAnsi="Arial"/>
                <w:sz w:val="18"/>
                <w:szCs w:val="18"/>
                <w:color w:val="auto"/>
              </w:rPr>
              <w:t>No</w:t>
            </w:r>
          </w:p>
        </w:tc>
      </w:tr>
      <w:tr>
        <w:trPr>
          <w:trHeight w:val="27"/>
        </w:trPr>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Merger of target into a subsidiary of the company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Merger of the company with a target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15"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8" w:lineRule="exact"/>
        <w:rPr>
          <w:sz w:val="20"/>
          <w:szCs w:val="20"/>
          <w:color w:val="auto"/>
        </w:rPr>
      </w:pPr>
    </w:p>
    <w:p>
      <w:pPr>
        <w:ind w:left="1100" w:right="639" w:hanging="322"/>
        <w:spacing w:after="0" w:line="238"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issued and outstanding (excluding the private placement shares) or (b) have voting power equal to or in excess of 20% of the voting power then outstanding;</w:t>
      </w:r>
    </w:p>
    <w:p>
      <w:pPr>
        <w:spacing w:after="0" w:line="29" w:lineRule="exact"/>
        <w:rPr>
          <w:rFonts w:ascii="Arial" w:cs="Arial" w:eastAsia="Arial" w:hAnsi="Arial"/>
          <w:sz w:val="18"/>
          <w:szCs w:val="18"/>
          <w:color w:val="auto"/>
        </w:rPr>
      </w:pPr>
    </w:p>
    <w:p>
      <w:pPr>
        <w:ind w:left="1100" w:right="659" w:hanging="322"/>
        <w:spacing w:after="0" w:line="236"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5"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7" w:name="page78"/>
    <w:bookmarkEnd w:id="77"/>
    <w:p>
      <w:pPr>
        <w:jc w:val="both"/>
        <w:ind w:left="460" w:right="659"/>
        <w:spacing w:after="0" w:line="261" w:lineRule="auto"/>
        <w:rPr>
          <w:sz w:val="20"/>
          <w:szCs w:val="20"/>
          <w:color w:val="auto"/>
        </w:rPr>
      </w:pPr>
      <w:r>
        <w:rPr>
          <w:rFonts w:ascii="Arial" w:cs="Arial" w:eastAsia="Arial" w:hAnsi="Arial"/>
          <w:sz w:val="17"/>
          <w:szCs w:val="17"/>
          <w:color w:val="auto"/>
        </w:rPr>
        <w:t>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0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shares may result in the completion of our initial business combination that may not otherwise have been possible.</w:t>
      </w:r>
    </w:p>
    <w:p>
      <w:pPr>
        <w:spacing w:after="0" w:line="135"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may be reduced and the number of beneficial holders of our Class A common stock may be reduced, which may make it difficult to maintain or obtain the quotation, listing or trading of our Class A common stock on a national securities exchange.</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9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private placement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8" w:name="page79"/>
    <w:bookmarkEnd w:id="78"/>
    <w:p>
      <w:pPr>
        <w:ind w:left="460" w:right="739"/>
        <w:spacing w:after="0" w:line="238" w:lineRule="auto"/>
        <w:rPr>
          <w:sz w:val="20"/>
          <w:szCs w:val="20"/>
          <w:color w:val="auto"/>
        </w:rPr>
      </w:pPr>
      <w:r>
        <w:rPr>
          <w:rFonts w:ascii="Arial" w:cs="Arial" w:eastAsia="Arial" w:hAnsi="Arial"/>
          <w:sz w:val="18"/>
          <w:szCs w:val="18"/>
          <w:color w:val="auto"/>
        </w:rPr>
        <w:t>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issued and outstanding common stock (excluding the private placement shares)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37"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8" w:lineRule="exact"/>
        <w:rPr>
          <w:sz w:val="20"/>
          <w:szCs w:val="20"/>
          <w:color w:val="auto"/>
        </w:rPr>
      </w:pPr>
    </w:p>
    <w:p>
      <w:pPr>
        <w:ind w:left="1100" w:right="519" w:hanging="322"/>
        <w:spacing w:after="0"/>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48"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issued and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issued and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issued and outstanding shares of common stock voted, non-votes will have no effect on the approval of our initial business combination once a quorum is obtained. As a result, in addition to our initial stockholders’ founder shares and private placement shares, we would need only 3,550,001, or</w:t>
      </w:r>
    </w:p>
    <w:p>
      <w:pPr>
        <w:spacing w:after="0" w:line="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26"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79" w:hanging="322"/>
        <w:spacing w:after="0" w:line="246"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9" w:name="page80"/>
    <w:bookmarkEnd w:id="79"/>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45"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9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0" w:name="page81"/>
    <w:bookmarkEnd w:id="80"/>
    <w:p>
      <w:pPr>
        <w:ind w:left="460" w:right="559"/>
        <w:spacing w:after="0" w:line="238" w:lineRule="auto"/>
        <w:rPr>
          <w:sz w:val="20"/>
          <w:szCs w:val="20"/>
          <w:color w:val="auto"/>
        </w:rPr>
      </w:pPr>
      <w:r>
        <w:rPr>
          <w:rFonts w:ascii="Arial" w:cs="Arial" w:eastAsia="Arial" w:hAnsi="Arial"/>
          <w:sz w:val="18"/>
          <w:szCs w:val="18"/>
          <w:color w:val="auto"/>
        </w:rPr>
        <w:t>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1"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4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1" w:name="page82"/>
    <w:bookmarkEnd w:id="81"/>
    <w:p>
      <w:pPr>
        <w:ind w:left="460" w:right="539"/>
        <w:spacing w:after="0" w:line="236" w:lineRule="auto"/>
        <w:rPr>
          <w:sz w:val="20"/>
          <w:szCs w:val="20"/>
          <w:color w:val="auto"/>
        </w:rPr>
      </w:pPr>
      <w:r>
        <w:rPr>
          <w:rFonts w:ascii="Arial" w:cs="Arial" w:eastAsia="Arial" w:hAnsi="Arial"/>
          <w:sz w:val="18"/>
          <w:szCs w:val="18"/>
          <w:color w:val="auto"/>
        </w:rPr>
        <w:t>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27"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and private placement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4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4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shares,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2" w:name="page83"/>
    <w:bookmarkEnd w:id="82"/>
    <w:p>
      <w:pPr>
        <w:ind w:left="460" w:right="479"/>
        <w:spacing w:after="0" w:line="235" w:lineRule="auto"/>
        <w:rPr>
          <w:sz w:val="20"/>
          <w:szCs w:val="20"/>
          <w:color w:val="auto"/>
        </w:rPr>
      </w:pPr>
      <w:r>
        <w:rPr>
          <w:rFonts w:ascii="Arial" w:cs="Arial" w:eastAsia="Arial" w:hAnsi="Arial"/>
          <w:sz w:val="18"/>
          <w:szCs w:val="18"/>
          <w:color w:val="auto"/>
        </w:rPr>
        <w:t>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3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3" w:name="page84"/>
    <w:bookmarkEnd w:id="83"/>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2"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8"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4" w:name="page85"/>
    <w:bookmarkEnd w:id="84"/>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5" w:name="page86"/>
    <w:bookmarkEnd w:id="85"/>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Redemptions in Connection</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 Permitted Purchases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Redemptions if we fail to</w:t>
            </w:r>
          </w:p>
        </w:tc>
      </w:tr>
      <w:tr>
        <w:trPr>
          <w:trHeight w:val="162"/>
        </w:trPr>
        <w:tc>
          <w:tcPr>
            <w:tcW w:w="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with our Initial Business</w:t>
            </w:r>
          </w:p>
        </w:tc>
        <w:tc>
          <w:tcPr>
            <w:tcW w:w="100" w:type="dxa"/>
            <w:vAlign w:val="bottom"/>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Public Shares by our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Complete an Initial Business</w:t>
            </w:r>
          </w:p>
        </w:tc>
      </w:tr>
      <w:tr>
        <w:trPr>
          <w:trHeight w:val="190"/>
        </w:trPr>
        <w:tc>
          <w:tcPr>
            <w:tcW w:w="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c>
          <w:tcPr>
            <w:tcW w:w="10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Affiliates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26"/>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Redemptions at the</w:t>
            </w:r>
          </w:p>
        </w:tc>
        <w:tc>
          <w:tcPr>
            <w:tcW w:w="10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If we seek stockholder</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If we are unable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time of our initial</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approval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complete our initial</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business combination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may be made pursuant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our initial stockholders,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within 24 months from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to a tender offer or in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directors, officers,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the closing of this</w:t>
            </w: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connection with a</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advisors or their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offering, we will redeem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stockholder vote.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respective affiliates may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all public shares at a per-</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 price will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 public shares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 price, payable in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same whether we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 privately negotiated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cash, equal to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conduct redemptions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or in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aggregate amount,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pursuant to a tender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open market either prior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on deposit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offer or in connection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or following</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(which is initially</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with a stockholder vote.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completion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anticipated to be $10.00</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 either case, our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per share), including</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public stockholders may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There is no limit to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interest earned on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redeem their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prices that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funds held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shares for cash equal to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stockholders, directors,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and not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aggregate amount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officers, advisors 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previously released to us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then on deposit in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their respective affiliates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pay our taxes (less up</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trust account calculated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may pay in these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$100,000 of interest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as of two business days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If they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pay dissolution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prior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engage in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expenses) divided by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consummation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they will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number of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initial business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be restricted from</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outstanding public</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combination (which is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making any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initially anticipated to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when they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$10.00 per share),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are in possession of any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including interest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material nonpublic</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earned on the funds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information not</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held in the trust account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disclosed to the seller or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and not previously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if such purchases are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released to us to pay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prohibited by Regulation</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our taxes, divided by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 under the Exchange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number of then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We do not currently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anticipate that such</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shares, subject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if any, would</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limitation that no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constitute a tender offer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will take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subject to the tender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place if all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offer rules under the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would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Exchange Act or a</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cause our net tangible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going-private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assets to be less than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 subject to</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$5,000,001.</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going-private rules</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under the Exchange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however, if the</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determine at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time of any such</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that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are subject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such rules,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will be</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required to comply with</w:t>
            </w:r>
          </w:p>
        </w:tc>
        <w:tc>
          <w:tcPr>
            <w:tcW w:w="20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such rules.</w:t>
            </w:r>
          </w:p>
        </w:tc>
        <w:tc>
          <w:tcPr>
            <w:tcW w:w="2060" w:type="dxa"/>
            <w:vAlign w:val="bottom"/>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gridSpan w:val="2"/>
          </w:tcPr>
          <w:p>
            <w:pPr>
              <w:jc w:val="right"/>
              <w:ind w:right="172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-7620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2100" w:space="340"/>
            <w:col w:w="6579"/>
          </w:cols>
          <w:pgMar w:left="1440" w:top="333" w:right="1440" w:bottom="1440" w:gutter="0" w:footer="0" w:header="0"/>
          <w:type w:val="continuous"/>
        </w:sectPr>
      </w:pPr>
    </w:p>
    <w:bookmarkStart w:id="86" w:name="page87"/>
    <w:bookmarkEnd w:id="86"/>
    <w:p>
      <w:pPr>
        <w:spacing w:after="0" w:line="200" w:lineRule="exact"/>
        <w:rPr>
          <w:sz w:val="20"/>
          <w:szCs w:val="20"/>
          <w:color w:val="auto"/>
        </w:rPr>
      </w:pPr>
    </w:p>
    <w:p>
      <w:pPr>
        <w:spacing w:after="0" w:line="317"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26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redemptions in connection with our initial business combination will reduce the book value per share for our remaining stockholders, who will bear the burden of the deferred underwriting commissions and interest withdrawn in order to pay our taxes (to the extent not paid from amounts accrued as interest on the funds held in the trust account).</w:t>
      </w:r>
    </w:p>
    <w:p>
      <w:pPr>
        <w:spacing w:after="0" w:line="20" w:lineRule="exact"/>
        <w:rPr>
          <w:sz w:val="20"/>
          <w:szCs w:val="20"/>
          <w:color w:val="auto"/>
        </w:rPr>
      </w:pPr>
      <w:r>
        <w:rPr>
          <w:sz w:val="20"/>
          <w:szCs w:val="20"/>
          <w:color w:val="auto"/>
        </w:rPr>
        <w:br w:type="column"/>
      </w:r>
    </w:p>
    <w:p>
      <w:pPr>
        <w:jc w:val="center"/>
        <w:ind w:left="40"/>
        <w:spacing w:after="0" w:line="263"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20" w:right="51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3030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22" w:lineRule="exact"/>
        <w:rPr>
          <w:sz w:val="20"/>
          <w:szCs w:val="20"/>
          <w:color w:val="auto"/>
        </w:rPr>
      </w:pPr>
    </w:p>
    <w:p>
      <w:pPr>
        <w:sectPr>
          <w:pgSz w:w="11900" w:h="16838" w:orient="portrait"/>
          <w:cols w:equalWidth="0" w:num="4">
            <w:col w:w="2160" w:space="280"/>
            <w:col w:w="1920" w:space="100"/>
            <w:col w:w="1940" w:space="100"/>
            <w:col w:w="2519"/>
          </w:cols>
          <w:pgMar w:left="1440" w:top="302" w:right="1440" w:bottom="1440" w:gutter="0" w:footer="0" w:header="0"/>
        </w:sectPr>
      </w:pP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49" w:lineRule="exact"/>
        <w:rPr>
          <w:sz w:val="20"/>
          <w:szCs w:val="20"/>
          <w:color w:val="auto"/>
        </w:rPr>
      </w:pPr>
    </w:p>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type w:val="continuous"/>
        </w:sectPr>
      </w:pPr>
    </w:p>
    <w:p>
      <w:pPr>
        <w:spacing w:after="0" w:line="11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$100,000,000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-915670</wp:posOffset>
            </wp:positionV>
            <wp:extent cx="18770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-1299845</wp:posOffset>
            </wp:positionV>
            <wp:extent cx="19456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$100,000,000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shares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7" w:name="page88"/>
    <w:bookmarkEnd w:id="87"/>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300" w:hanging="179"/>
        <w:spacing w:after="0" w:line="271" w:lineRule="auto"/>
        <w:rPr>
          <w:sz w:val="20"/>
          <w:szCs w:val="20"/>
          <w:color w:val="auto"/>
        </w:rPr>
      </w:pPr>
      <w:r>
        <w:rPr>
          <w:rFonts w:ascii="Arial" w:cs="Arial" w:eastAsia="Arial" w:hAnsi="Arial"/>
          <w:sz w:val="18"/>
          <w:szCs w:val="18"/>
          <w:b w:val="1"/>
          <w:bCs w:val="1"/>
          <w:color w:val="auto"/>
        </w:rPr>
        <w:t>Trading of shares issued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shares of Class A common stock are expected to begin trading on or promptly after the date of this prospectus.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99"/>
        <w:spacing w:after="0" w:line="237" w:lineRule="auto"/>
        <w:rPr>
          <w:sz w:val="20"/>
          <w:szCs w:val="20"/>
          <w:color w:val="auto"/>
        </w:rPr>
      </w:pPr>
      <w:r>
        <w:rPr>
          <w:rFonts w:ascii="Arial" w:cs="Arial" w:eastAsia="Arial" w:hAnsi="Arial"/>
          <w:sz w:val="18"/>
          <w:szCs w:val="18"/>
          <w:color w:val="auto"/>
        </w:rPr>
        <w:t>No trading of the shares of Class A common stock would be permitted until the completion of a business combination. During this period, the shares of Class A common stock would be held in the escrow or trust account.</w:t>
      </w:r>
    </w:p>
    <w:p>
      <w:pPr>
        <w:spacing w:after="0" w:line="167" w:lineRule="exact"/>
        <w:rPr>
          <w:sz w:val="20"/>
          <w:szCs w:val="20"/>
          <w:color w:val="auto"/>
        </w:rPr>
      </w:pPr>
    </w:p>
    <w:p>
      <w:pPr>
        <w:sectPr>
          <w:pgSz w:w="11900" w:h="16838" w:orient="portrait"/>
          <w:cols w:equalWidth="0" w:num="3">
            <w:col w:w="2260" w:space="180"/>
            <w:col w:w="2920" w:space="12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Election to remain an</w:t>
      </w:r>
      <w:r>
        <w:rPr>
          <w:sz w:val="20"/>
          <w:szCs w:val="20"/>
          <w:color w:val="auto"/>
        </w:rPr>
        <w:tab/>
      </w:r>
      <w:r>
        <w:rPr>
          <w:rFonts w:ascii="Arial" w:cs="Arial" w:eastAsia="Arial" w:hAnsi="Arial"/>
          <w:sz w:val="17"/>
          <w:szCs w:val="17"/>
          <w:color w:val="auto"/>
        </w:rPr>
        <w:t>We will provide our public</w:t>
      </w:r>
    </w:p>
    <w:p>
      <w:pPr>
        <w:spacing w:after="0" w:line="13" w:lineRule="exact"/>
        <w:rPr>
          <w:sz w:val="20"/>
          <w:szCs w:val="20"/>
          <w:color w:val="auto"/>
        </w:rPr>
      </w:pPr>
    </w:p>
    <w:p>
      <w:pPr>
        <w:ind w:left="640"/>
        <w:spacing w:after="0"/>
        <w:tabs>
          <w:tab w:leader="none" w:pos="2420" w:val="left"/>
        </w:tabs>
        <w:rPr>
          <w:sz w:val="20"/>
          <w:szCs w:val="20"/>
          <w:color w:val="auto"/>
        </w:rPr>
      </w:pPr>
      <w:r>
        <w:rPr>
          <w:rFonts w:ascii="Arial" w:cs="Arial" w:eastAsia="Arial" w:hAnsi="Arial"/>
          <w:sz w:val="18"/>
          <w:szCs w:val="18"/>
          <w:b w:val="1"/>
          <w:bCs w:val="1"/>
          <w:color w:val="auto"/>
        </w:rPr>
        <w:t>investor</w:t>
      </w:r>
      <w:r>
        <w:rPr>
          <w:sz w:val="20"/>
          <w:szCs w:val="20"/>
          <w:color w:val="auto"/>
        </w:rPr>
        <w:tab/>
      </w:r>
      <w:r>
        <w:rPr>
          <w:rFonts w:ascii="Arial" w:cs="Arial" w:eastAsia="Arial" w:hAnsi="Arial"/>
          <w:sz w:val="18"/>
          <w:szCs w:val="18"/>
          <w:color w:val="auto"/>
        </w:rPr>
        <w:t>stockholders with the opportunity to</w:t>
      </w:r>
    </w:p>
    <w:p>
      <w:pPr>
        <w:ind w:left="2440"/>
        <w:spacing w:after="0" w:line="234" w:lineRule="auto"/>
        <w:rPr>
          <w:sz w:val="20"/>
          <w:szCs w:val="20"/>
          <w:color w:val="auto"/>
        </w:rPr>
      </w:pPr>
      <w:r>
        <w:rPr>
          <w:rFonts w:ascii="Arial" w:cs="Arial" w:eastAsia="Arial" w:hAnsi="Arial"/>
          <w:sz w:val="18"/>
          <w:szCs w:val="18"/>
          <w:color w:val="auto"/>
        </w:rPr>
        <w:t>redeem their public shares for cash</w:t>
      </w:r>
    </w:p>
    <w:p>
      <w:pPr>
        <w:ind w:left="2440"/>
        <w:spacing w:after="0" w:line="235" w:lineRule="auto"/>
        <w:rPr>
          <w:sz w:val="20"/>
          <w:szCs w:val="20"/>
          <w:color w:val="auto"/>
        </w:rPr>
      </w:pPr>
      <w:r>
        <w:rPr>
          <w:rFonts w:ascii="Arial" w:cs="Arial" w:eastAsia="Arial" w:hAnsi="Arial"/>
          <w:sz w:val="18"/>
          <w:szCs w:val="18"/>
          <w:color w:val="auto"/>
        </w:rPr>
        <w:t>at a per share price equal to the</w:t>
      </w:r>
    </w:p>
    <w:p>
      <w:pPr>
        <w:ind w:left="2440"/>
        <w:spacing w:after="0" w:line="235" w:lineRule="auto"/>
        <w:rPr>
          <w:sz w:val="20"/>
          <w:szCs w:val="20"/>
          <w:color w:val="auto"/>
        </w:rPr>
      </w:pPr>
      <w:r>
        <w:rPr>
          <w:rFonts w:ascii="Arial" w:cs="Arial" w:eastAsia="Arial" w:hAnsi="Arial"/>
          <w:sz w:val="18"/>
          <w:szCs w:val="18"/>
          <w:color w:val="auto"/>
        </w:rPr>
        <w:t>aggregate amount then on deposit in</w:t>
      </w:r>
    </w:p>
    <w:p>
      <w:pPr>
        <w:ind w:left="2440"/>
        <w:spacing w:after="0" w:line="235" w:lineRule="auto"/>
        <w:rPr>
          <w:sz w:val="20"/>
          <w:szCs w:val="20"/>
          <w:color w:val="auto"/>
        </w:rPr>
      </w:pPr>
      <w:r>
        <w:rPr>
          <w:rFonts w:ascii="Arial" w:cs="Arial" w:eastAsia="Arial" w:hAnsi="Arial"/>
          <w:sz w:val="18"/>
          <w:szCs w:val="18"/>
          <w:color w:val="auto"/>
        </w:rPr>
        <w:t>the trust account calculated as of</w:t>
      </w:r>
    </w:p>
    <w:p>
      <w:pPr>
        <w:ind w:left="2440"/>
        <w:spacing w:after="0" w:line="235" w:lineRule="auto"/>
        <w:rPr>
          <w:sz w:val="20"/>
          <w:szCs w:val="20"/>
          <w:color w:val="auto"/>
        </w:rPr>
      </w:pPr>
      <w:r>
        <w:rPr>
          <w:rFonts w:ascii="Arial" w:cs="Arial" w:eastAsia="Arial" w:hAnsi="Arial"/>
          <w:sz w:val="18"/>
          <w:szCs w:val="18"/>
          <w:color w:val="auto"/>
        </w:rPr>
        <w:t>two business days prior to the</w:t>
      </w:r>
    </w:p>
    <w:p>
      <w:pPr>
        <w:ind w:left="2440"/>
        <w:spacing w:after="0" w:line="234" w:lineRule="auto"/>
        <w:rPr>
          <w:sz w:val="20"/>
          <w:szCs w:val="20"/>
          <w:color w:val="auto"/>
        </w:rPr>
      </w:pPr>
      <w:r>
        <w:rPr>
          <w:rFonts w:ascii="Arial" w:cs="Arial" w:eastAsia="Arial" w:hAnsi="Arial"/>
          <w:sz w:val="18"/>
          <w:szCs w:val="18"/>
          <w:color w:val="auto"/>
        </w:rPr>
        <w:t>consummation of our initial business</w:t>
      </w:r>
    </w:p>
    <w:p>
      <w:pPr>
        <w:ind w:left="2440"/>
        <w:spacing w:after="0" w:line="235" w:lineRule="auto"/>
        <w:rPr>
          <w:sz w:val="20"/>
          <w:szCs w:val="20"/>
          <w:color w:val="auto"/>
        </w:rPr>
      </w:pPr>
      <w:r>
        <w:rPr>
          <w:rFonts w:ascii="Arial" w:cs="Arial" w:eastAsia="Arial" w:hAnsi="Arial"/>
          <w:sz w:val="18"/>
          <w:szCs w:val="18"/>
          <w:color w:val="auto"/>
        </w:rPr>
        <w:t>combination, including interest</w:t>
      </w:r>
    </w:p>
    <w:p>
      <w:pPr>
        <w:ind w:left="2440"/>
        <w:spacing w:after="0" w:line="235" w:lineRule="auto"/>
        <w:rPr>
          <w:sz w:val="20"/>
          <w:szCs w:val="20"/>
          <w:color w:val="auto"/>
        </w:rPr>
      </w:pPr>
      <w:r>
        <w:rPr>
          <w:rFonts w:ascii="Arial" w:cs="Arial" w:eastAsia="Arial" w:hAnsi="Arial"/>
          <w:sz w:val="18"/>
          <w:szCs w:val="18"/>
          <w:color w:val="auto"/>
        </w:rPr>
        <w:t>earned on the funds held in the trust</w:t>
      </w:r>
    </w:p>
    <w:p>
      <w:pPr>
        <w:ind w:left="2440"/>
        <w:spacing w:after="0" w:line="235" w:lineRule="auto"/>
        <w:rPr>
          <w:sz w:val="20"/>
          <w:szCs w:val="20"/>
          <w:color w:val="auto"/>
        </w:rPr>
      </w:pPr>
      <w:r>
        <w:rPr>
          <w:rFonts w:ascii="Arial" w:cs="Arial" w:eastAsia="Arial" w:hAnsi="Arial"/>
          <w:sz w:val="18"/>
          <w:szCs w:val="18"/>
          <w:color w:val="auto"/>
        </w:rPr>
        <w:t>account and not previously released</w:t>
      </w:r>
    </w:p>
    <w:p>
      <w:pPr>
        <w:ind w:left="2440"/>
        <w:spacing w:after="0" w:line="235" w:lineRule="auto"/>
        <w:rPr>
          <w:sz w:val="20"/>
          <w:szCs w:val="20"/>
          <w:color w:val="auto"/>
        </w:rPr>
      </w:pPr>
      <w:r>
        <w:rPr>
          <w:rFonts w:ascii="Arial" w:cs="Arial" w:eastAsia="Arial" w:hAnsi="Arial"/>
          <w:sz w:val="18"/>
          <w:szCs w:val="18"/>
          <w:color w:val="auto"/>
        </w:rPr>
        <w:t>to us to pay our taxes, divided by the</w:t>
      </w:r>
    </w:p>
    <w:p>
      <w:pPr>
        <w:ind w:left="2440"/>
        <w:spacing w:after="0" w:line="234" w:lineRule="auto"/>
        <w:rPr>
          <w:sz w:val="20"/>
          <w:szCs w:val="20"/>
          <w:color w:val="auto"/>
        </w:rPr>
      </w:pPr>
      <w:r>
        <w:rPr>
          <w:rFonts w:ascii="Arial" w:cs="Arial" w:eastAsia="Arial" w:hAnsi="Arial"/>
          <w:sz w:val="18"/>
          <w:szCs w:val="18"/>
          <w:color w:val="auto"/>
        </w:rPr>
        <w:t>number of then outstanding public</w:t>
      </w:r>
    </w:p>
    <w:p>
      <w:pPr>
        <w:ind w:left="2440"/>
        <w:spacing w:after="0" w:line="235" w:lineRule="auto"/>
        <w:rPr>
          <w:sz w:val="20"/>
          <w:szCs w:val="20"/>
          <w:color w:val="auto"/>
        </w:rPr>
      </w:pPr>
      <w:r>
        <w:rPr>
          <w:rFonts w:ascii="Arial" w:cs="Arial" w:eastAsia="Arial" w:hAnsi="Arial"/>
          <w:sz w:val="18"/>
          <w:szCs w:val="18"/>
          <w:color w:val="auto"/>
        </w:rPr>
        <w:t>shares, upon the completion of our</w:t>
      </w:r>
    </w:p>
    <w:p>
      <w:pPr>
        <w:ind w:left="2440"/>
        <w:spacing w:after="0" w:line="235" w:lineRule="auto"/>
        <w:rPr>
          <w:sz w:val="20"/>
          <w:szCs w:val="20"/>
          <w:color w:val="auto"/>
        </w:rPr>
      </w:pPr>
      <w:r>
        <w:rPr>
          <w:rFonts w:ascii="Arial" w:cs="Arial" w:eastAsia="Arial" w:hAnsi="Arial"/>
          <w:sz w:val="18"/>
          <w:szCs w:val="18"/>
          <w:color w:val="auto"/>
        </w:rPr>
        <w:t>initial business combination, subject</w:t>
      </w:r>
    </w:p>
    <w:p>
      <w:pPr>
        <w:ind w:left="2440"/>
        <w:spacing w:after="0" w:line="235" w:lineRule="auto"/>
        <w:rPr>
          <w:sz w:val="20"/>
          <w:szCs w:val="20"/>
          <w:color w:val="auto"/>
        </w:rPr>
      </w:pPr>
      <w:r>
        <w:rPr>
          <w:rFonts w:ascii="Arial" w:cs="Arial" w:eastAsia="Arial" w:hAnsi="Arial"/>
          <w:sz w:val="18"/>
          <w:szCs w:val="18"/>
          <w:color w:val="auto"/>
        </w:rPr>
        <w:t>to the limitations described herein.</w:t>
      </w:r>
    </w:p>
    <w:p>
      <w:pPr>
        <w:ind w:left="2440"/>
        <w:spacing w:after="0" w:line="235" w:lineRule="auto"/>
        <w:rPr>
          <w:sz w:val="20"/>
          <w:szCs w:val="20"/>
          <w:color w:val="auto"/>
        </w:rPr>
      </w:pPr>
      <w:r>
        <w:rPr>
          <w:rFonts w:ascii="Arial" w:cs="Arial" w:eastAsia="Arial" w:hAnsi="Arial"/>
          <w:sz w:val="18"/>
          <w:szCs w:val="18"/>
          <w:color w:val="auto"/>
        </w:rPr>
        <w:t>We may not be required by law to</w:t>
      </w:r>
    </w:p>
    <w:p>
      <w:pPr>
        <w:ind w:left="2440"/>
        <w:spacing w:after="0"/>
        <w:rPr>
          <w:sz w:val="20"/>
          <w:szCs w:val="20"/>
          <w:color w:val="auto"/>
        </w:rPr>
      </w:pPr>
      <w:r>
        <w:rPr>
          <w:rFonts w:ascii="Arial" w:cs="Arial" w:eastAsia="Arial" w:hAnsi="Arial"/>
          <w:sz w:val="17"/>
          <w:szCs w:val="17"/>
          <w:color w:val="auto"/>
        </w:rPr>
        <w:t>hold a stockholder vote. If we are not</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required by law and do not otherwise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decide to hold a stockholder vote,</w:t>
      </w:r>
    </w:p>
    <w:p>
      <w:pPr>
        <w:ind w:left="2440"/>
        <w:spacing w:after="0" w:line="234" w:lineRule="auto"/>
        <w:rPr>
          <w:sz w:val="20"/>
          <w:szCs w:val="20"/>
          <w:color w:val="auto"/>
        </w:rPr>
      </w:pPr>
      <w:r>
        <w:rPr>
          <w:rFonts w:ascii="Arial" w:cs="Arial" w:eastAsia="Arial" w:hAnsi="Arial"/>
          <w:sz w:val="18"/>
          <w:szCs w:val="18"/>
          <w:color w:val="auto"/>
        </w:rPr>
        <w:t>we will, pursuant to our amended</w:t>
      </w:r>
    </w:p>
    <w:p>
      <w:pPr>
        <w:ind w:left="2440"/>
        <w:spacing w:after="0" w:line="235" w:lineRule="auto"/>
        <w:rPr>
          <w:sz w:val="20"/>
          <w:szCs w:val="20"/>
          <w:color w:val="auto"/>
        </w:rPr>
      </w:pPr>
      <w:r>
        <w:rPr>
          <w:rFonts w:ascii="Arial" w:cs="Arial" w:eastAsia="Arial" w:hAnsi="Arial"/>
          <w:sz w:val="18"/>
          <w:szCs w:val="18"/>
          <w:color w:val="auto"/>
        </w:rPr>
        <w:t>and restated certificate of</w:t>
      </w:r>
    </w:p>
    <w:p>
      <w:pPr>
        <w:ind w:left="2440"/>
        <w:spacing w:after="0" w:line="235" w:lineRule="auto"/>
        <w:rPr>
          <w:sz w:val="20"/>
          <w:szCs w:val="20"/>
          <w:color w:val="auto"/>
        </w:rPr>
      </w:pPr>
      <w:r>
        <w:rPr>
          <w:rFonts w:ascii="Arial" w:cs="Arial" w:eastAsia="Arial" w:hAnsi="Arial"/>
          <w:sz w:val="18"/>
          <w:szCs w:val="18"/>
          <w:color w:val="auto"/>
        </w:rPr>
        <w:t>incorporation, conduct the</w:t>
      </w:r>
    </w:p>
    <w:p>
      <w:pPr>
        <w:ind w:left="2440"/>
        <w:spacing w:after="0" w:line="235" w:lineRule="auto"/>
        <w:rPr>
          <w:sz w:val="20"/>
          <w:szCs w:val="20"/>
          <w:color w:val="auto"/>
        </w:rPr>
      </w:pPr>
      <w:r>
        <w:rPr>
          <w:rFonts w:ascii="Arial" w:cs="Arial" w:eastAsia="Arial" w:hAnsi="Arial"/>
          <w:sz w:val="18"/>
          <w:szCs w:val="18"/>
          <w:color w:val="auto"/>
        </w:rPr>
        <w:t>redemptions pursuant to the tender</w:t>
      </w:r>
    </w:p>
    <w:p>
      <w:pPr>
        <w:ind w:left="2440"/>
        <w:spacing w:after="0" w:line="235" w:lineRule="auto"/>
        <w:rPr>
          <w:sz w:val="20"/>
          <w:szCs w:val="20"/>
          <w:color w:val="auto"/>
        </w:rPr>
      </w:pPr>
      <w:r>
        <w:rPr>
          <w:rFonts w:ascii="Arial" w:cs="Arial" w:eastAsia="Arial" w:hAnsi="Arial"/>
          <w:sz w:val="18"/>
          <w:szCs w:val="18"/>
          <w:color w:val="auto"/>
        </w:rPr>
        <w:t>offer rules of the SEC and file tender</w:t>
      </w:r>
    </w:p>
    <w:p>
      <w:pPr>
        <w:ind w:left="2440"/>
        <w:spacing w:after="0" w:line="234" w:lineRule="auto"/>
        <w:rPr>
          <w:sz w:val="20"/>
          <w:szCs w:val="20"/>
          <w:color w:val="auto"/>
        </w:rPr>
      </w:pPr>
      <w:r>
        <w:rPr>
          <w:rFonts w:ascii="Arial" w:cs="Arial" w:eastAsia="Arial" w:hAnsi="Arial"/>
          <w:sz w:val="18"/>
          <w:szCs w:val="18"/>
          <w:color w:val="auto"/>
        </w:rPr>
        <w:t>offer documents with the SEC which</w:t>
      </w:r>
    </w:p>
    <w:p>
      <w:pPr>
        <w:ind w:left="2440"/>
        <w:spacing w:after="0" w:line="235" w:lineRule="auto"/>
        <w:rPr>
          <w:sz w:val="20"/>
          <w:szCs w:val="20"/>
          <w:color w:val="auto"/>
        </w:rPr>
      </w:pPr>
      <w:r>
        <w:rPr>
          <w:rFonts w:ascii="Arial" w:cs="Arial" w:eastAsia="Arial" w:hAnsi="Arial"/>
          <w:sz w:val="18"/>
          <w:szCs w:val="18"/>
          <w:color w:val="auto"/>
        </w:rPr>
        <w:t>will contain substantially the same</w:t>
      </w:r>
    </w:p>
    <w:p>
      <w:pPr>
        <w:ind w:left="2440"/>
        <w:spacing w:after="0" w:line="235" w:lineRule="auto"/>
        <w:rPr>
          <w:sz w:val="20"/>
          <w:szCs w:val="20"/>
          <w:color w:val="auto"/>
        </w:rPr>
      </w:pPr>
      <w:r>
        <w:rPr>
          <w:rFonts w:ascii="Arial" w:cs="Arial" w:eastAsia="Arial" w:hAnsi="Arial"/>
          <w:sz w:val="18"/>
          <w:szCs w:val="18"/>
          <w:color w:val="auto"/>
        </w:rPr>
        <w:t>financial and other information about</w:t>
      </w:r>
    </w:p>
    <w:p>
      <w:pPr>
        <w:ind w:left="2440"/>
        <w:spacing w:after="0" w:line="235" w:lineRule="auto"/>
        <w:rPr>
          <w:sz w:val="20"/>
          <w:szCs w:val="20"/>
          <w:color w:val="auto"/>
        </w:rPr>
      </w:pPr>
      <w:r>
        <w:rPr>
          <w:rFonts w:ascii="Arial" w:cs="Arial" w:eastAsia="Arial" w:hAnsi="Arial"/>
          <w:sz w:val="18"/>
          <w:szCs w:val="18"/>
          <w:color w:val="auto"/>
        </w:rPr>
        <w:t>the initial business combination and</w:t>
      </w:r>
    </w:p>
    <w:p>
      <w:pPr>
        <w:ind w:left="2440"/>
        <w:spacing w:after="0" w:line="235" w:lineRule="auto"/>
        <w:rPr>
          <w:sz w:val="20"/>
          <w:szCs w:val="20"/>
          <w:color w:val="auto"/>
        </w:rPr>
      </w:pPr>
      <w:r>
        <w:rPr>
          <w:rFonts w:ascii="Arial" w:cs="Arial" w:eastAsia="Arial" w:hAnsi="Arial"/>
          <w:sz w:val="18"/>
          <w:szCs w:val="18"/>
          <w:color w:val="auto"/>
        </w:rPr>
        <w:t>the redemption rights as is required</w:t>
      </w:r>
    </w:p>
    <w:p>
      <w:pPr>
        <w:ind w:left="2440"/>
        <w:spacing w:after="0" w:line="234" w:lineRule="auto"/>
        <w:rPr>
          <w:sz w:val="20"/>
          <w:szCs w:val="20"/>
          <w:color w:val="auto"/>
        </w:rPr>
      </w:pPr>
      <w:r>
        <w:rPr>
          <w:rFonts w:ascii="Arial" w:cs="Arial" w:eastAsia="Arial" w:hAnsi="Arial"/>
          <w:sz w:val="18"/>
          <w:szCs w:val="18"/>
          <w:color w:val="auto"/>
        </w:rPr>
        <w:t>under the SEC’s proxy rules. If,</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however, we hold a stockholder vote,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we will, like many blank check</w:t>
      </w:r>
    </w:p>
    <w:p>
      <w:pPr>
        <w:ind w:left="2440"/>
        <w:spacing w:after="0" w:line="234" w:lineRule="auto"/>
        <w:rPr>
          <w:sz w:val="20"/>
          <w:szCs w:val="20"/>
          <w:color w:val="auto"/>
        </w:rPr>
      </w:pPr>
      <w:r>
        <w:rPr>
          <w:rFonts w:ascii="Arial" w:cs="Arial" w:eastAsia="Arial" w:hAnsi="Arial"/>
          <w:sz w:val="18"/>
          <w:szCs w:val="18"/>
          <w:color w:val="auto"/>
        </w:rPr>
        <w:t>companies, offer to redeem shares</w:t>
      </w:r>
    </w:p>
    <w:p>
      <w:pPr>
        <w:ind w:left="2440"/>
        <w:spacing w:after="0" w:line="235" w:lineRule="auto"/>
        <w:rPr>
          <w:sz w:val="20"/>
          <w:szCs w:val="20"/>
          <w:color w:val="auto"/>
        </w:rPr>
      </w:pPr>
      <w:r>
        <w:rPr>
          <w:rFonts w:ascii="Arial" w:cs="Arial" w:eastAsia="Arial" w:hAnsi="Arial"/>
          <w:sz w:val="18"/>
          <w:szCs w:val="18"/>
          <w:color w:val="auto"/>
        </w:rPr>
        <w:t>in conjunction with a proxy</w:t>
      </w:r>
    </w:p>
    <w:p>
      <w:pPr>
        <w:ind w:left="2440"/>
        <w:spacing w:after="0" w:line="235" w:lineRule="auto"/>
        <w:rPr>
          <w:sz w:val="20"/>
          <w:szCs w:val="20"/>
          <w:color w:val="auto"/>
        </w:rPr>
      </w:pPr>
      <w:r>
        <w:rPr>
          <w:rFonts w:ascii="Arial" w:cs="Arial" w:eastAsia="Arial" w:hAnsi="Arial"/>
          <w:sz w:val="18"/>
          <w:szCs w:val="18"/>
          <w:color w:val="auto"/>
        </w:rPr>
        <w:t>solicitation pursuant to the proxy</w:t>
      </w:r>
    </w:p>
    <w:p>
      <w:pPr>
        <w:ind w:left="2440"/>
        <w:spacing w:after="0" w:line="235" w:lineRule="auto"/>
        <w:rPr>
          <w:sz w:val="20"/>
          <w:szCs w:val="20"/>
          <w:color w:val="auto"/>
        </w:rPr>
      </w:pPr>
      <w:r>
        <w:rPr>
          <w:rFonts w:ascii="Arial" w:cs="Arial" w:eastAsia="Arial" w:hAnsi="Arial"/>
          <w:sz w:val="18"/>
          <w:szCs w:val="18"/>
          <w:color w:val="auto"/>
        </w:rPr>
        <w:t>rules and not pursuant to the tender</w:t>
      </w:r>
    </w:p>
    <w:p>
      <w:pPr>
        <w:ind w:left="2440"/>
        <w:spacing w:after="0" w:line="235" w:lineRule="auto"/>
        <w:rPr>
          <w:sz w:val="20"/>
          <w:szCs w:val="20"/>
          <w:color w:val="auto"/>
        </w:rPr>
      </w:pPr>
      <w:r>
        <w:rPr>
          <w:rFonts w:ascii="Arial" w:cs="Arial" w:eastAsia="Arial" w:hAnsi="Arial"/>
          <w:sz w:val="18"/>
          <w:szCs w:val="18"/>
          <w:color w:val="auto"/>
        </w:rPr>
        <w:t>offer rules. If we seek stockholder</w:t>
      </w:r>
    </w:p>
    <w:p>
      <w:pPr>
        <w:ind w:left="2440"/>
        <w:spacing w:after="0" w:line="234" w:lineRule="auto"/>
        <w:rPr>
          <w:sz w:val="20"/>
          <w:szCs w:val="20"/>
          <w:color w:val="auto"/>
        </w:rPr>
      </w:pPr>
      <w:r>
        <w:rPr>
          <w:rFonts w:ascii="Arial" w:cs="Arial" w:eastAsia="Arial" w:hAnsi="Arial"/>
          <w:sz w:val="18"/>
          <w:szCs w:val="18"/>
          <w:color w:val="auto"/>
        </w:rPr>
        <w:t>approval, we will complete our initial</w:t>
      </w:r>
    </w:p>
    <w:p>
      <w:pPr>
        <w:ind w:left="2440"/>
        <w:spacing w:after="0" w:line="235" w:lineRule="auto"/>
        <w:rPr>
          <w:sz w:val="20"/>
          <w:szCs w:val="20"/>
          <w:color w:val="auto"/>
        </w:rPr>
      </w:pPr>
      <w:r>
        <w:rPr>
          <w:rFonts w:ascii="Arial" w:cs="Arial" w:eastAsia="Arial" w:hAnsi="Arial"/>
          <w:sz w:val="18"/>
          <w:szCs w:val="18"/>
          <w:color w:val="auto"/>
        </w:rPr>
        <w:t>business combination only if a</w:t>
      </w:r>
    </w:p>
    <w:p>
      <w:pPr>
        <w:ind w:left="2440"/>
        <w:spacing w:after="0" w:line="235" w:lineRule="auto"/>
        <w:rPr>
          <w:sz w:val="20"/>
          <w:szCs w:val="20"/>
          <w:color w:val="auto"/>
        </w:rPr>
      </w:pPr>
      <w:r>
        <w:rPr>
          <w:rFonts w:ascii="Arial" w:cs="Arial" w:eastAsia="Arial" w:hAnsi="Arial"/>
          <w:sz w:val="18"/>
          <w:szCs w:val="18"/>
          <w:color w:val="auto"/>
        </w:rPr>
        <w:t>majority of the shares of common</w:t>
      </w:r>
    </w:p>
    <w:p>
      <w:pPr>
        <w:ind w:left="2440"/>
        <w:spacing w:after="0" w:line="235" w:lineRule="auto"/>
        <w:rPr>
          <w:sz w:val="20"/>
          <w:szCs w:val="20"/>
          <w:color w:val="auto"/>
        </w:rPr>
      </w:pPr>
      <w:r>
        <w:rPr>
          <w:rFonts w:ascii="Arial" w:cs="Arial" w:eastAsia="Arial" w:hAnsi="Arial"/>
          <w:sz w:val="18"/>
          <w:szCs w:val="18"/>
          <w:color w:val="auto"/>
        </w:rPr>
        <w:t>stock voted are voted in favor of the</w:t>
      </w:r>
    </w:p>
    <w:p>
      <w:pPr>
        <w:ind w:left="2440"/>
        <w:spacing w:after="0" w:line="235" w:lineRule="auto"/>
        <w:rPr>
          <w:sz w:val="20"/>
          <w:szCs w:val="20"/>
          <w:color w:val="auto"/>
        </w:rPr>
      </w:pPr>
      <w:r>
        <w:rPr>
          <w:rFonts w:ascii="Arial" w:cs="Arial" w:eastAsia="Arial" w:hAnsi="Arial"/>
          <w:sz w:val="18"/>
          <w:szCs w:val="18"/>
          <w:color w:val="auto"/>
        </w:rPr>
        <w:t>business combination. Additionally,</w:t>
      </w:r>
    </w:p>
    <w:p>
      <w:pPr>
        <w:ind w:left="2440"/>
        <w:spacing w:after="0" w:line="234" w:lineRule="auto"/>
        <w:rPr>
          <w:sz w:val="20"/>
          <w:szCs w:val="20"/>
          <w:color w:val="auto"/>
        </w:rPr>
      </w:pPr>
      <w:r>
        <w:rPr>
          <w:rFonts w:ascii="Arial" w:cs="Arial" w:eastAsia="Arial" w:hAnsi="Arial"/>
          <w:sz w:val="18"/>
          <w:szCs w:val="18"/>
          <w:color w:val="auto"/>
        </w:rPr>
        <w:t>each public stockholder may elect to</w:t>
      </w:r>
    </w:p>
    <w:p>
      <w:pPr>
        <w:ind w:left="2440"/>
        <w:spacing w:after="0" w:line="235" w:lineRule="auto"/>
        <w:rPr>
          <w:sz w:val="20"/>
          <w:szCs w:val="20"/>
          <w:color w:val="auto"/>
        </w:rPr>
      </w:pPr>
      <w:r>
        <w:rPr>
          <w:rFonts w:ascii="Arial" w:cs="Arial" w:eastAsia="Arial" w:hAnsi="Arial"/>
          <w:sz w:val="18"/>
          <w:szCs w:val="18"/>
          <w:color w:val="auto"/>
        </w:rPr>
        <w:t>redeem their public shares</w:t>
      </w:r>
    </w:p>
    <w:p>
      <w:pPr>
        <w:ind w:left="2440"/>
        <w:spacing w:after="0" w:line="235" w:lineRule="auto"/>
        <w:rPr>
          <w:sz w:val="20"/>
          <w:szCs w:val="20"/>
          <w:color w:val="auto"/>
        </w:rPr>
      </w:pPr>
      <w:r>
        <w:rPr>
          <w:rFonts w:ascii="Arial" w:cs="Arial" w:eastAsia="Arial" w:hAnsi="Arial"/>
          <w:sz w:val="18"/>
          <w:szCs w:val="18"/>
          <w:color w:val="auto"/>
        </w:rPr>
        <w:t>irrespective of whether they vote for</w:t>
      </w:r>
    </w:p>
    <w:p>
      <w:pPr>
        <w:ind w:left="2440"/>
        <w:spacing w:after="0"/>
        <w:rPr>
          <w:sz w:val="20"/>
          <w:szCs w:val="20"/>
          <w:color w:val="auto"/>
        </w:rPr>
      </w:pPr>
      <w:r>
        <w:rPr>
          <w:rFonts w:ascii="Arial" w:cs="Arial" w:eastAsia="Arial" w:hAnsi="Arial"/>
          <w:sz w:val="18"/>
          <w:szCs w:val="18"/>
          <w:color w:val="auto"/>
        </w:rPr>
        <w:t>or against the proposed transaction.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79"/>
        <w:spacing w:after="0" w:line="234" w:lineRule="auto"/>
        <w:rPr>
          <w:sz w:val="20"/>
          <w:szCs w:val="20"/>
          <w:color w:val="auto"/>
        </w:rPr>
      </w:pPr>
      <w:r>
        <w:rPr>
          <w:rFonts w:ascii="Arial" w:cs="Arial" w:eastAsia="Arial" w:hAnsi="Arial"/>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452" w:lineRule="exact"/>
        <w:rPr>
          <w:sz w:val="20"/>
          <w:szCs w:val="20"/>
          <w:color w:val="auto"/>
        </w:rPr>
      </w:pPr>
    </w:p>
    <w:p>
      <w:pPr>
        <w:sectPr>
          <w:pgSz w:w="11900" w:h="16838" w:orient="portrait"/>
          <w:cols w:equalWidth="0" w:num="2">
            <w:col w:w="538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8" w:name="page89"/>
    <w:bookmarkEnd w:id="88"/>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right="200" w:hanging="179"/>
        <w:spacing w:after="0" w:line="275" w:lineRule="auto"/>
        <w:rPr>
          <w:sz w:val="20"/>
          <w:szCs w:val="20"/>
          <w:color w:val="auto"/>
        </w:rPr>
      </w:pPr>
      <w:r>
        <w:rPr>
          <w:rFonts w:ascii="Arial" w:cs="Arial" w:eastAsia="Arial" w:hAnsi="Arial"/>
          <w:sz w:val="17"/>
          <w:szCs w:val="17"/>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Release of funds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are unable to complete an initial business combination within 24 months from the closing of this offering, we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Except for the withdrawal of interest to pay our taxes,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4243" w:lineRule="exact"/>
        <w:rPr>
          <w:sz w:val="20"/>
          <w:szCs w:val="20"/>
          <w:color w:val="auto"/>
        </w:rPr>
      </w:pPr>
    </w:p>
    <w:p>
      <w:pPr>
        <w:sectPr>
          <w:pgSz w:w="11900" w:h="16838" w:orient="portrait"/>
          <w:cols w:equalWidth="0" w:num="3">
            <w:col w:w="1900" w:space="540"/>
            <w:col w:w="294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89" w:name="page90"/>
    <w:bookmarkEnd w:id="89"/>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44" w:lineRule="auto"/>
        <w:rPr>
          <w:sz w:val="20"/>
          <w:szCs w:val="20"/>
          <w:color w:val="auto"/>
        </w:rPr>
      </w:pPr>
      <w:r>
        <w:rPr>
          <w:rFonts w:ascii="Arial" w:cs="Arial" w:eastAsia="Arial" w:hAnsi="Arial"/>
          <w:sz w:val="18"/>
          <w:szCs w:val="18"/>
          <w:b w:val="1"/>
          <w:bCs w:val="1"/>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7476" w:lineRule="exact"/>
        <w:rPr>
          <w:sz w:val="20"/>
          <w:szCs w:val="20"/>
          <w:color w:val="auto"/>
        </w:rPr>
      </w:pPr>
    </w:p>
    <w:p>
      <w:pPr>
        <w:sectPr>
          <w:pgSz w:w="11900" w:h="16838" w:orient="portrait"/>
          <w:cols w:equalWidth="0" w:num="3">
            <w:col w:w="2320" w:space="120"/>
            <w:col w:w="2940" w:space="100"/>
            <w:col w:w="3539"/>
          </w:cols>
          <w:pgMar w:left="1440" w:top="302" w:right="1440"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0" w:name="page91"/>
    <w:bookmarkEnd w:id="90"/>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sectPr>
      </w:pPr>
    </w:p>
    <w:p>
      <w:pPr>
        <w:spacing w:after="0" w:line="113" w:lineRule="exact"/>
        <w:rPr>
          <w:sz w:val="20"/>
          <w:szCs w:val="20"/>
          <w:color w:val="auto"/>
        </w:rPr>
      </w:pPr>
    </w:p>
    <w:p>
      <w:pPr>
        <w:ind w:left="640" w:hanging="179"/>
        <w:spacing w:after="0"/>
        <w:rPr>
          <w:sz w:val="20"/>
          <w:szCs w:val="20"/>
          <w:color w:val="auto"/>
        </w:rPr>
      </w:pPr>
      <w:r>
        <w:rPr>
          <w:rFonts w:ascii="Arial" w:cs="Arial" w:eastAsia="Arial" w:hAnsi="Arial"/>
          <w:sz w:val="18"/>
          <w:szCs w:val="18"/>
          <w:b w:val="1"/>
          <w:bCs w:val="1"/>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-2617470</wp:posOffset>
            </wp:positionV>
            <wp:extent cx="18770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-820420</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93" w:lineRule="exact"/>
        <w:rPr>
          <w:sz w:val="20"/>
          <w:szCs w:val="20"/>
          <w:color w:val="auto"/>
        </w:rPr>
      </w:pPr>
    </w:p>
    <w:p>
      <w:pPr>
        <w:sectPr>
          <w:pgSz w:w="11900" w:h="16838" w:orient="portrait"/>
          <w:cols w:equalWidth="0" w:num="3">
            <w:col w:w="2300" w:space="140"/>
            <w:col w:w="2900" w:space="140"/>
            <w:col w:w="3539"/>
          </w:cols>
          <w:pgMar w:left="1440" w:top="302" w:right="1440" w:bottom="1440" w:gutter="0" w:footer="0" w:header="0"/>
          <w:type w:val="continuous"/>
        </w:sectPr>
      </w:pPr>
    </w:p>
    <w:p>
      <w:pPr>
        <w:ind w:left="460" w:right="479"/>
        <w:spacing w:after="0" w:line="236"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and the members of our management team. We consider our current office space adequate for our current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Jim Tananbaum, Dennis Ryan and Michael Rome.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6"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We will register our shares of Class A common stock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9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w:t>
      </w:r>
    </w:p>
    <w:p>
      <w:pPr>
        <w:sectPr>
          <w:pgSz w:w="11900" w:h="16838" w:orient="portrait"/>
          <w:cols w:equalWidth="0" w:num="1">
            <w:col w:w="9019"/>
          </w:cols>
          <w:pgMar w:left="1440" w:top="302" w:right="1440"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1" w:name="page92"/>
    <w:bookmarkEnd w:id="91"/>
    <w:p>
      <w:pPr>
        <w:ind w:left="460" w:right="479"/>
        <w:spacing w:after="0" w:line="236" w:lineRule="auto"/>
        <w:rPr>
          <w:sz w:val="20"/>
          <w:szCs w:val="20"/>
          <w:color w:val="auto"/>
        </w:rPr>
      </w:pPr>
      <w:r>
        <w:rPr>
          <w:rFonts w:ascii="Arial" w:cs="Arial" w:eastAsia="Arial" w:hAnsi="Arial"/>
          <w:sz w:val="18"/>
          <w:szCs w:val="18"/>
          <w:color w:val="auto"/>
        </w:rPr>
        <w:t>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3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27"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1"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5"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6"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92" w:name="page93"/>
    <w:bookmarkEnd w:id="92"/>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Vice President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0"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b w:val="1"/>
          <w:bCs w:val="1"/>
          <w:i w:val="1"/>
          <w:iCs w:val="1"/>
          <w:color w:val="auto"/>
        </w:rPr>
        <w:t xml:space="preserve">Jim Tananbaum </w:t>
      </w:r>
      <w:r>
        <w:rPr>
          <w:rFonts w:ascii="Arial" w:cs="Arial" w:eastAsia="Arial" w:hAnsi="Arial"/>
          <w:sz w:val="17"/>
          <w:szCs w:val="17"/>
          <w:color w:val="auto"/>
        </w:rPr>
        <w:t>has been our President, Chief Executive Officer and a director since June 2020.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2"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i w:val="1"/>
          <w:iCs w:val="1"/>
          <w:color w:val="auto"/>
        </w:rPr>
        <w:t xml:space="preserve">Dennis Ryan </w:t>
      </w:r>
      <w:r>
        <w:rPr>
          <w:rFonts w:ascii="Arial" w:cs="Arial" w:eastAsia="Arial" w:hAnsi="Arial"/>
          <w:sz w:val="18"/>
          <w:szCs w:val="18"/>
          <w:color w:val="auto"/>
        </w:rPr>
        <w:t>has been our Chief Financial Officer since June 2020. Since 2011, Mr. Ryan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 the 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b w:val="1"/>
          <w:bCs w:val="1"/>
          <w:i w:val="1"/>
          <w:iCs w:val="1"/>
          <w:color w:val="auto"/>
        </w:rPr>
        <w:t xml:space="preserve">Michael Rome </w:t>
      </w:r>
      <w:r>
        <w:rPr>
          <w:rFonts w:ascii="Arial" w:cs="Arial" w:eastAsia="Arial" w:hAnsi="Arial"/>
          <w:sz w:val="18"/>
          <w:szCs w:val="18"/>
          <w:color w:val="auto"/>
        </w:rPr>
        <w:t>has been our Vice President and Director since June 2020. Dr. Rome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9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Vikram Bajaj </w:t>
      </w:r>
      <w:r>
        <w:rPr>
          <w:rFonts w:ascii="Arial" w:cs="Arial" w:eastAsia="Arial" w:hAnsi="Arial"/>
          <w:sz w:val="18"/>
          <w:szCs w:val="18"/>
          <w:color w:val="auto"/>
        </w:rPr>
        <w:t>has been a director on our board of directors since June 2020. Dr. Bajaj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 Dr. Bajaj holds a B.A./M.S. from University of Pennsylvania in Biochemistry and a</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3" w:name="page94"/>
    <w:bookmarkEnd w:id="93"/>
    <w:p>
      <w:pPr>
        <w:ind w:left="460" w:right="559"/>
        <w:spacing w:after="0"/>
        <w:rPr>
          <w:sz w:val="20"/>
          <w:szCs w:val="20"/>
          <w:color w:val="auto"/>
        </w:rPr>
      </w:pPr>
      <w:r>
        <w:rPr>
          <w:rFonts w:ascii="Arial" w:cs="Arial" w:eastAsia="Arial" w:hAnsi="Arial"/>
          <w:sz w:val="18"/>
          <w:szCs w:val="18"/>
          <w:color w:val="auto"/>
        </w:rPr>
        <w:t>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Robert Carey </w:t>
      </w:r>
      <w:r>
        <w:rPr>
          <w:rFonts w:ascii="Arial" w:cs="Arial" w:eastAsia="Arial" w:hAnsi="Arial"/>
          <w:sz w:val="18"/>
          <w:szCs w:val="18"/>
          <w:color w:val="auto"/>
        </w:rPr>
        <w:t>will serve on our board of directors following the completion of this offering. Mr. Carey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Executive 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b w:val="1"/>
          <w:bCs w:val="1"/>
          <w:i w:val="1"/>
          <w:iCs w:val="1"/>
          <w:color w:val="auto"/>
        </w:rPr>
        <w:t xml:space="preserve">Dan Dubin </w:t>
      </w:r>
      <w:r>
        <w:rPr>
          <w:rFonts w:ascii="Arial" w:cs="Arial" w:eastAsia="Arial" w:hAnsi="Arial"/>
          <w:sz w:val="18"/>
          <w:szCs w:val="18"/>
          <w:color w:val="auto"/>
        </w:rPr>
        <w:t>will serve on our board of directors following the completion of this offering. Dr. Dubin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the Vice 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1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Deepa Pakianathan </w:t>
      </w:r>
      <w:r>
        <w:rPr>
          <w:rFonts w:ascii="Arial" w:cs="Arial" w:eastAsia="Arial" w:hAnsi="Arial"/>
          <w:sz w:val="18"/>
          <w:szCs w:val="18"/>
          <w:color w:val="auto"/>
        </w:rPr>
        <w:t>will serve on our board of directors following the completion of this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2001, 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39"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Our board of directors consists of six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w:t>
      </w:r>
    </w:p>
    <w:p>
      <w:pPr>
        <w:spacing w:after="0" w:line="3"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directors, consisting of and , will expire at our first annual meeting of stockholders. The term of office of the second class of directors, consisting of and , will expire at the second annual meeting of stockholders. The term of office of the third class of directors, consisting of and , will expire at the third annual meeting of stockholders.</w:t>
      </w:r>
    </w:p>
    <w:p>
      <w:pPr>
        <w:spacing w:after="0" w:line="124"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Our board of directors has determined that Mr. Carey, Mr. Dubin and Ms. Pakianathan are “independent directors” as defined in Nasdaq listing standards and applicable SEC rules. Our independent directors will have regularly scheduled meetings at which only independent directors are present.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39"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In July 2020, our sponsor transferred 30,000 founder shares to each of Mr. Carey, Mr. Dubin and Ms.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secretarial and administrative services provided to members of our management team.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33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3"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3"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Mr. Carey, Mr. Dubin and Ms. Pakianathan will</w:t>
      </w:r>
    </w:p>
    <w:p>
      <w:pPr>
        <w:spacing w:after="0" w:line="1" w:lineRule="exact"/>
        <w:rPr>
          <w:sz w:val="20"/>
          <w:szCs w:val="20"/>
          <w:color w:val="auto"/>
        </w:rPr>
      </w:pPr>
    </w:p>
    <w:p>
      <w:pPr>
        <w:ind w:left="460" w:right="739"/>
        <w:spacing w:after="0" w:line="246" w:lineRule="auto"/>
        <w:rPr>
          <w:sz w:val="20"/>
          <w:szCs w:val="20"/>
          <w:color w:val="auto"/>
        </w:rPr>
      </w:pPr>
      <w:r>
        <w:rPr>
          <w:rFonts w:ascii="Arial" w:cs="Arial" w:eastAsia="Arial" w:hAnsi="Arial"/>
          <w:sz w:val="18"/>
          <w:szCs w:val="18"/>
          <w:color w:val="auto"/>
        </w:rPr>
        <w:t>serve as members of our audit committee, and will chair the audit committee. All members of our audit committee are independent of and unaffiliated with our sponsor and our underwriters.</w:t>
      </w:r>
    </w:p>
    <w:p>
      <w:pPr>
        <w:spacing w:after="0" w:line="102"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 that Mr. Carey qualifies as an “audit committee financial expert” as defined in applicable SEC rules and has accounting or related financial management expertise.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29"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13" w:lineRule="exact"/>
        <w:rPr>
          <w:rFonts w:ascii="Arial" w:cs="Arial" w:eastAsia="Arial" w:hAnsi="Arial"/>
          <w:sz w:val="18"/>
          <w:szCs w:val="18"/>
          <w:color w:val="auto"/>
        </w:rPr>
      </w:pPr>
    </w:p>
    <w:p>
      <w:pPr>
        <w:ind w:left="1100" w:right="559" w:hanging="322"/>
        <w:spacing w:after="0" w:line="23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5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3" w:lineRule="exact"/>
        <w:rPr>
          <w:sz w:val="20"/>
          <w:szCs w:val="20"/>
          <w:color w:val="auto"/>
        </w:rPr>
      </w:pPr>
    </w:p>
    <w:p>
      <w:pPr>
        <w:ind w:left="460" w:right="839"/>
        <w:spacing w:after="0" w:line="23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Mr. Carey, Mr. Dubin and Ms.</w:t>
      </w:r>
    </w:p>
    <w:p>
      <w:pPr>
        <w:spacing w:after="0" w:line="1" w:lineRule="exact"/>
        <w:rPr>
          <w:sz w:val="20"/>
          <w:szCs w:val="20"/>
          <w:color w:val="auto"/>
        </w:rPr>
      </w:pPr>
    </w:p>
    <w:p>
      <w:pPr>
        <w:ind w:left="460" w:right="1639"/>
        <w:spacing w:after="0" w:line="246" w:lineRule="auto"/>
        <w:rPr>
          <w:sz w:val="20"/>
          <w:szCs w:val="20"/>
          <w:color w:val="auto"/>
        </w:rPr>
      </w:pPr>
      <w:r>
        <w:rPr>
          <w:rFonts w:ascii="Arial" w:cs="Arial" w:eastAsia="Arial" w:hAnsi="Arial"/>
          <w:sz w:val="18"/>
          <w:szCs w:val="18"/>
          <w:color w:val="auto"/>
        </w:rPr>
        <w:t>Pakianathan will serve as members of our compensation committee. will chair the compensation committee.</w:t>
      </w:r>
    </w:p>
    <w:p>
      <w:pPr>
        <w:spacing w:after="0" w:line="102" w:lineRule="exact"/>
        <w:rPr>
          <w:sz w:val="20"/>
          <w:szCs w:val="20"/>
          <w:color w:val="auto"/>
        </w:rPr>
      </w:pPr>
    </w:p>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1" w:lineRule="exact"/>
        <w:rPr>
          <w:sz w:val="20"/>
          <w:szCs w:val="20"/>
          <w:color w:val="auto"/>
        </w:rPr>
      </w:pPr>
    </w:p>
    <w:p>
      <w:pPr>
        <w:ind w:left="1100" w:right="479" w:hanging="322"/>
        <w:spacing w:after="0" w:line="238"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15" w:lineRule="exact"/>
        <w:rPr>
          <w:rFonts w:ascii="Arial" w:cs="Arial" w:eastAsia="Arial" w:hAnsi="Arial"/>
          <w:sz w:val="18"/>
          <w:szCs w:val="18"/>
          <w:color w:val="auto"/>
        </w:rPr>
      </w:pPr>
    </w:p>
    <w:p>
      <w:pPr>
        <w:ind w:left="1100" w:right="739" w:hanging="322"/>
        <w:spacing w:after="0"/>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Arial" w:cs="Arial" w:eastAsia="Arial" w:hAnsi="Arial"/>
          <w:sz w:val="17"/>
          <w:szCs w:val="17"/>
          <w:color w:val="auto"/>
        </w:rPr>
      </w:pPr>
    </w:p>
    <w:p>
      <w:pPr>
        <w:ind w:left="1100" w:right="7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7"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29"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Notwithstanding the foregoing, as indicated above, other than the payment to our sponsor of $10,000 per month, for up to 24 months, for office space, utilities and secretarial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96" w:name="page97"/>
    <w:bookmarkEnd w:id="96"/>
    <w:p>
      <w:pPr>
        <w:ind w:left="460" w:right="499"/>
        <w:spacing w:after="0" w:line="246" w:lineRule="auto"/>
        <w:rPr>
          <w:sz w:val="20"/>
          <w:szCs w:val="20"/>
          <w:color w:val="auto"/>
        </w:rPr>
      </w:pPr>
      <w:r>
        <w:rPr>
          <w:rFonts w:ascii="Arial" w:cs="Arial" w:eastAsia="Arial" w:hAnsi="Arial"/>
          <w:sz w:val="18"/>
          <w:szCs w:val="18"/>
          <w:color w:val="auto"/>
        </w:rPr>
        <w:t>review and recommendation of any compensation arrangements to be entered into in connection with such initial business combination.</w:t>
      </w:r>
    </w:p>
    <w:p>
      <w:pPr>
        <w:spacing w:after="0" w:line="11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jc w:val="both"/>
        <w:ind w:left="460" w:right="839"/>
        <w:spacing w:after="0" w:line="248"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 members of our nominating and corporate governance will be Mr. Carey, Mr. Dubin and Ms.</w:t>
      </w:r>
    </w:p>
    <w:p>
      <w:pPr>
        <w:spacing w:after="0" w:line="2"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Pakianathan.</w:t>
      </w:r>
      <w:r>
        <w:rPr>
          <w:sz w:val="20"/>
          <w:szCs w:val="20"/>
          <w:color w:val="auto"/>
        </w:rPr>
        <w:tab/>
      </w:r>
      <w:r>
        <w:rPr>
          <w:rFonts w:ascii="Arial" w:cs="Arial" w:eastAsia="Arial" w:hAnsi="Arial"/>
          <w:sz w:val="18"/>
          <w:szCs w:val="18"/>
          <w:color w:val="auto"/>
        </w:rPr>
        <w:t>will serve as chair of the nominating and corporate governance committee.</w:t>
      </w:r>
    </w:p>
    <w:p>
      <w:pPr>
        <w:spacing w:after="0" w:line="144" w:lineRule="exact"/>
        <w:rPr>
          <w:sz w:val="20"/>
          <w:szCs w:val="20"/>
          <w:color w:val="auto"/>
        </w:rPr>
      </w:pPr>
    </w:p>
    <w:p>
      <w:pPr>
        <w:ind w:left="460" w:right="1019"/>
        <w:spacing w:after="0" w:line="26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ind w:left="1100" w:right="519" w:hanging="322"/>
        <w:spacing w:after="0" w:line="238"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1" w:lineRule="exact"/>
        <w:rPr>
          <w:rFonts w:ascii="Arial" w:cs="Arial" w:eastAsia="Arial" w:hAnsi="Arial"/>
          <w:sz w:val="18"/>
          <w:szCs w:val="18"/>
          <w:color w:val="auto"/>
        </w:rPr>
      </w:pPr>
    </w:p>
    <w:p>
      <w:pPr>
        <w:ind w:left="1100" w:right="799" w:hanging="322"/>
        <w:spacing w:after="0" w:line="265" w:lineRule="auto"/>
        <w:tabs>
          <w:tab w:leader="none" w:pos="10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45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2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3"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36" w:lineRule="exact"/>
        <w:rPr>
          <w:rFonts w:ascii="Arial" w:cs="Arial" w:eastAsia="Arial" w:hAnsi="Arial"/>
          <w:sz w:val="18"/>
          <w:szCs w:val="18"/>
          <w:color w:val="auto"/>
        </w:rPr>
      </w:pPr>
    </w:p>
    <w:p>
      <w:pPr>
        <w:ind w:left="1100" w:right="479" w:hanging="322"/>
        <w:spacing w:after="0" w:line="246"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3" w:lineRule="exact"/>
        <w:rPr>
          <w:sz w:val="20"/>
          <w:szCs w:val="20"/>
          <w:color w:val="auto"/>
        </w:rPr>
      </w:pPr>
    </w:p>
    <w:p>
      <w:pPr>
        <w:jc w:val="both"/>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Tananbaum</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Management V, LLC</w:t>
            </w: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DNA Nexus, Inc.</w:t>
            </w:r>
          </w:p>
        </w:tc>
        <w:tc>
          <w:tcPr>
            <w:tcW w:w="1780" w:type="dxa"/>
            <w:vAlign w:val="bottom"/>
          </w:tcPr>
          <w:p>
            <w:pPr>
              <w:spacing w:after="0"/>
              <w:rPr>
                <w:sz w:val="20"/>
                <w:szCs w:val="20"/>
                <w:color w:val="auto"/>
              </w:rPr>
            </w:pPr>
            <w:r>
              <w:rPr>
                <w:rFonts w:ascii="Arial" w:cs="Arial" w:eastAsia="Arial" w:hAnsi="Arial"/>
                <w:sz w:val="18"/>
                <w:szCs w:val="18"/>
                <w:color w:val="auto"/>
              </w:rPr>
              <w:t>Data science cloud</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Eikon Therapeutics,</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Element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Evonetix, Ltd.</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F-Metabolic,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Fabric Genomics,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Genomics PLC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Healthverity, Inc.</w:t>
            </w:r>
          </w:p>
        </w:tc>
        <w:tc>
          <w:tcPr>
            <w:tcW w:w="1780" w:type="dxa"/>
            <w:vAlign w:val="bottom"/>
          </w:tcPr>
          <w:p>
            <w:pPr>
              <w:spacing w:after="0"/>
              <w:rPr>
                <w:sz w:val="20"/>
                <w:szCs w:val="20"/>
                <w:color w:val="auto"/>
              </w:rPr>
            </w:pPr>
            <w:r>
              <w:rPr>
                <w:rFonts w:ascii="Arial" w:cs="Arial" w:eastAsia="Arial" w:hAnsi="Arial"/>
                <w:sz w:val="18"/>
                <w:szCs w:val="18"/>
                <w:color w:val="auto"/>
              </w:rPr>
              <w:t>Healthcare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technology 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Homodeus,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Mindstrong, Inc.</w:t>
            </w:r>
          </w:p>
        </w:tc>
        <w:tc>
          <w:tcPr>
            <w:tcW w:w="1780" w:type="dxa"/>
            <w:vAlign w:val="bottom"/>
          </w:tcPr>
          <w:p>
            <w:pPr>
              <w:spacing w:after="0"/>
              <w:rPr>
                <w:sz w:val="20"/>
                <w:szCs w:val="20"/>
                <w:color w:val="auto"/>
              </w:rPr>
            </w:pPr>
            <w:r>
              <w:rPr>
                <w:rFonts w:ascii="Arial" w:cs="Arial" w:eastAsia="Arial" w:hAnsi="Arial"/>
                <w:sz w:val="18"/>
                <w:szCs w:val="18"/>
                <w:color w:val="auto"/>
              </w:rPr>
              <w:t>Neuropsychiatric</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healthcare software</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Sestina,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Pharvaris BV</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9019"/>
          </w:cols>
          <w:pgMar w:left="1440" w:top="292" w:right="1440"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98" w:name="page99"/>
    <w:bookmarkEnd w:id="98"/>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Labs</w:t>
            </w:r>
          </w:p>
        </w:tc>
        <w:tc>
          <w:tcPr>
            <w:tcW w:w="1780" w:type="dxa"/>
            <w:vAlign w:val="bottom"/>
          </w:tcPr>
          <w:p>
            <w:pPr>
              <w:spacing w:after="0"/>
              <w:rPr>
                <w:sz w:val="20"/>
                <w:szCs w:val="20"/>
                <w:color w:val="auto"/>
              </w:rPr>
            </w:pPr>
            <w:r>
              <w:rPr>
                <w:rFonts w:ascii="Arial" w:cs="Arial" w:eastAsia="Arial" w:hAnsi="Arial"/>
                <w:sz w:val="18"/>
                <w:szCs w:val="18"/>
                <w:color w:val="auto"/>
              </w:rPr>
              <w:t>Healthcare and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science 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1780" w:type="dxa"/>
            <w:vAlign w:val="bottom"/>
          </w:tcPr>
          <w:p>
            <w:pPr>
              <w:spacing w:after="0"/>
              <w:rPr>
                <w:sz w:val="20"/>
                <w:szCs w:val="20"/>
                <w:color w:val="auto"/>
              </w:rPr>
            </w:pPr>
            <w:r>
              <w:rPr>
                <w:rFonts w:ascii="Arial" w:cs="Arial" w:eastAsia="Arial" w:hAnsi="Arial"/>
                <w:sz w:val="18"/>
                <w:szCs w:val="18"/>
                <w:color w:val="auto"/>
              </w:rPr>
              <w:t>Medical school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Associate Professor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School of Medicine</w:t>
            </w: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Lawrence Berkeley</w:t>
            </w:r>
          </w:p>
        </w:tc>
        <w:tc>
          <w:tcPr>
            <w:tcW w:w="1780" w:type="dxa"/>
            <w:vAlign w:val="bottom"/>
          </w:tcPr>
          <w:p>
            <w:pPr>
              <w:spacing w:after="0"/>
              <w:rPr>
                <w:sz w:val="20"/>
                <w:szCs w:val="20"/>
                <w:color w:val="auto"/>
              </w:rPr>
            </w:pPr>
            <w:r>
              <w:rPr>
                <w:rFonts w:ascii="Arial" w:cs="Arial" w:eastAsia="Arial" w:hAnsi="Arial"/>
                <w:sz w:val="18"/>
                <w:szCs w:val="18"/>
                <w:color w:val="auto"/>
              </w:rPr>
              <w:t>Scientific research</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Affiliate Scientist</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National Laboratory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960" w:type="dxa"/>
            <w:vAlign w:val="bottom"/>
            <w:gridSpan w:val="2"/>
          </w:tcPr>
          <w:p>
            <w:pPr>
              <w:spacing w:after="0"/>
              <w:rPr>
                <w:sz w:val="20"/>
                <w:szCs w:val="20"/>
                <w:color w:val="auto"/>
              </w:rPr>
            </w:pPr>
            <w:r>
              <w:rPr>
                <w:rFonts w:ascii="Arial" w:cs="Arial" w:eastAsia="Arial" w:hAnsi="Arial"/>
                <w:sz w:val="18"/>
                <w:szCs w:val="18"/>
                <w:color w:val="auto"/>
              </w:rPr>
              <w:t>Sangamo</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Beyond Air,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700" w:type="dxa"/>
            <w:vAlign w:val="bottom"/>
            <w:gridSpan w:val="2"/>
          </w:tcPr>
          <w:p>
            <w:pPr>
              <w:spacing w:after="0"/>
              <w:rPr>
                <w:sz w:val="20"/>
                <w:szCs w:val="20"/>
                <w:color w:val="auto"/>
              </w:rPr>
            </w:pPr>
            <w:r>
              <w:rPr>
                <w:rFonts w:ascii="Arial" w:cs="Arial" w:eastAsia="Arial" w:hAnsi="Arial"/>
                <w:sz w:val="18"/>
                <w:szCs w:val="18"/>
                <w:color w:val="auto"/>
              </w:rPr>
              <w:t>Daniel Dubin</w:t>
            </w:r>
          </w:p>
        </w:tc>
        <w:tc>
          <w:tcPr>
            <w:tcW w:w="1960" w:type="dxa"/>
            <w:vAlign w:val="bottom"/>
            <w:gridSpan w:val="2"/>
          </w:tcPr>
          <w:p>
            <w:pPr>
              <w:spacing w:after="0"/>
              <w:rPr>
                <w:sz w:val="20"/>
                <w:szCs w:val="20"/>
                <w:color w:val="auto"/>
              </w:rPr>
            </w:pPr>
            <w:r>
              <w:rPr>
                <w:rFonts w:ascii="Arial" w:cs="Arial" w:eastAsia="Arial" w:hAnsi="Arial"/>
                <w:sz w:val="18"/>
                <w:szCs w:val="18"/>
                <w:color w:val="auto"/>
              </w:rPr>
              <w:t>SVB Leerink</w:t>
            </w:r>
          </w:p>
        </w:tc>
        <w:tc>
          <w:tcPr>
            <w:tcW w:w="1780" w:type="dxa"/>
            <w:vAlign w:val="bottom"/>
          </w:tcPr>
          <w:p>
            <w:pPr>
              <w:spacing w:after="0"/>
              <w:rPr>
                <w:sz w:val="20"/>
                <w:szCs w:val="20"/>
                <w:color w:val="auto"/>
              </w:rPr>
            </w:pPr>
            <w:r>
              <w:rPr>
                <w:rFonts w:ascii="Arial" w:cs="Arial" w:eastAsia="Arial" w:hAnsi="Arial"/>
                <w:sz w:val="18"/>
                <w:szCs w:val="18"/>
                <w:color w:val="auto"/>
              </w:rPr>
              <w:t>Investment bank</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Vice Chairman and Head of</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Biopharma Investment Banking</w:t>
            </w: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Olivo Laboratories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70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960" w:type="dxa"/>
            <w:vAlign w:val="bottom"/>
            <w:gridSpan w:val="2"/>
          </w:tcPr>
          <w:p>
            <w:pPr>
              <w:spacing w:after="0"/>
              <w:rPr>
                <w:sz w:val="20"/>
                <w:szCs w:val="20"/>
                <w:color w:val="auto"/>
              </w:rPr>
            </w:pPr>
            <w:r>
              <w:rPr>
                <w:rFonts w:ascii="Arial" w:cs="Arial" w:eastAsia="Arial" w:hAnsi="Arial"/>
                <w:sz w:val="18"/>
                <w:szCs w:val="18"/>
                <w:color w:val="auto"/>
              </w:rPr>
              <w:t>Delphi Ventures</w:t>
            </w:r>
          </w:p>
        </w:tc>
        <w:tc>
          <w:tcPr>
            <w:tcW w:w="1780" w:type="dxa"/>
            <w:vAlign w:val="bottom"/>
          </w:tcPr>
          <w:p>
            <w:pPr>
              <w:spacing w:after="0"/>
              <w:rPr>
                <w:sz w:val="20"/>
                <w:szCs w:val="20"/>
                <w:color w:val="auto"/>
              </w:rPr>
            </w:pPr>
            <w:r>
              <w:rPr>
                <w:rFonts w:ascii="Arial" w:cs="Arial" w:eastAsia="Arial" w:hAnsi="Arial"/>
                <w:sz w:val="18"/>
                <w:szCs w:val="18"/>
                <w:color w:val="auto"/>
              </w:rPr>
              <w:t>Venture capital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Redd Pharmaceuticals,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Calithera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Karyopharm</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Therapeutics,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Mereo Biopharma</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Group plc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Theravance</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Biopharma, 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3" w:lineRule="exact"/>
        <w:rPr>
          <w:sz w:val="20"/>
          <w:szCs w:val="20"/>
          <w:color w:val="auto"/>
        </w:rPr>
      </w:pPr>
    </w:p>
    <w:p>
      <w:pPr>
        <w:ind w:left="1100" w:right="559" w:hanging="322"/>
        <w:spacing w:after="0" w:line="237"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7" w:lineRule="exact"/>
        <w:rPr>
          <w:rFonts w:ascii="Arial" w:cs="Arial" w:eastAsia="Arial" w:hAnsi="Arial"/>
          <w:sz w:val="18"/>
          <w:szCs w:val="18"/>
          <w:color w:val="auto"/>
        </w:rPr>
      </w:pPr>
    </w:p>
    <w:p>
      <w:pPr>
        <w:ind w:left="1100" w:right="539" w:hanging="322"/>
        <w:spacing w:after="0" w:line="234"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shares in a transaction that will close simultaneously with the closing of this offering. Our initial stockholders have entered into agreements with us, pursuant to which they have agreed to waive their redemption rights with respect to their founder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and private placement shares if we fail to complete our initial business combination within the prescribed time frame or during any Extension Period. Furthermore, our initial stockholders have agreed not to transfer, assign or sell any of their founder shares or private placement shares until the earlier to occur of:</w:t>
      </w:r>
    </w:p>
    <w:p>
      <w:pPr>
        <w:spacing w:after="0" w:line="8" w:lineRule="exact"/>
        <w:rPr>
          <w:rFonts w:ascii="Arial" w:cs="Arial" w:eastAsia="Arial" w:hAnsi="Arial"/>
          <w:sz w:val="18"/>
          <w:szCs w:val="18"/>
          <w:color w:val="auto"/>
        </w:rPr>
      </w:pPr>
    </w:p>
    <w:p>
      <w:pPr>
        <w:ind w:left="1100" w:right="579"/>
        <w:spacing w:after="0" w:line="236" w:lineRule="auto"/>
        <w:rPr>
          <w:rFonts w:ascii="Arial" w:cs="Arial" w:eastAsia="Arial" w:hAnsi="Arial"/>
          <w:sz w:val="18"/>
          <w:szCs w:val="18"/>
          <w:color w:val="auto"/>
        </w:rPr>
      </w:pPr>
      <w:r>
        <w:rPr>
          <w:rFonts w:ascii="Arial" w:cs="Arial" w:eastAsia="Arial" w:hAnsi="Arial"/>
          <w:sz w:val="18"/>
          <w:szCs w:val="18"/>
          <w:color w:val="auto"/>
        </w:rPr>
        <w:t>(i)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99" w:name="page100"/>
    <w:bookmarkEnd w:id="99"/>
    <w:p>
      <w:pPr>
        <w:ind w:left="1100" w:right="519" w:hanging="322"/>
        <w:spacing w:after="0" w:line="238"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secretarial and administrative services provided to members of our management team.</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4"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2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prospectus, and as adjusted to reflect the sale of our Class A common stock offered by this prospectus, and assuming no purchase of Class A common stock in this offering, by:</w:t>
      </w:r>
    </w:p>
    <w:p>
      <w:pPr>
        <w:spacing w:after="0" w:line="27" w:lineRule="exact"/>
        <w:rPr>
          <w:sz w:val="20"/>
          <w:szCs w:val="20"/>
          <w:color w:val="auto"/>
        </w:rPr>
      </w:pPr>
    </w:p>
    <w:p>
      <w:pPr>
        <w:ind w:left="1100" w:right="1039" w:hanging="322"/>
        <w:spacing w:after="0" w:line="246" w:lineRule="auto"/>
        <w:tabs>
          <w:tab w:leader="none" w:pos="10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04" w:lineRule="exact"/>
        <w:rPr>
          <w:sz w:val="20"/>
          <w:szCs w:val="20"/>
          <w:color w:val="auto"/>
        </w:rPr>
      </w:pPr>
    </w:p>
    <w:p>
      <w:pPr>
        <w:ind w:left="460" w:right="979"/>
        <w:spacing w:after="0" w:line="246"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w:t>
      </w:r>
    </w:p>
    <w:p>
      <w:pPr>
        <w:spacing w:after="0" w:line="89"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Mr. Dubin and Ms. Pakianathan.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shares if the underwriters’ over-allotment option is exercised in full, and therefore that such founder shares would represent 20% of the issued and outstanding shares of common stock (excluding the private placement shares) after this offering. Up to 375,000 of the founder shares will be forfeited by our sponsor depending on the extent to which the underwriters’ over-allotment is exercised. The post-offering percentages in the following table assume that the underwriters do not exercise their over-allotment option, that our sponsor has forfeited 375,000 founder shares, and that there are 12,900,000 shares of common stock issued and outstanding after this offering.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Outstanding Common Stock</w:t>
            </w:r>
          </w:p>
        </w:tc>
        <w:tc>
          <w:tcPr>
            <w:tcW w:w="0" w:type="dxa"/>
            <w:vAlign w:val="bottom"/>
          </w:tcPr>
          <w:p>
            <w:pPr>
              <w:spacing w:after="0"/>
              <w:rPr>
                <w:sz w:val="1"/>
                <w:szCs w:val="1"/>
                <w:color w:val="auto"/>
              </w:rPr>
            </w:pPr>
          </w:p>
        </w:tc>
      </w:tr>
      <w:tr>
        <w:trPr>
          <w:trHeight w:val="67"/>
        </w:trPr>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Beneficially</w:t>
            </w: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3"/>
                <w:vertAlign w:val="subscript"/>
              </w:rPr>
              <w:t>Owned</w:t>
            </w:r>
            <w:r>
              <w:rPr>
                <w:rFonts w:ascii="Arial" w:cs="Arial" w:eastAsia="Arial" w:hAnsi="Arial"/>
                <w:sz w:val="8"/>
                <w:szCs w:val="8"/>
                <w:b w:val="1"/>
                <w:bCs w:val="1"/>
                <w:color w:val="auto"/>
                <w:w w:val="93"/>
              </w:rPr>
              <w:t>(2)(4)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Offering</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 Development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84"/>
        </w:trPr>
        <w:tc>
          <w:tcPr>
            <w:tcW w:w="446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2,810,000</w:t>
            </w: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Rome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Robert Carey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Dubin</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spacing w:after="0"/>
              <w:rPr>
                <w:sz w:val="20"/>
                <w:szCs w:val="20"/>
                <w:color w:val="auto"/>
              </w:rPr>
            </w:pPr>
            <w:r>
              <w:rPr>
                <w:rFonts w:ascii="Arial" w:cs="Arial" w:eastAsia="Arial" w:hAnsi="Arial"/>
                <w:sz w:val="18"/>
                <w:szCs w:val="18"/>
                <w:color w:val="auto"/>
              </w:rPr>
              <w:t>Deepa Pakianathan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directors and director nominees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group (7 individuals)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is 600 Montgomery Street, Suite 4500, San Francisco, California 94111.</w:t>
      </w:r>
    </w:p>
    <w:p>
      <w:pPr>
        <w:ind w:left="880" w:right="51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and 400,000 private placement shares to be sold in the private placement that will close simultaneously with the closing of this offering. Such shares will automatically convert into Class A common stock concurrently with or immediately following the consummation of our initial business combination on a one-for-one basis, subject to adjustment, as described in the section entitled “Description of Securities.”</w:t>
      </w:r>
    </w:p>
    <w:p>
      <w:pPr>
        <w:spacing w:after="0" w:line="1" w:lineRule="exact"/>
        <w:rPr>
          <w:rFonts w:ascii="Arial" w:cs="Arial" w:eastAsia="Arial" w:hAnsi="Arial"/>
          <w:sz w:val="13"/>
          <w:szCs w:val="13"/>
          <w:color w:val="auto"/>
        </w:rPr>
      </w:pPr>
    </w:p>
    <w:p>
      <w:pPr>
        <w:ind w:left="880" w:right="499" w:hanging="426"/>
        <w:spacing w:after="0" w:line="234" w:lineRule="auto"/>
        <w:tabs>
          <w:tab w:leader="none" w:pos="8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FS Development Holdings, LLC is the record holder of the shares reported herein. Foresite Capital Management V, LLC (“FCM V”), as the general partner of Foresite Capital Fund V, L.P., the sole member of FS Development Holdings, LLC, has voting and investment discretion with respect to the common stock held of record by FS Development Holdings, LLC. Mr. Tananbaum, in his capacity as managing member of FCM V, may be deemed to have sole voting and investment discretion over these shares. Each of FCM V, its members and Mr. Tananbaum disclaim beneficial ownership of these shares except to the extent of any pecuniary interest therein.</w:t>
      </w:r>
    </w:p>
    <w:p>
      <w:pPr>
        <w:spacing w:after="0" w:line="2" w:lineRule="exact"/>
        <w:rPr>
          <w:rFonts w:ascii="Arial" w:cs="Arial" w:eastAsia="Arial" w:hAnsi="Arial"/>
          <w:sz w:val="12"/>
          <w:szCs w:val="12"/>
          <w:color w:val="auto"/>
        </w:rPr>
      </w:pPr>
    </w:p>
    <w:p>
      <w:pPr>
        <w:ind w:left="880" w:right="859" w:hanging="426"/>
        <w:spacing w:after="0" w:line="230"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up to 375,000 founder shares that will be forfeited by our sponsor depending on the extent to which the underwriters’ over-allotment option is exercised.</w:t>
      </w:r>
    </w:p>
    <w:p>
      <w:pPr>
        <w:spacing w:after="0" w:line="97"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Class A common stock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ind w:left="460" w:right="49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400 private placement shares (or 430,000 private placement shares if the underwriters’ over-allotment option is exercised in full), at a price of $10.00 per private placement share, or $4,000,000 in the aggregate (or $4,300,000 if the underwriters’ over-allotment option is exercised in full), in a private placement that will occur simultaneously with the closing of this offering. A portion of the purchase price of the private placement shares will be added to the proceeds from this offering to be held in the trust account such that at the time of closing of this offering $100 million (or $115 million if the underwriters exercise their over-allotment option in full) will be held in the trust account. Our sponsor has entered into an agreement with us, pursuant to which it has agreed to waive its redemption rights with respect to the private placement shares. Otherwise, the private placement shares have terms and provisions that are identical to those of the shares being sold in this offering.</w:t>
      </w:r>
    </w:p>
    <w:p>
      <w:pPr>
        <w:spacing w:after="0" w:line="124"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FS Development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Shares</w:t>
      </w:r>
    </w:p>
    <w:p>
      <w:pPr>
        <w:spacing w:after="0" w:line="166"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The founder shares and private placement shares each subject to transfer restrictions pursuant to lock-up provisions in the agreements entered into by our initial stockholders and management team. Those lock-up provisions provide that such securities are not transferable or salable until the earlier of</w:t>
      </w:r>
    </w:p>
    <w:p>
      <w:pPr>
        <w:spacing w:after="0" w:line="2" w:lineRule="exact"/>
        <w:rPr>
          <w:sz w:val="20"/>
          <w:szCs w:val="20"/>
          <w:color w:val="auto"/>
        </w:rPr>
      </w:pPr>
    </w:p>
    <w:p>
      <w:pPr>
        <w:ind w:left="460" w:right="499" w:hanging="6"/>
        <w:spacing w:after="0" w:line="236" w:lineRule="auto"/>
        <w:tabs>
          <w:tab w:leader="none" w:pos="7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shares, we will be obligated to register up to 3,455,000 shares of Class A common stock. The number of shares of Class A common stock includes (i) 2,875,000 shares of Class A common stock to be issued upon conversion of the founder shares, (ii) 430,000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In July 2020, our sponsor transferred 30,000 founder shares to each of Mr. Carey, Mr. Dubin and Ms. Pakianathan. The number of founder shares outstanding was determined based on the expectation that the total size of this offering would be a maximum of 11,500,000 Class A shares if the underwriters’ over-allotment option is exercised in full, and therefore that such founder shares would represent 20% of the issued and outstanding shares of common stock (excluding the private placement shares) after this offering. Up to 375,000 of the founder shares will be forfeited by our sponsor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2"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Our sponsor has committed, pursuant to a written agreement, to purchase an aggregate of 400,000 private placement shares (or 430,000 private placement shares if the underwriters’ over-allotment option is exercised in full), at a price of $10.00 per share, or $4,000,000 in the aggregate (or $4,300,000 if the underwriters’ over-allotment option is exercised in full), in a private placement that will close simultaneously with the closing of this offering. The private placement shares may not, subject to certain limited exceptions, be transferred, assigned or sold until 30 days after the completion of our initial business combination.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2"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5"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460" w:right="579"/>
        <w:spacing w:after="0"/>
        <w:rPr>
          <w:sz w:val="20"/>
          <w:szCs w:val="20"/>
          <w:color w:val="auto"/>
        </w:rPr>
      </w:pPr>
      <w:r>
        <w:rPr>
          <w:rFonts w:ascii="Arial" w:cs="Arial" w:eastAsia="Arial" w:hAnsi="Arial"/>
          <w:sz w:val="18"/>
          <w:szCs w:val="18"/>
          <w:color w:val="auto"/>
        </w:rPr>
        <w:t>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2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sponsor has indicated an interest to purchase an aggregate of $25,000,000 of shares of our Class A common stock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post-transaction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138"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have entered into a registration rights agreement with respect to the founder shares and private placement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111,000,000 shares of common stock, $0.0001 par value each, including 100,000,000 shares of Class A common stock and 10,000,000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2,875,000 shares of Class B common stock outstanding, all of which were held of record by our initial stockholders, so that our initial stockholders will own 20% of our issued and outstanding shares of common stock after this offering (excluding the private placement shares and assuming our initial stockholders do not purchase any shares of Class A common stock in this offering). Up to 375,000 of the founder shares will be forfeited by our sponsor depending on the extent to which the underwriters’ over-allotment is exercised. Upon the closing of this offering, 12,900,000 of our shares of common stock will be outstanding (assuming no exercise of the underwriters’ over-allotment option and the corresponding forfeiture of 375,000 founder shares by our sponsor) including:</w:t>
      </w:r>
    </w:p>
    <w:p>
      <w:pPr>
        <w:spacing w:after="0" w:line="31" w:lineRule="exact"/>
        <w:rPr>
          <w:sz w:val="20"/>
          <w:szCs w:val="20"/>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10,000,000 shares of Class A common stock issued as part of this offering;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400,000 shares of Class A common stock issued as private placement shares;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2,500,000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3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100,000,000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ectPr>
          <w:pgSz w:w="11900" w:h="16838" w:orient="portrait"/>
          <w:cols w:equalWidth="0" w:num="1">
            <w:col w:w="9019"/>
          </w:cols>
          <w:pgMar w:left="1440" w:top="333"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5" w:name="page106"/>
    <w:bookmarkEnd w:id="105"/>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issued and outstanding shares of common stock, non-votes will have no effect on the approval of our initial business combination once a quorum is obtained.</w:t>
      </w:r>
    </w:p>
    <w:p>
      <w:pPr>
        <w:spacing w:after="0" w:line="11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19"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and private placement shares, we would need 3,550,001, or 35.5%, of the 10,000,000 public shares sold in this offering to be voted in favor of an initial business combination in order to have our initial business combination approved (assuming all issued and outstanding shares of common stock are voted, the private placement shares to be issued to our sponsor are voted in favor of the transaction and the over-allotment option is not exercised). Additionally, each public stockholder may elect to redeem their public shares irrespective of whether they vote for or against the proposed transaction.</w:t>
      </w:r>
    </w:p>
    <w:p>
      <w:pPr>
        <w:spacing w:after="0" w:line="12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06" w:name="page107"/>
    <w:bookmarkEnd w:id="106"/>
    <w:p>
      <w:pPr>
        <w:ind w:left="460" w:right="499"/>
        <w:spacing w:after="0" w:line="235" w:lineRule="auto"/>
        <w:rPr>
          <w:sz w:val="20"/>
          <w:szCs w:val="20"/>
          <w:color w:val="auto"/>
        </w:rPr>
      </w:pPr>
      <w:r>
        <w:rPr>
          <w:rFonts w:ascii="Arial" w:cs="Arial" w:eastAsia="Arial" w:hAnsi="Arial"/>
          <w:sz w:val="18"/>
          <w:szCs w:val="18"/>
          <w:color w:val="auto"/>
        </w:rPr>
        <w:t>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 and Private Placement Shares</w:t>
      </w:r>
    </w:p>
    <w:p>
      <w:pPr>
        <w:spacing w:after="0" w:line="139"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The founder shares are designated as Class B common stock and, except as described below, are identical to the shares of Class A common stock being sold in this offering, and holders of founder shares and private placement have the same stockholder rights as public stockholders, except that</w:t>
      </w:r>
    </w:p>
    <w:p>
      <w:pPr>
        <w:spacing w:after="0" w:line="2" w:lineRule="exact"/>
        <w:rPr>
          <w:sz w:val="20"/>
          <w:szCs w:val="20"/>
          <w:color w:val="auto"/>
        </w:rPr>
      </w:pPr>
    </w:p>
    <w:p>
      <w:pPr>
        <w:ind w:left="460" w:right="479" w:hanging="6"/>
        <w:spacing w:after="0" w:line="249" w:lineRule="auto"/>
        <w:tabs>
          <w:tab w:leader="none" w:pos="6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founder shares and private placement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private placement shares and public shares they hold in connection with the completion of our initial business combination, (B) to waive their redemption rights with respect to any founder shares, private placement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and private placement shares they hold if we fail to complete our initial business combination within 24 months from the closing of this offering or during any Extension Period, although they will be entitled to liquidating distributions from the trust account with respect to any public shares and private placement shares they hold if we fail to complete our initial business combination within such time period, and</w:t>
      </w:r>
    </w:p>
    <w:p>
      <w:pPr>
        <w:spacing w:after="0" w:line="197" w:lineRule="exact"/>
        <w:rPr>
          <w:rFonts w:ascii="Arial" w:cs="Arial" w:eastAsia="Arial" w:hAnsi="Arial"/>
          <w:sz w:val="17"/>
          <w:szCs w:val="17"/>
          <w:color w:val="auto"/>
        </w:rPr>
      </w:pPr>
    </w:p>
    <w:p>
      <w:pPr>
        <w:ind w:left="460" w:right="479" w:hanging="6"/>
        <w:spacing w:after="0" w:line="237" w:lineRule="auto"/>
        <w:tabs>
          <w:tab w:leader="none" w:pos="7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private placement shares and any public shares purchased during or after this offering in favor of our initial business combination.</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founder shares and private placement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w:t>
      </w:r>
    </w:p>
    <w:p>
      <w:pPr>
        <w:sectPr>
          <w:pgSz w:w="11900" w:h="16838" w:orient="portrait"/>
          <w:cols w:equalWidth="0" w:num="1">
            <w:col w:w="9019"/>
          </w:cols>
          <w:pgMar w:left="1440" w:top="26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07" w:name="page108"/>
    <w:bookmarkEnd w:id="107"/>
    <w:p>
      <w:pPr>
        <w:ind w:left="460" w:right="479"/>
        <w:spacing w:after="0" w:line="236" w:lineRule="auto"/>
        <w:rPr>
          <w:sz w:val="20"/>
          <w:szCs w:val="20"/>
          <w:color w:val="auto"/>
        </w:rPr>
      </w:pPr>
      <w:r>
        <w:rPr>
          <w:rFonts w:ascii="Arial" w:cs="Arial" w:eastAsia="Arial" w:hAnsi="Arial"/>
          <w:sz w:val="18"/>
          <w:szCs w:val="18"/>
          <w:color w:val="auto"/>
        </w:rPr>
        <w:t>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124"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With certain limited exceptions, the founder shares and private placement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375,000 founder shares will be forfeited by our sponsor depending on the exercise of the over-allotment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 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transfer agent for our common stock is Continental Stock Transfer &amp; Trust Company. We have agreed to indemnify Continental Stock Transfer &amp; Trust Company in its role as transfer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8" w:name="page109"/>
    <w:bookmarkEnd w:id="108"/>
    <w:p>
      <w:pPr>
        <w:ind w:left="460" w:right="699"/>
        <w:spacing w:after="0" w:line="238" w:lineRule="auto"/>
        <w:rPr>
          <w:sz w:val="20"/>
          <w:szCs w:val="20"/>
          <w:color w:val="auto"/>
        </w:rPr>
      </w:pPr>
      <w:r>
        <w:rPr>
          <w:rFonts w:ascii="Arial" w:cs="Arial" w:eastAsia="Arial" w:hAnsi="Arial"/>
          <w:sz w:val="18"/>
          <w:szCs w:val="18"/>
          <w:color w:val="auto"/>
        </w:rPr>
        <w:t>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39" w:lineRule="exact"/>
        <w:rPr>
          <w:sz w:val="20"/>
          <w:szCs w:val="20"/>
          <w:color w:val="auto"/>
        </w:rPr>
      </w:pPr>
    </w:p>
    <w:p>
      <w:pPr>
        <w:ind w:left="460" w:right="859"/>
        <w:spacing w:after="0" w:line="248"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w:t>
      </w:r>
    </w:p>
    <w:p>
      <w:pPr>
        <w:spacing w:after="0" w:line="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65% of all then issued and outstanding shares of common stock. Our initial stockholders, who will collectively beneficially own 20% of our common stock upon the closing of this offering (excluding the private placement shares and assuming they do not purchase any shares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29" w:lineRule="exact"/>
        <w:rPr>
          <w:sz w:val="20"/>
          <w:szCs w:val="20"/>
          <w:color w:val="auto"/>
        </w:rPr>
      </w:pPr>
    </w:p>
    <w:p>
      <w:pPr>
        <w:ind w:left="1100" w:right="699" w:hanging="322"/>
        <w:spacing w:after="0" w:line="248" w:lineRule="auto"/>
        <w:tabs>
          <w:tab w:leader="none" w:pos="10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29" w:lineRule="exact"/>
        <w:rPr>
          <w:rFonts w:ascii="Arial" w:cs="Arial" w:eastAsia="Arial" w:hAnsi="Arial"/>
          <w:sz w:val="18"/>
          <w:szCs w:val="18"/>
          <w:color w:val="auto"/>
        </w:rPr>
      </w:pPr>
    </w:p>
    <w:p>
      <w:pPr>
        <w:ind w:left="1100" w:right="499" w:hanging="322"/>
        <w:spacing w:after="0" w:line="23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7" w:lineRule="exact"/>
        <w:rPr>
          <w:rFonts w:ascii="Arial" w:cs="Arial" w:eastAsia="Arial" w:hAnsi="Arial"/>
          <w:sz w:val="18"/>
          <w:szCs w:val="18"/>
          <w:color w:val="auto"/>
        </w:rPr>
      </w:pPr>
    </w:p>
    <w:p>
      <w:pPr>
        <w:ind w:left="1100" w:right="499" w:hanging="322"/>
        <w:spacing w:after="0" w:line="237"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w:t>
      </w:r>
    </w:p>
    <w:p>
      <w:pPr>
        <w:sectPr>
          <w:pgSz w:w="11900" w:h="16838" w:orient="portrait"/>
          <w:cols w:equalWidth="0" w:num="1">
            <w:col w:w="9019"/>
          </w:cols>
          <w:pgMar w:left="1440" w:top="26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09" w:name="page110"/>
    <w:bookmarkEnd w:id="109"/>
    <w:p>
      <w:pPr>
        <w:ind w:left="1100" w:right="619"/>
        <w:spacing w:after="0" w:line="246" w:lineRule="auto"/>
        <w:rPr>
          <w:sz w:val="20"/>
          <w:szCs w:val="20"/>
          <w:color w:val="auto"/>
        </w:rPr>
      </w:pPr>
      <w:r>
        <w:rPr>
          <w:rFonts w:ascii="Arial" w:cs="Arial" w:eastAsia="Arial" w:hAnsi="Arial"/>
          <w:sz w:val="18"/>
          <w:szCs w:val="18"/>
          <w:color w:val="auto"/>
        </w:rPr>
        <w:t>previously released to us to pay our taxes, divided by the number of then outstanding public shares, subject to the limitations described herein; and</w:t>
      </w:r>
    </w:p>
    <w:p>
      <w:pPr>
        <w:spacing w:after="0" w:line="8" w:lineRule="exact"/>
        <w:rPr>
          <w:sz w:val="20"/>
          <w:szCs w:val="20"/>
          <w:color w:val="auto"/>
        </w:rPr>
      </w:pPr>
    </w:p>
    <w:p>
      <w:pPr>
        <w:ind w:left="1100" w:right="559" w:hanging="322"/>
        <w:spacing w:after="0" w:line="246"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29"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4" w:lineRule="exact"/>
        <w:rPr>
          <w:sz w:val="20"/>
          <w:szCs w:val="20"/>
          <w:color w:val="auto"/>
        </w:rPr>
      </w:pPr>
    </w:p>
    <w:p>
      <w:pPr>
        <w:ind w:left="1100" w:right="539" w:hanging="322"/>
        <w:spacing w:after="0" w:line="24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right="1359" w:hanging="322"/>
        <w:spacing w:after="0" w:line="24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16"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21" w:lineRule="exact"/>
        <w:rPr>
          <w:sz w:val="20"/>
          <w:szCs w:val="20"/>
          <w:color w:val="auto"/>
        </w:rPr>
      </w:pPr>
    </w:p>
    <w:p>
      <w:pPr>
        <w:ind w:left="1100" w:right="979" w:hanging="322"/>
        <w:spacing w:after="0" w:line="246"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539" w:hanging="322"/>
        <w:spacing w:after="0"/>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 w:lineRule="exact"/>
        <w:rPr>
          <w:rFonts w:ascii="Arial" w:cs="Arial" w:eastAsia="Arial" w:hAnsi="Arial"/>
          <w:sz w:val="18"/>
          <w:szCs w:val="18"/>
          <w:color w:val="auto"/>
        </w:rPr>
      </w:pPr>
    </w:p>
    <w:p>
      <w:pPr>
        <w:ind w:left="1100" w:right="599" w:hanging="322"/>
        <w:spacing w:after="0" w:line="238"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0" w:name="page111"/>
    <w:bookmarkEnd w:id="110"/>
    <w:p>
      <w:pPr>
        <w:ind w:left="460" w:right="519"/>
        <w:spacing w:after="0" w:line="238" w:lineRule="auto"/>
        <w:rPr>
          <w:sz w:val="20"/>
          <w:szCs w:val="20"/>
          <w:color w:val="auto"/>
        </w:rPr>
      </w:pPr>
      <w:r>
        <w:rPr>
          <w:rFonts w:ascii="Arial" w:cs="Arial" w:eastAsia="Arial" w:hAnsi="Arial"/>
          <w:sz w:val="18"/>
          <w:szCs w:val="18"/>
          <w:color w:val="auto"/>
        </w:rPr>
        <w:t>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66"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issued and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1" w:name="page112"/>
    <w:bookmarkEnd w:id="111"/>
    <w:p>
      <w:pPr>
        <w:jc w:val="both"/>
        <w:ind w:left="460" w:right="539"/>
        <w:spacing w:after="0"/>
        <w:rPr>
          <w:sz w:val="20"/>
          <w:szCs w:val="20"/>
          <w:color w:val="auto"/>
        </w:rPr>
      </w:pPr>
      <w:r>
        <w:rPr>
          <w:rFonts w:ascii="Arial" w:cs="Arial" w:eastAsia="Arial" w:hAnsi="Arial"/>
          <w:sz w:val="18"/>
          <w:szCs w:val="18"/>
          <w:color w:val="auto"/>
        </w:rPr>
        <w:t>holders of the outstanding Class B common stock having not less than the minimum number of votes that would be necessary to authorize or take such action at a meeting at which all shares of Class B common stock were present and voted.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Immediately after this offering we will have 12,900,000 (or 14,805,000 if the underwriters’ over-allotment option is exercised in full) shares of common stock outstanding. Of these shares, the shares of Class A common stock sold in this offering (10,000,000 Class A common stock if the underwriters’ over-allotment option is not exercised and 11,500,000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(2,500,000 founder shares if the underwriters’ over-allotment option is not exercised and 2,875,000 founder shares if the underwriters’ over-allotment option is exercised in full) and all of the outstanding private placement shares (400,000 shares if the underwriters’ over-allotment option is not exercised and 430,000 shares if the underwriters’ over-allotment option is exercised in full) will be restricted securities under Rule 144, in that they were issued in private transactions not involving a public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7"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 w:lineRule="exact"/>
        <w:rPr>
          <w:sz w:val="20"/>
          <w:szCs w:val="20"/>
          <w:color w:val="auto"/>
        </w:rPr>
      </w:pPr>
    </w:p>
    <w:p>
      <w:pPr>
        <w:jc w:val="both"/>
        <w:ind w:left="1100" w:right="479" w:hanging="322"/>
        <w:spacing w:after="0"/>
        <w:tabs>
          <w:tab w:leader="none" w:pos="10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129,000 shares immediately after this offering (or 148,050 if the underwriters exercise in full their over-allotment option); or</w:t>
      </w:r>
    </w:p>
    <w:p>
      <w:pPr>
        <w:spacing w:after="0" w:line="27" w:lineRule="exact"/>
        <w:rPr>
          <w:rFonts w:ascii="Arial" w:cs="Arial" w:eastAsia="Arial" w:hAnsi="Arial"/>
          <w:sz w:val="18"/>
          <w:szCs w:val="18"/>
          <w:color w:val="auto"/>
        </w:rPr>
      </w:pPr>
    </w:p>
    <w:p>
      <w:pPr>
        <w:ind w:left="1100" w:right="899" w:hanging="322"/>
        <w:spacing w:after="0" w:line="274" w:lineRule="auto"/>
        <w:tabs>
          <w:tab w:leader="none" w:pos="103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Class A common stock during the four calendar weeks preceding the filing of a notice on Form 144 with respect to the sale.</w:t>
      </w:r>
    </w:p>
    <w:p>
      <w:pPr>
        <w:spacing w:after="0" w:line="107"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3"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11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7" w:lineRule="exact"/>
        <w:rPr>
          <w:rFonts w:ascii="Arial" w:cs="Arial" w:eastAsia="Arial" w:hAnsi="Arial"/>
          <w:sz w:val="18"/>
          <w:szCs w:val="18"/>
          <w:color w:val="auto"/>
        </w:rPr>
      </w:pPr>
    </w:p>
    <w:p>
      <w:pPr>
        <w:ind w:left="1100" w:right="539" w:hanging="322"/>
        <w:spacing w:after="0"/>
        <w:tabs>
          <w:tab w:leader="none" w:pos="10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7" w:lineRule="exact"/>
        <w:rPr>
          <w:rFonts w:ascii="Arial" w:cs="Arial" w:eastAsia="Arial" w:hAnsi="Arial"/>
          <w:sz w:val="18"/>
          <w:szCs w:val="18"/>
          <w:color w:val="auto"/>
        </w:rPr>
      </w:pPr>
    </w:p>
    <w:p>
      <w:pPr>
        <w:jc w:val="both"/>
        <w:ind w:left="1100" w:right="1219" w:hanging="322"/>
        <w:spacing w:after="0" w:line="274" w:lineRule="auto"/>
        <w:tabs>
          <w:tab w:leader="none" w:pos="103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2" w:name="page113"/>
    <w:bookmarkEnd w:id="112"/>
    <w:p>
      <w:pPr>
        <w:ind w:left="460" w:right="47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shares,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shares, which will be issued in a private placement simultaneously with the closing of this offering and (iii) private placement shares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shares, we will be obligated to register up to 3,455,000 shares of Class A common stock. The number of shares of Class A common stock includes (i) 2,875,000 shares of Class A common stock to be issued upon conversion of the founder shares, (ii) 430,000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6"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We have applied to have our shares of Class A common stock listed on Nasdaq under the symbol “FSDC” commencing on or promptly after the date of this prospectus.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679"/>
        <w:spacing w:after="0"/>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Class A common stock, which we refer to as our securities.</w:t>
      </w:r>
    </w:p>
    <w:p>
      <w:pPr>
        <w:spacing w:after="0" w:line="122" w:lineRule="exact"/>
        <w:rPr>
          <w:sz w:val="20"/>
          <w:szCs w:val="20"/>
          <w:color w:val="auto"/>
        </w:rPr>
      </w:pPr>
    </w:p>
    <w:p>
      <w:pPr>
        <w:jc w:val="both"/>
        <w:ind w:left="460" w:right="519"/>
        <w:spacing w:after="0" w:line="248"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shares of Class A common stock pursuant to this offering and hold the Class A common stock as a capital asset within the meaning of Section 1221 of the U.S.</w:t>
      </w:r>
    </w:p>
    <w:p>
      <w:pPr>
        <w:spacing w:after="0" w:line="2" w:lineRule="exact"/>
        <w:rPr>
          <w:sz w:val="20"/>
          <w:szCs w:val="20"/>
          <w:color w:val="auto"/>
        </w:rPr>
      </w:pPr>
    </w:p>
    <w:p>
      <w:pPr>
        <w:ind w:left="460" w:right="839"/>
        <w:spacing w:after="0" w:line="238" w:lineRule="auto"/>
        <w:rPr>
          <w:sz w:val="20"/>
          <w:szCs w:val="20"/>
          <w:color w:val="auto"/>
        </w:rPr>
      </w:pPr>
      <w:r>
        <w:rPr>
          <w:rFonts w:ascii="Arial" w:cs="Arial" w:eastAsia="Arial" w:hAnsi="Arial"/>
          <w:sz w:val="18"/>
          <w:szCs w:val="18"/>
          <w:color w:val="auto"/>
        </w:rPr>
        <w:t>Internal Revenue Code of 1986, as amended (the “Code”). This discussion assumes that any distributions made (or deemed made) by us on our Class A common stock and any consideration received (or deemed received) by a holder in consideration for the sale or other disposition of our securities will be in U.S. dollars.</w:t>
      </w:r>
    </w:p>
    <w:p>
      <w:pPr>
        <w:spacing w:after="0" w:line="137"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9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103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61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transaction or similar transaction;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jc w:val="both"/>
        <w:ind w:left="1100" w:right="879" w:hanging="322"/>
        <w:spacing w:after="0" w:line="246" w:lineRule="auto"/>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If a partnership (including an entity or arrangement treated as a partnership or other pass-through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4" w:name="page115"/>
    <w:bookmarkEnd w:id="114"/>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499"/>
        <w:spacing w:after="0" w:line="246"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Class A common stock who or that is, for U.S. federal income tax purposes:</w:t>
      </w:r>
    </w:p>
    <w:p>
      <w:pPr>
        <w:spacing w:after="0" w:line="21" w:lineRule="exact"/>
        <w:rPr>
          <w:sz w:val="20"/>
          <w:szCs w:val="20"/>
          <w:color w:val="auto"/>
        </w:rPr>
      </w:pPr>
    </w:p>
    <w:p>
      <w:pPr>
        <w:ind w:left="1040" w:hanging="262"/>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739" w:hanging="322"/>
        <w:spacing w:after="0" w:line="238"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519"/>
        <w:spacing w:after="0" w:line="256" w:lineRule="auto"/>
        <w:rPr>
          <w:sz w:val="20"/>
          <w:szCs w:val="20"/>
          <w:color w:val="auto"/>
        </w:rPr>
      </w:pPr>
      <w:r>
        <w:rPr>
          <w:rFonts w:ascii="Arial" w:cs="Arial" w:eastAsia="Arial" w:hAnsi="Arial"/>
          <w:sz w:val="17"/>
          <w:szCs w:val="17"/>
          <w:i w:val="1"/>
          <w:iCs w:val="1"/>
          <w:color w:val="auto"/>
        </w:rPr>
        <w:t xml:space="preserve">Taxation of Distributions. </w:t>
      </w:r>
      <w:r>
        <w:rPr>
          <w:rFonts w:ascii="Arial" w:cs="Arial" w:eastAsia="Arial" w:hAnsi="Arial"/>
          <w:sz w:val="17"/>
          <w:szCs w:val="17"/>
          <w:color w:val="auto"/>
        </w:rPr>
        <w:t>If we pay distributions in cash or other property (other than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5" w:name="page116"/>
    <w:bookmarkEnd w:id="115"/>
    <w:p>
      <w:pPr>
        <w:ind w:left="460" w:right="619"/>
        <w:spacing w:after="0"/>
        <w:rPr>
          <w:sz w:val="20"/>
          <w:szCs w:val="20"/>
          <w:color w:val="auto"/>
        </w:rPr>
      </w:pPr>
      <w:r>
        <w:rPr>
          <w:rFonts w:ascii="Arial" w:cs="Arial" w:eastAsia="Arial" w:hAnsi="Arial"/>
          <w:sz w:val="18"/>
          <w:szCs w:val="18"/>
          <w:color w:val="auto"/>
        </w:rPr>
        <w:t>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122"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Gain or Loss on Sale, Taxable Exchange or Other Taxable Disposition of Class A Common Stock. </w:t>
      </w:r>
      <w:r>
        <w:rPr>
          <w:rFonts w:ascii="Arial" w:cs="Arial" w:eastAsia="Arial" w:hAnsi="Arial"/>
          <w:sz w:val="18"/>
          <w:szCs w:val="18"/>
          <w:color w:val="auto"/>
        </w:rPr>
        <w:t>Upon a sale or other taxable disposition of our Class A common stock (which,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include a redemption of Class A common stock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3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so disposed of. A U.S. holder’s adjusted tax basis in its Class A common stock generally will equal the U.S. holder’s acquisition cost less any prior distributions treated as a return of capital.</w:t>
      </w:r>
    </w:p>
    <w:p>
      <w:pPr>
        <w:spacing w:after="0" w:line="10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(such open market purchase of Class A common stock by us is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6" w:name="page117"/>
    <w:bookmarkEnd w:id="116"/>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31"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If none of the foregoing tests is satisfied, then the redemption of any Class A common stock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possibly to the U.S. holder’s adjusted tax basis in other stock constructively owned by it.</w:t>
      </w:r>
    </w:p>
    <w:p>
      <w:pPr>
        <w:spacing w:after="0" w:line="119"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53"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Class A common stock who or that is for U.S. federal income tax purposes:</w:t>
      </w:r>
    </w:p>
    <w:p>
      <w:pPr>
        <w:spacing w:after="0" w:line="27" w:lineRule="exact"/>
        <w:rPr>
          <w:sz w:val="20"/>
          <w:szCs w:val="20"/>
          <w:color w:val="auto"/>
        </w:rPr>
      </w:pPr>
    </w:p>
    <w:p>
      <w:pPr>
        <w:ind w:left="1100" w:right="839" w:hanging="322"/>
        <w:spacing w:after="0" w:line="246" w:lineRule="auto"/>
        <w:tabs>
          <w:tab w:leader="none" w:pos="10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44"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Class A common stock.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we make to a Non-U.S. holder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7" w:name="page118"/>
    <w:bookmarkEnd w:id="117"/>
    <w:p>
      <w:pPr>
        <w:ind w:left="460" w:right="519"/>
        <w:spacing w:after="0" w:line="248" w:lineRule="auto"/>
        <w:rPr>
          <w:sz w:val="20"/>
          <w:szCs w:val="20"/>
          <w:color w:val="auto"/>
        </w:rPr>
      </w:pPr>
      <w:r>
        <w:rPr>
          <w:rFonts w:ascii="Arial" w:cs="Arial" w:eastAsia="Arial" w:hAnsi="Arial"/>
          <w:sz w:val="17"/>
          <w:szCs w:val="17"/>
          <w:color w:val="auto"/>
        </w:rPr>
        <w:t>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w:t>
      </w:r>
    </w:p>
    <w:p>
      <w:pPr>
        <w:spacing w:after="0" w:line="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 Gain on Sale, Taxable Exchange or Other Taxable Disposition of Class A Common Stock” below. In addition, if we determine that we are likely to be classified as a “United States real property holding corporation” (see “Non-U.S. Holders — Gain on Sale, Taxable Exchange or Other Taxable Disposition of Class A Common Stock” below), we will withhold 15% of any distribution that exceeds our current and accumulated earnings and profits.</w:t>
      </w:r>
    </w:p>
    <w:p>
      <w:pPr>
        <w:spacing w:after="0" w:line="12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17"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w:t>
      </w: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24 months from the closing of this offering, unless:</w:t>
      </w:r>
    </w:p>
    <w:p>
      <w:pPr>
        <w:spacing w:after="0" w:line="27" w:lineRule="exact"/>
        <w:rPr>
          <w:sz w:val="20"/>
          <w:szCs w:val="20"/>
          <w:color w:val="auto"/>
        </w:rPr>
      </w:pPr>
    </w:p>
    <w:p>
      <w:pPr>
        <w:ind w:left="1100" w:right="559" w:hanging="322"/>
        <w:spacing w:after="0" w:line="259" w:lineRule="auto"/>
        <w:tabs>
          <w:tab w:leader="none" w:pos="103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719"/>
        <w:spacing w:after="0" w:line="255" w:lineRule="auto"/>
        <w:rPr>
          <w:sz w:val="20"/>
          <w:szCs w:val="20"/>
          <w:color w:val="auto"/>
        </w:rPr>
      </w:pPr>
      <w:r>
        <w:rPr>
          <w:rFonts w:ascii="Arial" w:cs="Arial" w:eastAsia="Arial" w:hAnsi="Arial"/>
          <w:sz w:val="17"/>
          <w:szCs w:val="17"/>
          <w:color w:val="auto"/>
        </w:rPr>
        <w:t>— Gain on Sale, Taxable Exchange or Other Taxable Disposition of Class A Common Stock,”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8" w:name="page119"/>
    <w:bookmarkEnd w:id="118"/>
    <w:p>
      <w:pPr>
        <w:ind w:left="460" w:right="499"/>
        <w:spacing w:after="0" w:line="236" w:lineRule="auto"/>
        <w:rPr>
          <w:sz w:val="20"/>
          <w:szCs w:val="20"/>
          <w:color w:val="auto"/>
        </w:rPr>
      </w:pPr>
      <w:r>
        <w:rPr>
          <w:rFonts w:ascii="Arial" w:cs="Arial" w:eastAsia="Arial" w:hAnsi="Arial"/>
          <w:sz w:val="18"/>
          <w:szCs w:val="18"/>
          <w:color w:val="auto"/>
        </w:rPr>
        <w:t>what extent) a Non-U.S. holder is treated as receiving a dividend for U.S. federal income tax purposes. Therefore, we or the applicable withholding agent may withhold tax at a rate of 30% on the gross amount of any consideration paid to a Non-U.S. holder in redemption of 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108"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shares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i w:val="1"/>
          <w:iCs w:val="1"/>
          <w:color w:val="auto"/>
        </w:rPr>
        <w:t xml:space="preserve">FATCA Withholding Taxes. </w:t>
      </w:r>
      <w:r>
        <w:rPr>
          <w:rFonts w:ascii="Arial" w:cs="Arial" w:eastAsia="Arial" w:hAnsi="Arial"/>
          <w:sz w:val="17"/>
          <w:szCs w:val="17"/>
          <w:color w:val="auto"/>
        </w:rPr>
        <w:t>Provisions commonly referred to as “FATCA” impose withholding of 30%</w:t>
      </w:r>
      <w:r>
        <w:rPr>
          <w:rFonts w:ascii="Arial" w:cs="Arial" w:eastAsia="Arial" w:hAnsi="Arial"/>
          <w:sz w:val="17"/>
          <w:szCs w:val="17"/>
          <w:i w:val="1"/>
          <w:iCs w:val="1"/>
          <w:color w:val="auto"/>
        </w:rPr>
        <w:t xml:space="preserve"> </w:t>
      </w:r>
      <w:r>
        <w:rPr>
          <w:rFonts w:ascii="Arial" w:cs="Arial" w:eastAsia="Arial" w:hAnsi="Arial"/>
          <w:sz w:val="17"/>
          <w:szCs w:val="17"/>
          <w:color w:val="auto"/>
        </w:rPr>
        <w:t>on payments of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spacing w:after="0"/>
        <w:tabs>
          <w:tab w:leader="none" w:pos="7580" w:val="left"/>
        </w:tabs>
        <w:rPr>
          <w:sz w:val="20"/>
          <w:szCs w:val="20"/>
          <w:color w:val="auto"/>
        </w:rPr>
      </w:pPr>
      <w:r>
        <w:rPr>
          <w:rFonts w:ascii="Arial" w:cs="Arial" w:eastAsia="Arial" w:hAnsi="Arial"/>
          <w:sz w:val="18"/>
          <w:szCs w:val="18"/>
          <w:color w:val="auto"/>
        </w:rPr>
        <w:t>Subject to the terms and conditions set forth in the underwriting agreement, dated</w:t>
      </w:r>
      <w:r>
        <w:rPr>
          <w:sz w:val="20"/>
          <w:szCs w:val="20"/>
          <w:color w:val="auto"/>
        </w:rPr>
        <w:tab/>
      </w:r>
      <w:r>
        <w:rPr>
          <w:rFonts w:ascii="Arial" w:cs="Arial" w:eastAsia="Arial" w:hAnsi="Arial"/>
          <w:sz w:val="17"/>
          <w:szCs w:val="17"/>
          <w:color w:val="auto"/>
        </w:rPr>
        <w:t>, between</w:t>
      </w:r>
    </w:p>
    <w:p>
      <w:pPr>
        <w:ind w:left="460" w:right="519"/>
        <w:spacing w:after="0" w:line="238" w:lineRule="auto"/>
        <w:rPr>
          <w:sz w:val="20"/>
          <w:szCs w:val="20"/>
          <w:color w:val="auto"/>
        </w:rPr>
      </w:pPr>
      <w:r>
        <w:rPr>
          <w:rFonts w:ascii="Arial" w:cs="Arial" w:eastAsia="Arial" w:hAnsi="Arial"/>
          <w:sz w:val="18"/>
          <w:szCs w:val="18"/>
          <w:color w:val="auto"/>
        </w:rPr>
        <w:t>us and Jefferies LLC, as the representatives of the underwriters named below and the book running manager of this offering, we have agreed to sell to the underwriters, and each of the underwriters has agreed, severally and not jointly, to purchase from us, the respective number of shares of Class A common stock shown opposite its name below:</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of Class</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200" w:type="dxa"/>
            <w:vAlign w:val="bottom"/>
            <w:tcBorders>
              <w:bottom w:val="single" w:sz="8" w:color="CCEEFF"/>
            </w:tcBorders>
            <w:shd w:val="clear" w:color="auto" w:fill="CCEEFF"/>
          </w:tcPr>
          <w:p>
            <w:pPr>
              <w:spacing w:after="0"/>
              <w:rPr>
                <w:sz w:val="22"/>
                <w:szCs w:val="22"/>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137"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The underwriters are offering the shares subject to their acceptance of the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619"/>
        <w:spacing w:after="0" w:line="248" w:lineRule="auto"/>
        <w:rPr>
          <w:sz w:val="20"/>
          <w:szCs w:val="20"/>
          <w:color w:val="auto"/>
        </w:rPr>
      </w:pPr>
      <w:r>
        <w:rPr>
          <w:rFonts w:ascii="Arial" w:cs="Arial" w:eastAsia="Arial" w:hAnsi="Arial"/>
          <w:sz w:val="17"/>
          <w:szCs w:val="17"/>
          <w:color w:val="auto"/>
        </w:rPr>
        <w:t>The underwriters have advised us that they propose to offer the shares to the public at the initial public offering price set forth on the cover page of this prospectus and to certain dealers, which may</w:t>
      </w:r>
    </w:p>
    <w:p>
      <w:pPr>
        <w:spacing w:after="0" w:line="1" w:lineRule="exact"/>
        <w:rPr>
          <w:sz w:val="20"/>
          <w:szCs w:val="20"/>
          <w:color w:val="auto"/>
        </w:rPr>
      </w:pPr>
    </w:p>
    <w:p>
      <w:pPr>
        <w:ind w:left="460" w:right="979"/>
        <w:spacing w:after="0" w:line="234" w:lineRule="auto"/>
        <w:rPr>
          <w:sz w:val="20"/>
          <w:szCs w:val="20"/>
          <w:color w:val="auto"/>
        </w:rPr>
      </w:pPr>
      <w:r>
        <w:rPr>
          <w:rFonts w:ascii="Arial" w:cs="Arial" w:eastAsia="Arial" w:hAnsi="Arial"/>
          <w:sz w:val="18"/>
          <w:szCs w:val="18"/>
          <w:color w:val="auto"/>
        </w:rPr>
        <w:t>include the underwriters, at that price less a concession not in excess of $ per share. The underwriters may allow, and certain dealers may reallow, a discount from the concession not in</w:t>
      </w:r>
    </w:p>
    <w:p>
      <w:pPr>
        <w:spacing w:after="0" w:line="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excess of $ per share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24"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6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PAID BY FS DEVELOPMENT</w:t>
      </w:r>
    </w:p>
    <w:p>
      <w:pPr>
        <w:spacing w:after="0" w:line="19"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637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 Exercise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r>
              <w:rPr>
                <w:rFonts w:ascii="Arial" w:cs="Arial" w:eastAsia="Arial" w:hAnsi="Arial"/>
                <w:sz w:val="20"/>
                <w:szCs w:val="20"/>
                <w:color w:val="auto"/>
                <w:vertAlign w:val="superscript"/>
              </w:rPr>
              <w:t>(1)</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2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6,325,000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47" w:val="left"/>
        </w:tabs>
        <w:numPr>
          <w:ilvl w:val="0"/>
          <w:numId w:val="76"/>
        </w:numPr>
        <w:rPr>
          <w:rFonts w:ascii="Arial" w:cs="Arial" w:eastAsia="Arial" w:hAnsi="Arial"/>
          <w:sz w:val="13"/>
          <w:szCs w:val="13"/>
          <w:color w:val="auto"/>
        </w:rPr>
      </w:pPr>
      <w:r>
        <w:rPr>
          <w:rFonts w:ascii="Arial" w:cs="Arial" w:eastAsia="Arial" w:hAnsi="Arial"/>
          <w:sz w:val="13"/>
          <w:szCs w:val="13"/>
          <w:color w:val="auto"/>
        </w:rPr>
        <w:t>$0.20 per share, or $2,000,000 in the aggregate (or $2,300,000 if the underwriters’ over-allotment option is exercised in full), is payable upon the closing of this offering. Includes $0.35 per share, or $3,500,000 in the aggregate (or $4,025,000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0" w:name="page121"/>
    <w:bookmarkEnd w:id="120"/>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shares will trade in the public market subsequent to the offering or that an active trading market for the shares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shares listed on Nasdaq under the symbol “FSDC.”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6" w:lineRule="exact"/>
        <w:rPr>
          <w:sz w:val="20"/>
          <w:szCs w:val="20"/>
          <w:color w:val="auto"/>
        </w:rPr>
      </w:pPr>
    </w:p>
    <w:p>
      <w:pPr>
        <w:ind w:left="460" w:right="6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1,500,000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639"/>
        <w:spacing w:after="0" w:line="23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shares of Class A common stock or any other securities convertible into, or exercisable, or exchangeable for, Class A common stock; provided, however, that we may (1) issue and sell the private placement shares,</w:t>
      </w:r>
    </w:p>
    <w:p>
      <w:pPr>
        <w:ind w:left="720" w:hanging="266"/>
        <w:spacing w:after="0" w:line="238"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issue and sell the additional shares to cover our underwriters’ over-allotment option (if any), (3)</w:t>
      </w:r>
    </w:p>
    <w:p>
      <w:pPr>
        <w:ind w:left="460" w:right="479"/>
        <w:spacing w:after="0" w:line="238" w:lineRule="auto"/>
        <w:rPr>
          <w:rFonts w:ascii="Arial" w:cs="Arial" w:eastAsia="Arial" w:hAnsi="Arial"/>
          <w:sz w:val="18"/>
          <w:szCs w:val="18"/>
          <w:color w:val="auto"/>
        </w:rPr>
      </w:pPr>
      <w:r>
        <w:rPr>
          <w:rFonts w:ascii="Arial" w:cs="Arial" w:eastAsia="Arial" w:hAnsi="Arial"/>
          <w:sz w:val="18"/>
          <w:szCs w:val="18"/>
          <w:color w:val="auto"/>
        </w:rPr>
        <w:t>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in its sole discretion, may release any of the securities subject to these lock-up agreements at any time without notice.</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initial shareholders have agreed not to transfer, assign or sell any of their founder shares or private placement shares until the earlier to occur of: (A) one year after the completion of our initial business combination and (B) 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1" w:name="page122"/>
    <w:bookmarkEnd w:id="121"/>
    <w:p>
      <w:pPr>
        <w:ind w:left="460" w:right="499"/>
        <w:spacing w:after="0" w:line="238" w:lineRule="auto"/>
        <w:rPr>
          <w:sz w:val="20"/>
          <w:szCs w:val="20"/>
          <w:color w:val="auto"/>
        </w:rPr>
      </w:pPr>
      <w:r>
        <w:rPr>
          <w:rFonts w:ascii="Arial" w:cs="Arial" w:eastAsia="Arial" w:hAnsi="Arial"/>
          <w:sz w:val="18"/>
          <w:szCs w:val="18"/>
          <w:color w:val="auto"/>
        </w:rPr>
        <w:t>Shares and Private Placement Shares”). Any permitted transferees will be subject to the same restrictions and other agreements of our sponsor and our management team with respect to any founder shares and shares of Class A common stock issued upon conversion or exercise thereof. We refer to such transfer restrictions throughout this prospectus as the lock-up.</w:t>
      </w:r>
    </w:p>
    <w:p>
      <w:pPr>
        <w:spacing w:after="0" w:line="124"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in this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2"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shares. The underwriters must close out any naked short position by purchasing shares in the open market. A naked short position is more likely to be created if the underwriters are concerned that there may be downward pressure on the price of our shares in the open market after pricing that could adversely affect investors who purchase in this offering.</w:t>
      </w:r>
    </w:p>
    <w:p>
      <w:pPr>
        <w:spacing w:after="0" w:line="13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A stabilizing bid is a bid for the purchase of shares on behalf of the underwriters for the purpose of fixing or maintaining the price of the shares. A syndicate covering transaction is the bid for or the purchase of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underwriters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shares.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shares on Nasdaq in accordance with Rule 103 of Regulation M during a period before the commencement of offers or sales of our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2" w:name="page123"/>
    <w:bookmarkEnd w:id="122"/>
    <w:p>
      <w:pPr>
        <w:ind w:left="460" w:right="659"/>
        <w:spacing w:after="0"/>
        <w:rPr>
          <w:sz w:val="20"/>
          <w:szCs w:val="20"/>
          <w:color w:val="auto"/>
        </w:rPr>
      </w:pPr>
      <w:r>
        <w:rPr>
          <w:rFonts w:ascii="Arial" w:cs="Arial" w:eastAsia="Arial" w:hAnsi="Arial"/>
          <w:sz w:val="18"/>
          <w:szCs w:val="18"/>
          <w:color w:val="auto"/>
        </w:rPr>
        <w:t>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37"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00" w:right="579" w:hanging="322"/>
        <w:spacing w:after="0" w:line="267" w:lineRule="auto"/>
        <w:tabs>
          <w:tab w:leader="none" w:pos="10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3" w:name="page124"/>
    <w:bookmarkEnd w:id="123"/>
    <w:p>
      <w:pPr>
        <w:ind w:left="1080" w:hanging="30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4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31"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66"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36"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5" w:lineRule="exact"/>
        <w:rPr>
          <w:rFonts w:ascii="Arial" w:cs="Arial" w:eastAsia="Arial" w:hAnsi="Arial"/>
          <w:sz w:val="18"/>
          <w:szCs w:val="18"/>
          <w:color w:val="auto"/>
        </w:rPr>
      </w:pPr>
    </w:p>
    <w:p>
      <w:pPr>
        <w:ind w:left="1080" w:hanging="30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29"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2"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shares or otherwise making them available to retail investors in the EEA has been prepared. Offering or selling the shares or otherwise making them available to any retail investor in the EEA may be unlawful under the PRIIPS Regulation. This prospectus has been prepared on the basis that any offer of the shares in any member state of the EEA will be made pursuant to an exemption under the Prospectus Directive from a requirement to publish a prospectus for offers of shares.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3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spacing w:after="0" w:line="2" w:lineRule="exact"/>
        <w:rPr>
          <w:sz w:val="20"/>
          <w:szCs w:val="20"/>
          <w:color w:val="auto"/>
        </w:rPr>
      </w:pPr>
    </w:p>
    <w:p>
      <w:pPr>
        <w:ind w:left="460" w:right="599" w:hanging="6"/>
        <w:spacing w:after="0" w:line="236" w:lineRule="auto"/>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5" w:name="page126"/>
    <w:bookmarkEnd w:id="125"/>
    <w:p>
      <w:pPr>
        <w:ind w:left="460" w:right="479"/>
        <w:spacing w:after="0" w:line="238" w:lineRule="auto"/>
        <w:rPr>
          <w:sz w:val="20"/>
          <w:szCs w:val="20"/>
          <w:color w:val="auto"/>
        </w:rPr>
      </w:pPr>
      <w:r>
        <w:rPr>
          <w:rFonts w:ascii="Arial" w:cs="Arial" w:eastAsia="Arial" w:hAnsi="Arial"/>
          <w:sz w:val="18"/>
          <w:szCs w:val="18"/>
          <w:color w:val="auto"/>
        </w:rPr>
        <w:t>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 w:lineRule="exact"/>
        <w:rPr>
          <w:sz w:val="20"/>
          <w:szCs w:val="20"/>
          <w:color w:val="auto"/>
        </w:rPr>
      </w:pPr>
    </w:p>
    <w:p>
      <w:pPr>
        <w:jc w:val="both"/>
        <w:ind w:left="1100" w:right="639" w:hanging="322"/>
        <w:spacing w:after="0"/>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jc w:val="both"/>
        <w:ind w:left="1420" w:right="579" w:hanging="318"/>
        <w:spacing w:after="0"/>
        <w:tabs>
          <w:tab w:leader="none" w:pos="13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7"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360" w:hanging="258"/>
        <w:spacing w:after="0"/>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119" w:hanging="318"/>
        <w:spacing w:after="0" w:line="246" w:lineRule="auto"/>
        <w:tabs>
          <w:tab w:leader="none" w:pos="13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24"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FS Development Corp. as of June 30, 2020, and for the period from June 25,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FS Development Corp.:</w:t>
            </w:r>
          </w:p>
        </w:tc>
        <w:tc>
          <w:tcPr>
            <w:tcW w:w="360" w:type="dxa"/>
            <w:vAlign w:val="bottom"/>
            <w:tcBorders>
              <w:bottom w:val="single" w:sz="8" w:color="CCEEFF"/>
            </w:tcBorders>
            <w:shd w:val="clear" w:color="auto" w:fill="CCEEFF"/>
          </w:tcPr>
          <w:p>
            <w:pPr>
              <w:spacing w:after="0"/>
              <w:rPr>
                <w:sz w:val="22"/>
                <w:szCs w:val="22"/>
                <w:color w:val="auto"/>
              </w:rPr>
            </w:pP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Report of Independent Registered Public Accounting Firm</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Balance Sheet as of June 30, 2020</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Statement of Operations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76"/>
        </w:trPr>
        <w:tc>
          <w:tcPr>
            <w:tcW w:w="79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33">
              <w:r>
                <w:rPr>
                  <w:rFonts w:ascii="Arial" w:cs="Arial" w:eastAsia="Arial" w:hAnsi="Arial"/>
                  <w:sz w:val="18"/>
                  <w:szCs w:val="18"/>
                  <w:color w:val="0000EE"/>
                </w:rPr>
                <w:t>Statement of Changes in Stockholder’s Equity for the period from June 25, 2020 (inception) through</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0000EE"/>
            </w:tcBorders>
            <w:shd w:val="clear" w:color="auto" w:fill="CCEEFF"/>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June 30, 2020</w:t>
              </w:r>
            </w:hyperlink>
          </w:p>
        </w:tc>
        <w:tc>
          <w:tcPr>
            <w:tcW w:w="6800" w:type="dxa"/>
            <w:vAlign w:val="bottom"/>
            <w:tcBorders>
              <w:bottom w:val="single" w:sz="8" w:color="CCEEFF"/>
            </w:tcBorders>
            <w:gridSpan w:val="3"/>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Statement of Cash Flows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Notes to Financial Statements</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2"/>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9" w:name="page130"/>
    <w:bookmarkEnd w:id="129"/>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FS Development Corp.</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ind w:left="460"/>
        <w:spacing w:after="0"/>
        <w:rPr>
          <w:sz w:val="20"/>
          <w:szCs w:val="20"/>
          <w:color w:val="auto"/>
        </w:rPr>
      </w:pPr>
      <w:r>
        <w:rPr>
          <w:rFonts w:ascii="Arial" w:cs="Arial" w:eastAsia="Arial" w:hAnsi="Arial"/>
          <w:sz w:val="18"/>
          <w:szCs w:val="18"/>
          <w:color w:val="auto"/>
        </w:rPr>
        <w:t>July 24,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assets: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24"/>
                <w:szCs w:val="24"/>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366"/>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20" w:type="dxa"/>
            <w:vAlign w:val="bottom"/>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54,500</w:t>
            </w:r>
          </w:p>
        </w:tc>
      </w:tr>
      <w:tr>
        <w:trPr>
          <w:trHeight w:val="385"/>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378"/>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none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2,875,000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24,712</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5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Borders>
              <w:bottom w:val="single" w:sz="8" w:color="CCEEFF"/>
            </w:tcBorders>
          </w:tcPr>
          <w:p>
            <w:pPr>
              <w:spacing w:after="0"/>
              <w:rPr>
                <w:sz w:val="22"/>
                <w:szCs w:val="22"/>
                <w:color w:val="auto"/>
              </w:rPr>
            </w:pPr>
          </w:p>
        </w:tc>
      </w:tr>
      <w:tr>
        <w:trPr>
          <w:trHeight w:val="257"/>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479" w:hanging="426"/>
        <w:spacing w:after="0" w:line="230" w:lineRule="auto"/>
        <w:tabs>
          <w:tab w:leader="none" w:pos="845"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by our sponsor if the over-allotment option is not exercised in full or in part by the underwriters.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line="224" w:lineRule="exact"/>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739" w:hanging="426"/>
        <w:spacing w:after="0" w:line="230" w:lineRule="auto"/>
        <w:tabs>
          <w:tab w:leader="none" w:pos="845"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This number excludes an aggregate of up to 375,000 shares of Class B common stock subject to forfeiture by our sponsor if the over-allotment option is not exercised in full or in part by the underwriters.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Shares   Amount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Balance – June 25,</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10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 $</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180"/>
              <w:spacing w:after="0" w:line="202" w:lineRule="exact"/>
              <w:rPr>
                <w:sz w:val="20"/>
                <w:szCs w:val="20"/>
                <w:color w:val="auto"/>
              </w:rPr>
            </w:pPr>
            <w:r>
              <w:rPr>
                <w:rFonts w:ascii="Arial" w:cs="Arial" w:eastAsia="Arial" w:hAnsi="Arial"/>
                <w:sz w:val="18"/>
                <w:szCs w:val="18"/>
                <w:color w:val="auto"/>
              </w:rPr>
              <w:t>common stock to</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w:t>
            </w: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2,875,000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c>
          <w:tcPr>
            <w:tcW w:w="16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60"/>
        </w:trPr>
        <w:tc>
          <w:tcPr>
            <w:tcW w:w="2080" w:type="dxa"/>
            <w:vAlign w:val="bottom"/>
          </w:tcPr>
          <w:p>
            <w:pPr>
              <w:spacing w:after="0" w:line="160" w:lineRule="exact"/>
              <w:rPr>
                <w:sz w:val="20"/>
                <w:szCs w:val="20"/>
                <w:color w:val="auto"/>
              </w:rPr>
            </w:pPr>
            <w:r>
              <w:rPr>
                <w:rFonts w:ascii="Arial" w:cs="Arial" w:eastAsia="Arial" w:hAnsi="Arial"/>
                <w:sz w:val="18"/>
                <w:szCs w:val="18"/>
                <w:b w:val="1"/>
                <w:bCs w:val="1"/>
                <w:color w:val="auto"/>
              </w:rPr>
              <w:t>Balance – June 30,</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2,875,000</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479" w:hanging="426"/>
        <w:spacing w:after="0" w:line="230" w:lineRule="auto"/>
        <w:tabs>
          <w:tab w:leader="none" w:pos="845"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by our sponsor if the over-allotment option is not exercised in full or in part by the underwriters.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Class B common stock to Sponsor</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65430"/>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69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19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12"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w:t>
      </w:r>
    </w:p>
    <w:p>
      <w:pPr>
        <w:spacing w:after="0" w:line="55" w:lineRule="exact"/>
        <w:rPr>
          <w:sz w:val="20"/>
          <w:szCs w:val="20"/>
          <w:color w:val="auto"/>
        </w:rPr>
      </w:pPr>
    </w:p>
    <w:p>
      <w:pPr>
        <w:ind w:left="520" w:hanging="514"/>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6769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6640" w:space="720"/>
            <w:col w:w="1659"/>
          </w:cols>
          <w:pgMar w:left="1440" w:top="333" w:right="1440" w:bottom="1440" w:gutter="0" w:footer="0" w:header="0"/>
          <w:type w:val="continuous"/>
        </w:sectPr>
      </w:pPr>
    </w:p>
    <w:p>
      <w:pPr>
        <w:ind w:left="640"/>
        <w:spacing w:after="0"/>
        <w:tabs>
          <w:tab w:leader="none" w:pos="7340" w:val="left"/>
          <w:tab w:leader="none" w:pos="786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6"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9"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3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10,000,000 shares of Class A common stock (each, a “Public Share” and collectively, the “Public Shares”) at $10.00 per share (or 11,500,000 shares if the underwriters’ over-allotment option is exercised in full), which is discussed in Note 3, and the sale of 400,000 shares of Class A common stock (or 430,000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38"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classified as temporary equity upon the completion of the Proposed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45"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35" w:lineRule="exact"/>
        <w:rPr>
          <w:sz w:val="20"/>
          <w:szCs w:val="20"/>
          <w:color w:val="auto"/>
        </w:rPr>
      </w:pPr>
    </w:p>
    <w:p>
      <w:pPr>
        <w:ind w:left="460" w:right="63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3" w:lineRule="exact"/>
        <w:rPr>
          <w:sz w:val="20"/>
          <w:szCs w:val="20"/>
          <w:color w:val="auto"/>
        </w:rPr>
      </w:pPr>
    </w:p>
    <w:p>
      <w:pPr>
        <w:jc w:val="both"/>
        <w:ind w:left="460" w:right="79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375,000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3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related to unrecognized tax benefits as income tax expense. No amounts were accrued for the payment of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Pursuant to the Proposed Public Offering, the Company intends to offer for sale 10,000,000 shares of Class A Common stock at a price of $10.00 per share.</w:t>
      </w:r>
    </w:p>
    <w:p>
      <w:pPr>
        <w:spacing w:after="0" w:line="11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Company will grant the underwriters a 45-day option from the date of the final prospectus relating to the Proposed Public Offering to purchase up to 1,500,000 additional shares to cover over-allotments, if any, at the Proposed Public Offering price, less underwriting discounts and commissions.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23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June 30, 2020, the Sponsor purchased 2,875,000 shares of the Company’s Class B common stock, par value $0.0001 per share, (the “Founder Shares”) for an aggregate price of $25,000. The Sponsor has agreed to forfeit up to 375,000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 If the Company increases or decreases the size of the offering, the Company will effect a stock dividend or share contribution back to capital, as applicable, immediately prior to the consummation of the Proposed Public Offering in such amount as to maintain the Founder Share ownership of the Company’s stockholders prior to the Proposed Public Offering at 20.0% of the Company’s issued and outstanding common stock upon the consummation of the Proposed Public Offering (excluding the Private Placement Shares).</w:t>
      </w:r>
    </w:p>
    <w:p>
      <w:pPr>
        <w:spacing w:after="0" w:line="13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Sponsor has agreed to purchase an aggregate of 400,000 Private Placement Shares (or 430,000 Private Placement Shares if the underwriters’ over-allotment option is exercised in full), at a price of $10.00 per Private Placement Share ($4.0 million in the aggregate, or $ 4.3 million if the underwriters’ over-allotment option is exercised in full) in a private placement that will occur simultaneously with the closing of the Proposed Public Offering.</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which results in the Company’s stockholders having the right to exchange their shares for cash, securities or other property, the Founder Shares and Private Placement Shares will be released from the lock-up.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On June 30, 2020, the Sponsor agreed to loan the Company an aggregate of up to $ 200,000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$50,000 in loan proceeds under the Note.</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of Common Stock in connection with initial Business Combination</w:t>
      </w:r>
    </w:p>
    <w:p>
      <w:pPr>
        <w:spacing w:after="0" w:line="153"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66"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and continuing until the earlier of the Company’s consummation of a Business Combination and the Company’s liquidation, to the Company will pay the Sponsor a total of $10,000 per month for office space, secretarial and administrative services provided to members of the Company’s management team.</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holders of Founder Shares and Private Placement Shares that may be issued upon conversion of Working Capital Loans, if any, will be entitled to registration rights pursuant to a registration rights agreement to be signed prior to the consummation of the Proposed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underwriters will be entitled to an underwriting discount of $0.20 per share, or $ 2.0 million in the aggregate (or $2.3 million in the aggregate if the underwriters’ over-allotment option is exercised in full), payable upon the closing of the Proposed Public Offering. $0.35 per share, or $3.5 million in the aggregate (or approximately $4.0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Stockholder’s Equity</w:t>
      </w:r>
    </w:p>
    <w:p>
      <w:pPr>
        <w:spacing w:after="0" w:line="144" w:lineRule="exact"/>
        <w:rPr>
          <w:sz w:val="20"/>
          <w:szCs w:val="20"/>
          <w:color w:val="auto"/>
        </w:rPr>
      </w:pPr>
    </w:p>
    <w:p>
      <w:pPr>
        <w:ind w:left="460" w:right="699"/>
        <w:spacing w:after="0" w:line="25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As of June 30, 2020, there were no shares of Class A common stock issued or outstanding.</w:t>
      </w:r>
    </w:p>
    <w:p>
      <w:pPr>
        <w:spacing w:after="0" w:line="88"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On June 30, 2020, the Company issued 2,875,000 shares of Class B common stock, including an aggregate of up to 375,000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w:t>
      </w:r>
    </w:p>
    <w:p>
      <w:pPr>
        <w:spacing w:after="0" w:line="135"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6" w:lineRule="exact"/>
        <w:rPr>
          <w:sz w:val="20"/>
          <w:szCs w:val="20"/>
          <w:color w:val="auto"/>
        </w:rPr>
      </w:pPr>
    </w:p>
    <w:p>
      <w:pPr>
        <w:ind w:left="460" w:right="59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$0.0001 per share, with such designations, voting and other rights and preferences as may be determined from time to time by the Company’s board of directors. As of June 30, 2020, there were no shares of preferred stock issued or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June 30, 2020, the Company received $50,000 in loan proceeds under the Note.</w:t>
      </w:r>
    </w:p>
    <w:p>
      <w:pPr>
        <w:spacing w:after="0" w:line="131"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24, 2020, the date that the financial statements were available to be issued. Based on this review, except as noted above,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25400"/>
                    </a:xfrm>
                    <a:prstGeom prst="rect">
                      <a:avLst/>
                    </a:prstGeom>
                    <a:noFill/>
                  </pic:spPr>
                </pic:pic>
              </a:graphicData>
            </a:graphic>
          </wp:anchor>
        </w:drawing>
        <w:t>10,000,000 Shares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FS Development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2"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98"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328930</wp:posOffset>
            </wp:positionV>
            <wp:extent cx="514350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371475</wp:posOffset>
            </wp:positionV>
            <wp:extent cx="514350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645795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839" w:hanging="426"/>
        <w:spacing w:after="0" w:line="230" w:lineRule="auto"/>
        <w:tabs>
          <w:tab w:leader="none" w:pos="845"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3" w:lineRule="exact"/>
        <w:rPr>
          <w:sz w:val="20"/>
          <w:szCs w:val="20"/>
          <w:color w:val="auto"/>
        </w:rPr>
      </w:pPr>
    </w:p>
    <w:p>
      <w:pPr>
        <w:ind w:left="1100" w:right="479" w:hanging="322"/>
        <w:spacing w:after="0" w:line="235"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37"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4" w:name="page145"/>
    <w:bookmarkEnd w:id="144"/>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45" w:name="page146"/>
    <w:bookmarkEnd w:id="145"/>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46" w:name="page147"/>
    <w:bookmarkEnd w:id="146"/>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June 30, 2020, FS Development Holdings, LLC, our sponsor, purchased an aggregate 2,875,000 founder shares for a total purchase price of $ 25,000, or approximately $0.009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11,500,000 shares if the underwriters’ over-allotment option is exercised in full and therefore that such founder shares would represent 20% of the issued and outstanding shares of common stock (excluding the Private Placement Shares) after this offering. Up to 375,000 of these shares will be forfeited by our sponsor depending on the extent to which the underwriters’ over-allotment is exercised.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7" w:name="page148"/>
    <w:bookmarkEnd w:id="147"/>
    <w:p>
      <w:pPr>
        <w:ind w:left="460" w:right="599"/>
        <w:spacing w:after="0" w:line="237" w:lineRule="auto"/>
        <w:rPr>
          <w:sz w:val="20"/>
          <w:szCs w:val="20"/>
          <w:color w:val="auto"/>
        </w:rPr>
      </w:pPr>
      <w:r>
        <w:rPr>
          <w:rFonts w:ascii="Arial" w:cs="Arial" w:eastAsia="Arial" w:hAnsi="Arial"/>
          <w:sz w:val="18"/>
          <w:szCs w:val="18"/>
          <w:color w:val="auto"/>
        </w:rPr>
        <w:t>Foresite Capital Management V, LLC is the sole member of our sponsor. 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2"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Our sponsor has committed, pursuant to a written agreement, to purchase from us an aggregate of 400,000 private placement shares (or 430,000 private placement shares if the underwriters’ over-allotment option is exercised in full) at $10.00 per share (for an aggregate purchase price of $4,000,000 (or $4,300,000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720" w:hanging="26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Form of Underwriting Agreement.*</w:t>
      </w:r>
    </w:p>
    <w:p>
      <w:pPr>
        <w:spacing w:after="0" w:line="6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Certificate of Incorporation.*</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479" w:hanging="640"/>
        <w:spacing w:after="0" w:line="246" w:lineRule="auto"/>
        <w:tabs>
          <w:tab w:leader="none" w:pos="1280" w:val="left"/>
        </w:tabs>
        <w:rPr>
          <w:sz w:val="20"/>
          <w:szCs w:val="20"/>
          <w:color w:val="auto"/>
        </w:rPr>
      </w:pPr>
      <w:r>
        <w:rPr>
          <w:rFonts w:ascii="Arial" w:cs="Arial" w:eastAsia="Arial" w:hAnsi="Arial"/>
          <w:sz w:val="18"/>
          <w:szCs w:val="18"/>
          <w:color w:val="auto"/>
        </w:rPr>
        <w:t>10.1</w:t>
        <w:tab/>
        <w:t>Form of Letter Agreement among the Registrant, FS Development Holdings, LLC and each of the executive officers and directors of the Registrant.*</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10.2</w:t>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1300" w:right="579" w:hanging="640"/>
        <w:spacing w:after="0" w:line="246" w:lineRule="auto"/>
        <w:tabs>
          <w:tab w:leader="none" w:pos="1280" w:val="left"/>
        </w:tabs>
        <w:rPr>
          <w:sz w:val="20"/>
          <w:szCs w:val="20"/>
          <w:color w:val="auto"/>
        </w:rPr>
      </w:pPr>
      <w:r>
        <w:rPr>
          <w:rFonts w:ascii="Arial" w:cs="Arial" w:eastAsia="Arial" w:hAnsi="Arial"/>
          <w:sz w:val="18"/>
          <w:szCs w:val="18"/>
          <w:color w:val="auto"/>
        </w:rPr>
        <w:t>10.3</w:t>
        <w:tab/>
        <w:t>Form of Registration Rights Agreement among the Registrant, FS Development Holdings, LLC and the Holders signatory thereto.*</w:t>
      </w:r>
    </w:p>
    <w:p>
      <w:pPr>
        <w:spacing w:after="0" w:line="21" w:lineRule="exact"/>
        <w:rPr>
          <w:sz w:val="20"/>
          <w:szCs w:val="20"/>
          <w:color w:val="auto"/>
        </w:rPr>
      </w:pPr>
    </w:p>
    <w:p>
      <w:pPr>
        <w:ind w:left="1300" w:right="859" w:hanging="640"/>
        <w:spacing w:after="0" w:line="246" w:lineRule="auto"/>
        <w:tabs>
          <w:tab w:leader="none" w:pos="1280" w:val="left"/>
        </w:tabs>
        <w:rPr>
          <w:sz w:val="20"/>
          <w:szCs w:val="20"/>
          <w:color w:val="auto"/>
        </w:rPr>
      </w:pPr>
      <w:r>
        <w:rPr>
          <w:rFonts w:ascii="Arial" w:cs="Arial" w:eastAsia="Arial" w:hAnsi="Arial"/>
          <w:sz w:val="18"/>
          <w:szCs w:val="18"/>
          <w:color w:val="auto"/>
        </w:rPr>
        <w:t>10.4</w:t>
        <w:tab/>
        <w:t>Form of Private Placement Class A Common Stock Purchase Agreement between the Registrant and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Indemnity Agreement.*</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10.6</w:t>
        <w:tab/>
        <w:t>Promissory Note issued to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519" w:hanging="640"/>
        <w:spacing w:after="0" w:line="246" w:lineRule="auto"/>
        <w:tabs>
          <w:tab w:leader="none" w:pos="1280" w:val="left"/>
        </w:tabs>
        <w:rPr>
          <w:sz w:val="20"/>
          <w:szCs w:val="20"/>
          <w:color w:val="auto"/>
        </w:rPr>
      </w:pPr>
      <w:r>
        <w:rPr>
          <w:rFonts w:ascii="Arial" w:cs="Arial" w:eastAsia="Arial" w:hAnsi="Arial"/>
          <w:sz w:val="18"/>
          <w:szCs w:val="18"/>
          <w:color w:val="auto"/>
        </w:rPr>
        <w:t>10.7</w:t>
        <w:tab/>
        <w:t>Securities Subscription Agreement between the Registrant and FS Development Holdings, LLC.*</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10.8</w:t>
        <w:tab/>
        <w:t>Form of Administrative Services Agreement between the Registrant and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7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152">
        <w:r>
          <w:rPr>
            <w:rFonts w:ascii="Arial" w:cs="Arial" w:eastAsia="Arial" w:hAnsi="Arial"/>
            <w:sz w:val="17"/>
            <w:szCs w:val="17"/>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tab/>
        <w:t>Consent of White &amp; Case LLP (included on Exhibit 5.1).*</w:t>
      </w:r>
    </w:p>
    <w:p>
      <w:pPr>
        <w:spacing w:after="0" w:line="77" w:lineRule="exact"/>
        <w:rPr>
          <w:sz w:val="20"/>
          <w:szCs w:val="20"/>
          <w:color w:val="auto"/>
        </w:rPr>
      </w:pPr>
    </w:p>
    <w:p>
      <w:pPr>
        <w:ind w:left="660" w:right="3959" w:firstLine="79"/>
        <w:spacing w:after="0" w:line="328" w:lineRule="auto"/>
        <w:tabs>
          <w:tab w:leader="none" w:pos="1301" w:val="left"/>
        </w:tabs>
        <w:numPr>
          <w:ilvl w:val="0"/>
          <w:numId w:val="93"/>
        </w:numPr>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Form of Audit Committee Charter.*</w:t>
      </w:r>
    </w:p>
    <w:p>
      <w:pPr>
        <w:spacing w:after="0" w:line="1"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99.2   Form of Compensation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99.3   Form of Nominating &amp; Corporate Governance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99.4   </w:t>
      </w:r>
      <w:hyperlink w:anchor="page153">
        <w:r>
          <w:rPr>
            <w:rFonts w:ascii="Arial" w:cs="Arial" w:eastAsia="Arial" w:hAnsi="Arial"/>
            <w:sz w:val="18"/>
            <w:szCs w:val="18"/>
            <w:u w:val="single" w:color="auto"/>
            <w:color w:val="0000EE"/>
          </w:rPr>
          <w:t>Consent of Robert Carey</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99.5   </w:t>
      </w:r>
      <w:hyperlink w:anchor="page154">
        <w:r>
          <w:rPr>
            <w:rFonts w:ascii="Arial" w:cs="Arial" w:eastAsia="Arial" w:hAnsi="Arial"/>
            <w:sz w:val="18"/>
            <w:szCs w:val="18"/>
            <w:u w:val="single" w:color="auto"/>
            <w:color w:val="0000EE"/>
          </w:rPr>
          <w:t>Consent of Daniel Dubin</w:t>
        </w:r>
      </w:hyperlink>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99.6   </w:t>
      </w:r>
      <w:hyperlink w:anchor="page155">
        <w:r>
          <w:rPr>
            <w:rFonts w:ascii="Arial" w:cs="Arial" w:eastAsia="Arial" w:hAnsi="Arial"/>
            <w:sz w:val="18"/>
            <w:szCs w:val="18"/>
            <w:u w:val="single" w:color="auto"/>
            <w:color w:val="0000EE"/>
          </w:rPr>
          <w:t>Consent of Deepa Pakianathan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-1210310</wp:posOffset>
            </wp:positionV>
            <wp:extent cx="514350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-850265</wp:posOffset>
            </wp:positionV>
            <wp:extent cx="514350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-490220</wp:posOffset>
            </wp:positionV>
            <wp:extent cx="5143500"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rFonts w:ascii="Arial" w:cs="Arial" w:eastAsia="Arial" w:hAnsi="Arial"/>
          <w:sz w:val="18"/>
          <w:szCs w:val="18"/>
          <w:color w:val="auto"/>
        </w:rPr>
      </w:pPr>
    </w:p>
    <w:p>
      <w:pPr>
        <w:ind w:left="820" w:hanging="366"/>
        <w:spacing w:after="0"/>
        <w:tabs>
          <w:tab w:leader="none" w:pos="8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21" w:lineRule="exact"/>
        <w:rPr>
          <w:rFonts w:ascii="Arial" w:cs="Arial" w:eastAsia="Arial" w:hAnsi="Arial"/>
          <w:sz w:val="18"/>
          <w:szCs w:val="18"/>
          <w:color w:val="auto"/>
        </w:rPr>
      </w:pPr>
    </w:p>
    <w:p>
      <w:pPr>
        <w:ind w:left="460" w:right="1079" w:hanging="6"/>
        <w:spacing w:after="0" w:line="267" w:lineRule="auto"/>
        <w:tabs>
          <w:tab w:leader="none" w:pos="73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3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58" w:lineRule="exact"/>
        <w:rPr>
          <w:sz w:val="20"/>
          <w:szCs w:val="20"/>
          <w:color w:val="auto"/>
        </w:rPr>
      </w:pPr>
    </w:p>
    <w:p>
      <w:pPr>
        <w:ind w:left="1100" w:right="499" w:hanging="322"/>
        <w:spacing w:after="0"/>
        <w:tabs>
          <w:tab w:leader="none" w:pos="10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36"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jc w:val="both"/>
        <w:ind w:left="460" w:right="899"/>
        <w:spacing w:after="0" w:line="255"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San Francisco, CA, on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July, 2020.</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FS DEVELOPMENT CORP.</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23495</wp:posOffset>
            </wp:positionV>
            <wp:extent cx="1903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Jim Tananbaum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each of Jim Tananbaum and Dennis Ryan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6"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100" w:type="dxa"/>
            <w:vAlign w:val="bottom"/>
            <w:gridSpan w:val="2"/>
          </w:tcPr>
          <w:p>
            <w:pPr>
              <w:ind w:left="1720"/>
              <w:spacing w:after="0"/>
              <w:rPr>
                <w:sz w:val="20"/>
                <w:szCs w:val="20"/>
                <w:color w:val="auto"/>
              </w:rPr>
            </w:pPr>
            <w:r>
              <w:rPr>
                <w:rFonts w:ascii="Arial" w:cs="Arial" w:eastAsia="Arial" w:hAnsi="Arial"/>
                <w:sz w:val="14"/>
                <w:szCs w:val="14"/>
                <w:b w:val="1"/>
                <w:bCs w:val="1"/>
                <w:color w:val="auto"/>
              </w:rPr>
              <w:t>Position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6"/>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5"/>
        </w:trPr>
        <w:tc>
          <w:tcPr>
            <w:tcW w:w="2400" w:type="dxa"/>
            <w:vAlign w:val="bottom"/>
          </w:tcPr>
          <w:p>
            <w:pPr>
              <w:spacing w:after="0"/>
              <w:rPr>
                <w:sz w:val="20"/>
                <w:szCs w:val="20"/>
                <w:color w:val="auto"/>
              </w:rPr>
            </w:pPr>
            <w:r>
              <w:rPr>
                <w:rFonts w:ascii="Arial" w:cs="Arial" w:eastAsia="Arial" w:hAnsi="Arial"/>
                <w:sz w:val="18"/>
                <w:szCs w:val="18"/>
                <w:color w:val="auto"/>
              </w:rPr>
              <w:t>/s/ Jim Tananbaum</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July 24,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Jim Tananbaum</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20"/>
                <w:szCs w:val="20"/>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/s/ Dennis Ryan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jc w:val="center"/>
              <w:spacing w:after="0"/>
              <w:rPr>
                <w:sz w:val="20"/>
                <w:szCs w:val="20"/>
                <w:color w:val="auto"/>
              </w:rPr>
            </w:pPr>
            <w:r>
              <w:rPr>
                <w:rFonts w:ascii="Arial" w:cs="Arial" w:eastAsia="Arial" w:hAnsi="Arial"/>
                <w:sz w:val="18"/>
                <w:szCs w:val="18"/>
                <w:color w:val="auto"/>
              </w:rPr>
              <w:t>July 24,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Dennis Ryan</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500" w:type="dxa"/>
            <w:vAlign w:val="bottom"/>
          </w:tcPr>
          <w:p>
            <w:pPr>
              <w:spacing w:after="0"/>
              <w:rPr>
                <w:sz w:val="20"/>
                <w:szCs w:val="20"/>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/s/ Michael Rome</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July 24,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Michael Rome</w:t>
            </w: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/s/ Vikram Bajaj</w:t>
            </w:r>
          </w:p>
        </w:tc>
        <w:tc>
          <w:tcPr>
            <w:tcW w:w="42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rPr>
              <w:t>July 24,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5"/>
        </w:trPr>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II-8</w:t>
            </w: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our report dated July 24,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ectPr>
          <w:pgSz w:w="11900" w:h="16838" w:orient="portrait"/>
          <w:cols w:equalWidth="0" w:num="1">
            <w:col w:w="11240"/>
          </w:cols>
          <w:pgMar w:left="320" w:top="11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filing by FS Development Corp. of the Registration Statement on Form S-1 with the Securities and Exchange Commission under the Securities Act of 1933, as amended (the “Securities Act”), I hereby consent, pursuant to Rule 438 of the Securities Act, to being named as a nominee to the board of directors of FS Development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ind w:left="1140"/>
        <w:spacing w:after="0"/>
        <w:tabs>
          <w:tab w:leader="none" w:pos="6740" w:val="left"/>
        </w:tabs>
        <w:rPr>
          <w:sz w:val="20"/>
          <w:szCs w:val="20"/>
          <w:color w:val="auto"/>
        </w:rPr>
      </w:pPr>
      <w:r>
        <w:rPr>
          <w:rFonts w:ascii="Arial" w:cs="Arial" w:eastAsia="Arial" w:hAnsi="Arial"/>
          <w:sz w:val="18"/>
          <w:szCs w:val="18"/>
          <w:color w:val="auto"/>
        </w:rPr>
        <w:t>Dated: July 24, 2020</w:t>
      </w:r>
      <w:r>
        <w:rPr>
          <w:sz w:val="20"/>
          <w:szCs w:val="20"/>
          <w:color w:val="auto"/>
        </w:rPr>
        <w:tab/>
      </w:r>
      <w:r>
        <w:rPr>
          <w:rFonts w:ascii="Arial" w:cs="Arial" w:eastAsia="Arial" w:hAnsi="Arial"/>
          <w:sz w:val="16"/>
          <w:szCs w:val="16"/>
          <w:color w:val="auto"/>
        </w:rPr>
        <w:t>/s/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Carey</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filing by FS Development Corp. of the Registration Statement on Form S-1 with the Securities and Exchange Commission under the Securities Act of 1933, as amended (the “Securities Act”), I hereby consent, pursuant to Rule 438 of the Securities Act, to being named as a nominee to the board of directors of FS Development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ind w:left="1140"/>
        <w:spacing w:after="0"/>
        <w:tabs>
          <w:tab w:leader="none" w:pos="6740" w:val="left"/>
        </w:tabs>
        <w:rPr>
          <w:sz w:val="20"/>
          <w:szCs w:val="20"/>
          <w:color w:val="auto"/>
        </w:rPr>
      </w:pPr>
      <w:r>
        <w:rPr>
          <w:rFonts w:ascii="Arial" w:cs="Arial" w:eastAsia="Arial" w:hAnsi="Arial"/>
          <w:sz w:val="18"/>
          <w:szCs w:val="18"/>
          <w:color w:val="auto"/>
        </w:rPr>
        <w:t>Dated: July 24, 2020</w:t>
      </w:r>
      <w:r>
        <w:rPr>
          <w:sz w:val="20"/>
          <w:szCs w:val="20"/>
          <w:color w:val="auto"/>
        </w:rPr>
        <w:tab/>
      </w:r>
      <w:r>
        <w:rPr>
          <w:rFonts w:ascii="Arial" w:cs="Arial" w:eastAsia="Arial" w:hAnsi="Arial"/>
          <w:sz w:val="16"/>
          <w:szCs w:val="16"/>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Dubin</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filing by FS Development Corp. of the Registration Statement on Form S-1 with the Securities and Exchange Commission under the Securities Act of 1933, as amended (the “Securities Act”), I hereby consent, pursuant to Rule 438 of the Securities Act, to being named as a nominee to the board of directors of FS Development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ind w:left="1140"/>
        <w:spacing w:after="0"/>
        <w:tabs>
          <w:tab w:leader="none" w:pos="6740" w:val="left"/>
        </w:tabs>
        <w:rPr>
          <w:sz w:val="20"/>
          <w:szCs w:val="20"/>
          <w:color w:val="auto"/>
        </w:rPr>
      </w:pPr>
      <w:r>
        <w:rPr>
          <w:rFonts w:ascii="Arial" w:cs="Arial" w:eastAsia="Arial" w:hAnsi="Arial"/>
          <w:sz w:val="18"/>
          <w:szCs w:val="18"/>
          <w:color w:val="auto"/>
        </w:rPr>
        <w:t>Dated: July 24, 2020</w:t>
      </w:r>
      <w:r>
        <w:rPr>
          <w:sz w:val="20"/>
          <w:szCs w:val="20"/>
          <w:color w:val="auto"/>
        </w:rPr>
        <w:tab/>
      </w:r>
      <w:r>
        <w:rPr>
          <w:rFonts w:ascii="Arial" w:cs="Arial" w:eastAsia="Arial" w:hAnsi="Arial"/>
          <w:sz w:val="15"/>
          <w:szCs w:val="15"/>
          <w:color w:val="auto"/>
        </w:rPr>
        <w:t>/s/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Deepa Pakianathan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upperLetter"/>
      <w:start w:val="35"/>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2"/>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decimal"/>
      <w:start w:val="2"/>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lowerRoman"/>
      <w:start w:val="3"/>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Roman"/>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lowerRoman"/>
      <w:start w:val="2"/>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lowerRoman"/>
      <w:start w:val="2"/>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4"/>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upperLetter"/>
      <w:start w:val="1"/>
    </w:lvl>
  </w:abstractNum>
  <w:abstractNum w:abstractNumId="56">
    <w:nsid w:val="BF72B14"/>
    <w:multiLevelType w:val="hybridMultilevel"/>
    <w:lvl w:ilvl="0">
      <w:lvlJc w:val="left"/>
      <w:lvlText w:val="(%1)"/>
      <w:numFmt w:val="lowerRoman"/>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lowerRoman"/>
      <w:start w:val="1"/>
    </w:lvl>
  </w:abstractNum>
  <w:abstractNum w:abstractNumId="59">
    <w:nsid w:val="A0382C5"/>
    <w:multiLevelType w:val="hybridMultilevel"/>
    <w:lvl w:ilvl="0">
      <w:lvlJc w:val="left"/>
      <w:lvlText w:val="(%1)"/>
      <w:numFmt w:val="lowerRoman"/>
      <w:start w:val="3"/>
    </w:lvl>
  </w:abstractNum>
  <w:abstractNum w:abstractNumId="60">
    <w:nsid w:val="8F2B15E"/>
    <w:multiLevelType w:val="hybridMultilevel"/>
    <w:lvl w:ilvl="0">
      <w:lvlJc w:val="left"/>
      <w:lvlText w:val="•"/>
      <w:numFmt w:val="bullet"/>
      <w:start w:val="1"/>
    </w:lvl>
    <w:lvl w:ilvl="1">
      <w:lvlJc w:val="left"/>
      <w:lvlText w:val="(%2)"/>
      <w:numFmt w:val="lowerLetter"/>
      <w:start w:val="35"/>
    </w:lvl>
  </w:abstractNum>
  <w:abstractNum w:abstractNumId="61">
    <w:nsid w:val="1A32234B"/>
    <w:multiLevelType w:val="hybridMultilevel"/>
    <w:lvl w:ilvl="0">
      <w:lvlJc w:val="left"/>
      <w:lvlText w:val="•"/>
      <w:numFmt w:val="bullet"/>
      <w:start w:val="1"/>
    </w:lvl>
    <w:lvl w:ilvl="1">
      <w:lvlJc w:val="left"/>
      <w:lvlText w:val="(%2)"/>
      <w:numFmt w:val="lowerLetter"/>
      <w:start w:val="25"/>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1)"/>
      <w:numFmt w:val="lowerRoman"/>
      <w:start w:val="2"/>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lowerRoman"/>
      <w:start w:val="2"/>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emdash "/>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emdash "/>
      <w:numFmt w:val="bullet"/>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2"/>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3"/>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Roman"/>
      <w:start w:val="2"/>
    </w:lvl>
  </w:abstractNum>
  <w:abstractNum w:abstractNumId="81">
    <w:nsid w:val="3222E7CD"/>
    <w:multiLevelType w:val="hybridMultilevel"/>
    <w:lvl w:ilvl="0">
      <w:lvlJc w:val="left"/>
      <w:lvlText w:val="(%1)"/>
      <w:numFmt w:val="lowerRoman"/>
      <w:start w:val="3"/>
    </w:lvl>
  </w:abstractNum>
  <w:abstractNum w:abstractNumId="82">
    <w:nsid w:val="74DE0EE3"/>
    <w:multiLevelType w:val="hybridMultilevel"/>
    <w:lvl w:ilvl="0">
      <w:lvlJc w:val="left"/>
      <w:lvlText w:val="(%1)"/>
      <w:numFmt w:val="lowerLetter"/>
      <w:start w:val="1"/>
    </w:lvl>
    <w:lvl w:ilvl="1">
      <w:lvlJc w:val="left"/>
      <w:lvlText w:val="•"/>
      <w:numFmt w:val="bullet"/>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3"/>
    </w:lvl>
  </w:abstractNum>
  <w:abstractNum w:abstractNumId="90">
    <w:nsid w:val="43F18422"/>
    <w:multiLevelType w:val="hybridMultilevel"/>
    <w:lvl w:ilvl="0">
      <w:lvlJc w:val="left"/>
      <w:lvlText w:val="(%1)"/>
      <w:numFmt w:val="lowerLetter"/>
      <w:start w:val="10"/>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24"/>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lowerLetter"/>
      <w:start w:val="2"/>
    </w:lvl>
  </w:abstractNum>
  <w:abstractNum w:abstractNumId="95">
    <w:nsid w:val="7055A5F5"/>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2020-07-24T16:30:30Z</dcterms:created>
  <dcterms:modified xsi:type="dcterms:W3CDTF">2020-07-24T16:30:30Z</dcterms:modified>
</cp:coreProperties>
</file>