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3</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5715</wp:posOffset>
            </wp:positionV>
            <wp:extent cx="106299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This prospectus supplement no. 3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quarterly report on Form 10-Q, which was filed with the Securities and Exchange Commission on August 12, 2021.</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August 11, 2021, the last reported sale price of our common stock on the NASDAQ Global Market was $4.06.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Investment in our common stock involves risks. See “Risk Factors” beginning on page 10 of the Prospectus.</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939165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154305</wp:posOffset>
            </wp:positionV>
            <wp:extent cx="49377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776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61595</wp:posOffset>
            </wp:positionV>
            <wp:extent cx="142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One)</w:t>
      </w:r>
    </w:p>
    <w:p>
      <w:pPr>
        <w:ind w:left="560" w:hanging="552"/>
        <w:spacing w:after="0" w:line="180" w:lineRule="auto"/>
        <w:tabs>
          <w:tab w:leader="none" w:pos="560" w:val="left"/>
        </w:tabs>
        <w:numPr>
          <w:ilvl w:val="0"/>
          <w:numId w:val="1"/>
        </w:numPr>
        <w:rPr>
          <w:rFonts w:ascii="MS PGothic" w:cs="MS PGothic" w:eastAsia="MS PGothic" w:hAnsi="MS PGothic"/>
          <w:sz w:val="39"/>
          <w:szCs w:val="39"/>
          <w:color w:val="auto"/>
          <w:highlight w:val="black"/>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580" w:hanging="572"/>
        <w:spacing w:after="0" w:line="180" w:lineRule="auto"/>
        <w:tabs>
          <w:tab w:leader="none" w:pos="580" w:val="left"/>
        </w:tabs>
        <w:numPr>
          <w:ilvl w:val="0"/>
          <w:numId w:val="2"/>
        </w:numPr>
        <w:rPr>
          <w:rFonts w:ascii="MS PGothic" w:cs="MS PGothic" w:eastAsia="MS PGothic" w:hAnsi="MS PGothic"/>
          <w:sz w:val="36"/>
          <w:szCs w:val="36"/>
          <w:color w:val="auto"/>
          <w:highlight w:val="black"/>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7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001-39438</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7" w:lineRule="exact"/>
        <w:rPr>
          <w:sz w:val="20"/>
          <w:szCs w:val="20"/>
          <w:color w:val="auto"/>
        </w:rPr>
      </w:pPr>
    </w:p>
    <w:tbl>
      <w:tblPr>
        <w:tblLayout w:type="fixed"/>
        <w:tblInd w:w="1480" w:type="dxa"/>
        <w:tblCellMar>
          <w:top w:w="0" w:type="dxa"/>
          <w:left w:w="0" w:type="dxa"/>
          <w:bottom w:w="0" w:type="dxa"/>
          <w:right w:w="0" w:type="dxa"/>
        </w:tblCellMar>
      </w:tblPr>
      <w:tr>
        <w:trPr>
          <w:trHeight w:val="211"/>
        </w:trPr>
        <w:tc>
          <w:tcPr>
            <w:tcW w:w="3020" w:type="dxa"/>
            <w:vAlign w:val="bottom"/>
          </w:tcPr>
          <w:p>
            <w:pPr>
              <w:jc w:val="center"/>
              <w:ind w:right="26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85-1612845</w:t>
            </w:r>
          </w:p>
        </w:tc>
      </w:tr>
      <w:tr>
        <w:trPr>
          <w:trHeight w:val="135"/>
        </w:trPr>
        <w:tc>
          <w:tcPr>
            <w:tcW w:w="3020" w:type="dxa"/>
            <w:vAlign w:val="bottom"/>
          </w:tcPr>
          <w:p>
            <w:pPr>
              <w:jc w:val="center"/>
              <w:ind w:right="264"/>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2240" w:type="dxa"/>
            <w:vAlign w:val="bottom"/>
          </w:tcPr>
          <w:p>
            <w:pPr>
              <w:spacing w:after="0"/>
              <w:rPr>
                <w:sz w:val="11"/>
                <w:szCs w:val="11"/>
                <w:color w:val="auto"/>
              </w:rPr>
            </w:pPr>
          </w:p>
        </w:tc>
        <w:tc>
          <w:tcPr>
            <w:tcW w:w="2180" w:type="dxa"/>
            <w:vAlign w:val="bottom"/>
          </w:tcPr>
          <w:p>
            <w:pPr>
              <w:jc w:val="center"/>
              <w:ind w:left="113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3020" w:type="dxa"/>
            <w:vAlign w:val="bottom"/>
          </w:tcPr>
          <w:p>
            <w:pPr>
              <w:jc w:val="center"/>
              <w:ind w:right="2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240" w:type="dxa"/>
            <w:vAlign w:val="bottom"/>
          </w:tcPr>
          <w:p>
            <w:pPr>
              <w:spacing w:after="0"/>
              <w:rPr>
                <w:sz w:val="11"/>
                <w:szCs w:val="11"/>
                <w:color w:val="auto"/>
              </w:rPr>
            </w:pPr>
          </w:p>
        </w:tc>
        <w:tc>
          <w:tcPr>
            <w:tcW w:w="2180" w:type="dxa"/>
            <w:vAlign w:val="bottom"/>
          </w:tcPr>
          <w:p>
            <w:pPr>
              <w:jc w:val="center"/>
              <w:ind w:left="1130"/>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3020" w:type="dxa"/>
            <w:vAlign w:val="bottom"/>
          </w:tcPr>
          <w:p>
            <w:pPr>
              <w:jc w:val="center"/>
              <w:ind w:right="264"/>
              <w:spacing w:after="0"/>
              <w:rPr>
                <w:sz w:val="20"/>
                <w:szCs w:val="20"/>
                <w:color w:val="auto"/>
              </w:rPr>
            </w:pPr>
            <w:r>
              <w:rPr>
                <w:rFonts w:ascii="Arial" w:cs="Arial" w:eastAsia="Arial" w:hAnsi="Arial"/>
                <w:sz w:val="18"/>
                <w:szCs w:val="18"/>
                <w:b w:val="1"/>
                <w:bCs w:val="1"/>
                <w:color w:val="auto"/>
                <w:w w:val="92"/>
              </w:rPr>
              <w:t>300 One Kendall Square, 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Floor</w:t>
            </w:r>
          </w:p>
        </w:tc>
        <w:tc>
          <w:tcPr>
            <w:tcW w:w="22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020" w:type="dxa"/>
            <w:vAlign w:val="bottom"/>
          </w:tcPr>
          <w:p>
            <w:pPr>
              <w:jc w:val="center"/>
              <w:ind w:right="284"/>
              <w:spacing w:after="0"/>
              <w:rPr>
                <w:sz w:val="20"/>
                <w:szCs w:val="20"/>
                <w:color w:val="auto"/>
              </w:rPr>
            </w:pPr>
            <w:r>
              <w:rPr>
                <w:rFonts w:ascii="Arial" w:cs="Arial" w:eastAsia="Arial" w:hAnsi="Arial"/>
                <w:sz w:val="18"/>
                <w:szCs w:val="18"/>
                <w:b w:val="1"/>
                <w:bCs w:val="1"/>
                <w:color w:val="auto"/>
                <w:w w:val="95"/>
              </w:rPr>
              <w:t>Cambridge, MA</w:t>
            </w:r>
          </w:p>
        </w:tc>
        <w:tc>
          <w:tcPr>
            <w:tcW w:w="44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02139</w:t>
            </w:r>
          </w:p>
        </w:tc>
      </w:tr>
      <w:tr>
        <w:trPr>
          <w:trHeight w:val="164"/>
        </w:trPr>
        <w:tc>
          <w:tcPr>
            <w:tcW w:w="3020" w:type="dxa"/>
            <w:vAlign w:val="bottom"/>
          </w:tcPr>
          <w:p>
            <w:pPr>
              <w:jc w:val="center"/>
              <w:ind w:right="2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240" w:type="dxa"/>
            <w:vAlign w:val="bottom"/>
          </w:tcPr>
          <w:p>
            <w:pPr>
              <w:spacing w:after="0"/>
              <w:rPr>
                <w:sz w:val="14"/>
                <w:szCs w:val="14"/>
                <w:color w:val="auto"/>
              </w:rPr>
            </w:pPr>
          </w:p>
        </w:tc>
        <w:tc>
          <w:tcPr>
            <w:tcW w:w="2180" w:type="dxa"/>
            <w:vAlign w:val="bottom"/>
          </w:tcPr>
          <w:p>
            <w:pPr>
              <w:jc w:val="center"/>
              <w:ind w:left="1130"/>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401-4400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GMTX</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160"/>
        <w:spacing w:after="0" w:line="196"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47" w:lineRule="exact"/>
        <w:rPr>
          <w:sz w:val="20"/>
          <w:szCs w:val="20"/>
          <w:color w:val="auto"/>
        </w:rPr>
      </w:pPr>
    </w:p>
    <w:p>
      <w:pPr>
        <w:ind w:right="180" w:firstLine="510"/>
        <w:spacing w:after="0" w:line="22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2" w:lineRule="exact"/>
        <w:rPr>
          <w:sz w:val="20"/>
          <w:szCs w:val="20"/>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4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0"/>
          <w:szCs w:val="20"/>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ind w:left="520" w:right="212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As of August 10, 2021, the registrant had 43,109,472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685800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“anticipate,” “believe,” “contemplate,” “continue,” “could,” “estimate,” “expect,” “intends,” “may,” “might,” “plan,” “possible,” “potential,” “predict,” “project,” “seek,” “should,” “target,” “will,” “would” or the negative of these terms or similar expressions, but the absence of these words does not mean that a statement is not forward-looking.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results of operations, business strategy, short- and long-term business operations and objectives, and financial needs.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referenced in the section titled “Risk Factors” and elsewhere in this Quarterly Report on Form 10-Q.</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are made only as of the date of this Quarterly Report on Form 10-Q.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Quarterly Report on Form 10-Q to conform these statements to actual results or to changes in our expectations.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 this Quarterly Report on Form 10-Q include, but are not limited to, statements about:</w:t>
      </w:r>
    </w:p>
    <w:p>
      <w:pPr>
        <w:spacing w:after="0" w:line="117" w:lineRule="exact"/>
        <w:rPr>
          <w:sz w:val="20"/>
          <w:szCs w:val="20"/>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acceptable safety and efficacy of our product candidates, including GEM103, our lead product candidate, and other positive results;</w:t>
      </w:r>
    </w:p>
    <w:p>
      <w:pPr>
        <w:spacing w:after="0" w:line="48"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for GEM103 and our other product candidates, including statements regarding the timing of initiation and completion of studies or trials and related preparatory work,</w:t>
      </w:r>
    </w:p>
    <w:p>
      <w:pPr>
        <w:spacing w:after="0" w:line="4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during which the results of the trials will become available, and our research and development programs;</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w:t>
      </w:r>
    </w:p>
    <w:p>
      <w:pPr>
        <w:spacing w:after="0" w:line="103"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marketing approvals of our product candidates and to meet existing or future regulatory standards or comply with post-approval requirements;</w:t>
      </w:r>
    </w:p>
    <w:p>
      <w:pPr>
        <w:spacing w:after="0" w:line="48"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4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expectations regarding our ability to obtain and maintain intellectual property protection;</w:t>
      </w:r>
    </w:p>
    <w:p>
      <w:pPr>
        <w:spacing w:after="0" w:line="103"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4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03"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w:t>
      </w:r>
    </w:p>
    <w:p>
      <w:pPr>
        <w:spacing w:after="0" w:line="4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our competitors and industry;</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impacted by other economic, business, and/or competitive factors;</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exchange and interest rates;</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and rely on third parties to assist in conducting our clinical trials and manufacturing our product candidate;</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medical, commercial or management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368" w:hanging="368"/>
        <w:spacing w:after="0"/>
        <w:tabs>
          <w:tab w:leader="none" w:pos="368"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needs for additional financing;</w:t>
      </w:r>
    </w:p>
    <w:p>
      <w:pPr>
        <w:spacing w:after="0" w:line="126" w:lineRule="exact"/>
        <w:rPr>
          <w:rFonts w:ascii="Arial" w:cs="Arial" w:eastAsia="Arial" w:hAnsi="Arial"/>
          <w:sz w:val="16"/>
          <w:szCs w:val="16"/>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cash runway;</w:t>
      </w:r>
    </w:p>
    <w:p>
      <w:pPr>
        <w:spacing w:after="0" w:line="103"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to recognize the anticipated benefits of the Business Combination (as defined herein); and</w:t>
      </w:r>
    </w:p>
    <w:p>
      <w:pPr>
        <w:spacing w:after="0" w:line="115" w:lineRule="exact"/>
        <w:rPr>
          <w:rFonts w:ascii="Arial" w:cs="Arial" w:eastAsia="Arial" w:hAnsi="Arial"/>
          <w:sz w:val="17"/>
          <w:szCs w:val="17"/>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the COVID-19 pandemic on the foregoing.</w:t>
      </w:r>
    </w:p>
    <w:p>
      <w:pPr>
        <w:spacing w:after="0" w:line="200" w:lineRule="exact"/>
        <w:rPr>
          <w:sz w:val="20"/>
          <w:szCs w:val="20"/>
          <w:color w:val="auto"/>
        </w:rPr>
      </w:pPr>
    </w:p>
    <w:p>
      <w:pPr>
        <w:spacing w:after="0" w:line="241" w:lineRule="exact"/>
        <w:rPr>
          <w:sz w:val="20"/>
          <w:szCs w:val="20"/>
          <w:color w:val="auto"/>
        </w:rPr>
      </w:pPr>
    </w:p>
    <w:p>
      <w:pPr>
        <w:ind w:left="5208"/>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767"/>
          </w:cols>
          <w:pgMar w:left="692" w:top="679"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Financial Statements (Unaudited)</w:t>
              </w:r>
            </w:hyperlink>
          </w:p>
        </w:tc>
        <w:tc>
          <w:tcPr>
            <w:tcW w:w="688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Operations and Comprehensive Loss</w:t>
              </w:r>
            </w:hyperlink>
          </w:p>
        </w:tc>
        <w:tc>
          <w:tcPr>
            <w:tcW w:w="3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Statements of Stockholders’ Equity (Deficit)</w:t>
              </w:r>
            </w:hyperlink>
          </w:p>
        </w:tc>
        <w:tc>
          <w:tcPr>
            <w:tcW w:w="42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Quantitative and Qualitative Disclosures About Market Risk</w:t>
              </w:r>
            </w:hyperlink>
          </w:p>
        </w:tc>
        <w:tc>
          <w:tcPr>
            <w:tcW w:w="49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OTHER INFORMATION</w:t>
              </w:r>
            </w:hyperlink>
          </w:p>
        </w:tc>
        <w:tc>
          <w:tcPr>
            <w:tcW w:w="7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7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18"/>
                <w:szCs w:val="18"/>
                <w:color w:val="auto"/>
              </w:rPr>
            </w:pPr>
          </w:p>
        </w:tc>
        <w:tc>
          <w:tcPr>
            <w:tcW w:w="49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80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Gemini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r>
      <w:tr>
        <w:trPr>
          <w:trHeight w:val="234"/>
        </w:trPr>
        <w:tc>
          <w:tcPr>
            <w:tcW w:w="77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167,477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171,311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172,422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Term loan, current portion</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notes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Term loan, net of current portion and discount</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 shares authorized; no shares issued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as of June 30, 2021 and December 31, 2020</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250,000,000 shares authorized; 43,055,112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15,565,380 shares issued and outstanding as of June 30, 2021 and December 31,</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2020,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305,994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(148,316)</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(112,821)</w:t>
            </w:r>
          </w:p>
        </w:tc>
        <w:tc>
          <w:tcPr>
            <w:tcW w:w="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157,682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 (deficit)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172,422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9560" w:type="dxa"/>
            <w:vAlign w:val="bottom"/>
            <w:gridSpan w:val="4"/>
          </w:tcPr>
          <w:p>
            <w:pPr>
              <w:ind w:left="30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720" w:type="dxa"/>
            <w:vAlign w:val="bottom"/>
          </w:tcPr>
          <w:p>
            <w:pPr>
              <w:ind w:left="55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10,842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5,528</w:t>
            </w:r>
          </w:p>
        </w:tc>
        <w:tc>
          <w:tcPr>
            <w:tcW w:w="14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22,628</w:t>
            </w:r>
          </w:p>
        </w:tc>
        <w:tc>
          <w:tcPr>
            <w:tcW w:w="2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13,745</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10,182</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16,297</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(16,297)</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(1,969)</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(260)</w:t>
            </w: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conversion of convertible notes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(16,447)</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(35,495)</w:t>
            </w:r>
          </w:p>
        </w:tc>
        <w:tc>
          <w:tcPr>
            <w:tcW w:w="2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(16,519)</w:t>
            </w:r>
          </w:p>
        </w:tc>
        <w:tc>
          <w:tcPr>
            <w:tcW w:w="120" w:type="dxa"/>
            <w:vAlign w:val="bottom"/>
            <w:tcBorders>
              <w:bottom w:val="single" w:sz="8" w:color="CFF0FC"/>
            </w:tcBorders>
          </w:tcPr>
          <w:p>
            <w:pPr>
              <w:spacing w:after="0"/>
              <w:rPr>
                <w:sz w:val="22"/>
                <w:szCs w:val="22"/>
                <w:color w:val="auto"/>
              </w:rPr>
            </w:pPr>
          </w:p>
        </w:tc>
      </w:tr>
      <w:tr>
        <w:trPr>
          <w:trHeight w:val="210"/>
        </w:trPr>
        <w:tc>
          <w:tcPr>
            <w:tcW w:w="5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(16,447)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(6,773)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(35,495)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(16,519)</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(0.38)</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(0.44)</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(0.94)</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43,041,856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15,266,222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37,564,936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14,881,097</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center"/>
              <w:ind w:left="457"/>
              <w:spacing w:after="0"/>
              <w:rPr>
                <w:sz w:val="20"/>
                <w:szCs w:val="20"/>
                <w:color w:val="auto"/>
              </w:rPr>
            </w:pPr>
            <w:r>
              <w:rPr>
                <w:rFonts w:ascii="Arial" w:cs="Arial" w:eastAsia="Arial" w:hAnsi="Arial"/>
                <w:sz w:val="13"/>
                <w:szCs w:val="13"/>
                <w:b w:val="1"/>
                <w:bCs w:val="1"/>
                <w:color w:val="auto"/>
                <w:w w:val="84"/>
              </w:rPr>
              <w:t>Series B</w:t>
            </w: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rPr>
              <w:t>Series A</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Borders>
              <w:right w:val="single" w:sz="8" w:color="auto"/>
            </w:tcBorders>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40" w:type="dxa"/>
            <w:vAlign w:val="bottom"/>
          </w:tcPr>
          <w:p>
            <w:pPr>
              <w:spacing w:after="0"/>
              <w:rPr>
                <w:sz w:val="11"/>
                <w:szCs w:val="11"/>
                <w:color w:val="auto"/>
              </w:rPr>
            </w:pPr>
          </w:p>
        </w:tc>
        <w:tc>
          <w:tcPr>
            <w:tcW w:w="1200" w:type="dxa"/>
            <w:vAlign w:val="bottom"/>
            <w:gridSpan w:val="4"/>
          </w:tcPr>
          <w:p>
            <w:pPr>
              <w:jc w:val="right"/>
              <w:ind w:right="117"/>
              <w:spacing w:after="0" w:line="135" w:lineRule="exact"/>
              <w:rPr>
                <w:sz w:val="20"/>
                <w:szCs w:val="20"/>
                <w:color w:val="auto"/>
              </w:rPr>
            </w:pPr>
            <w:r>
              <w:rPr>
                <w:rFonts w:ascii="Arial" w:cs="Arial" w:eastAsia="Arial" w:hAnsi="Arial"/>
                <w:sz w:val="13"/>
                <w:szCs w:val="13"/>
                <w:b w:val="1"/>
                <w:bCs w:val="1"/>
                <w:color w:val="auto"/>
              </w:rPr>
              <w:t>Old Gemini</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174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87"/>
              </w:rPr>
              <w:t>Convertible Preferred Stock</w:t>
            </w:r>
          </w:p>
        </w:tc>
        <w:tc>
          <w:tcPr>
            <w:tcW w:w="960" w:type="dxa"/>
            <w:vAlign w:val="bottom"/>
            <w:gridSpan w:val="3"/>
          </w:tcPr>
          <w:p>
            <w:pPr>
              <w:jc w:val="center"/>
              <w:ind w:left="477"/>
              <w:spacing w:after="0"/>
              <w:rPr>
                <w:sz w:val="20"/>
                <w:szCs w:val="20"/>
                <w:color w:val="auto"/>
              </w:rPr>
            </w:pPr>
            <w:r>
              <w:rPr>
                <w:rFonts w:ascii="Arial" w:cs="Arial" w:eastAsia="Arial" w:hAnsi="Arial"/>
                <w:sz w:val="13"/>
                <w:szCs w:val="13"/>
                <w:b w:val="1"/>
                <w:bCs w:val="1"/>
                <w:color w:val="auto"/>
                <w:w w:val="84"/>
              </w:rPr>
              <w:t>Stock</w:t>
            </w: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4"/>
          </w:tcPr>
          <w:p>
            <w:pPr>
              <w:jc w:val="right"/>
              <w:ind w:right="1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right"/>
              <w:ind w:right="65"/>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paid-in</w:t>
            </w:r>
          </w:p>
        </w:tc>
        <w:tc>
          <w:tcPr>
            <w:tcW w:w="1120" w:type="dxa"/>
            <w:vAlign w:val="bottom"/>
            <w:gridSpan w:val="4"/>
          </w:tcPr>
          <w:p>
            <w:pPr>
              <w:ind w:left="2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85"/>
              </w:rPr>
              <w:t>Amount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3"/>
                <w:szCs w:val="13"/>
                <w:b w:val="1"/>
                <w:bCs w:val="1"/>
                <w:color w:val="auto"/>
                <w:w w:val="87"/>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24"/>
        </w:trPr>
        <w:tc>
          <w:tcPr>
            <w:tcW w:w="2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2019</w:t>
            </w: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(as previously reported)</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39,722,088</w:t>
            </w:r>
          </w:p>
        </w:tc>
        <w:tc>
          <w:tcPr>
            <w:tcW w:w="12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47,113</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9,916,375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13,252</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5,313,766</w:t>
            </w:r>
          </w:p>
        </w:tc>
        <w:tc>
          <w:tcPr>
            <w:tcW w:w="1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5"/>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(71,984)</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(70,797)</w:t>
            </w:r>
          </w:p>
        </w:tc>
        <w:tc>
          <w:tcPr>
            <w:tcW w:w="0" w:type="dxa"/>
            <w:vAlign w:val="bottom"/>
          </w:tcPr>
          <w:p>
            <w:pPr>
              <w:spacing w:after="0"/>
              <w:rPr>
                <w:sz w:val="1"/>
                <w:szCs w:val="1"/>
                <w:color w:val="auto"/>
              </w:rPr>
            </w:pPr>
          </w:p>
        </w:tc>
      </w:tr>
      <w:tr>
        <w:trPr>
          <w:trHeight w:val="134"/>
        </w:trPr>
        <w:tc>
          <w:tcPr>
            <w:tcW w:w="2000" w:type="dxa"/>
            <w:vAlign w:val="bottom"/>
          </w:tcPr>
          <w:p>
            <w:pPr>
              <w:spacing w:after="0" w:line="134" w:lineRule="exact"/>
              <w:rPr>
                <w:sz w:val="20"/>
                <w:szCs w:val="20"/>
                <w:color w:val="auto"/>
              </w:rPr>
            </w:pPr>
            <w:r>
              <w:rPr>
                <w:rFonts w:ascii="Arial" w:cs="Arial" w:eastAsia="Arial" w:hAnsi="Arial"/>
                <w:sz w:val="13"/>
                <w:szCs w:val="13"/>
                <w:color w:val="auto"/>
              </w:rPr>
              <w:t>Retroactive application of the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100"/>
              <w:spacing w:after="0" w:line="135" w:lineRule="exact"/>
              <w:rPr>
                <w:sz w:val="20"/>
                <w:szCs w:val="20"/>
                <w:color w:val="auto"/>
              </w:rPr>
            </w:pPr>
            <w:r>
              <w:rPr>
                <w:rFonts w:ascii="Arial" w:cs="Arial" w:eastAsia="Arial" w:hAnsi="Arial"/>
                <w:sz w:val="13"/>
                <w:szCs w:val="13"/>
                <w:color w:val="auto"/>
                <w:w w:val="91"/>
              </w:rPr>
              <w:t>recapitalization due to the Business</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00"/>
              <w:spacing w:after="0"/>
              <w:rPr>
                <w:sz w:val="20"/>
                <w:szCs w:val="20"/>
                <w:color w:val="auto"/>
              </w:rPr>
            </w:pPr>
            <w:r>
              <w:rPr>
                <w:rFonts w:ascii="Arial" w:cs="Arial" w:eastAsia="Arial" w:hAnsi="Arial"/>
                <w:sz w:val="13"/>
                <w:szCs w:val="13"/>
                <w:color w:val="auto"/>
              </w:rPr>
              <w:t>Combination (Note 3)</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(39,722,088)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(47,113)</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(9,916,375)</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(13,252)</w:t>
            </w:r>
          </w:p>
        </w:tc>
        <w:tc>
          <w:tcPr>
            <w:tcW w:w="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(5,313,766)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11,979,586</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60,369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60,365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2019,</w:t>
            </w: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effect of</w:t>
            </w: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7"/>
              </w:rPr>
              <w:t>Business Combination (Note 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11,979,586</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61,551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(71,984)</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(10,432)</w:t>
            </w:r>
          </w:p>
        </w:tc>
        <w:tc>
          <w:tcPr>
            <w:tcW w:w="0" w:type="dxa"/>
            <w:vAlign w:val="bottom"/>
          </w:tcPr>
          <w:p>
            <w:pPr>
              <w:spacing w:after="0"/>
              <w:rPr>
                <w:sz w:val="1"/>
                <w:szCs w:val="1"/>
                <w:color w:val="auto"/>
              </w:rPr>
            </w:pPr>
          </w:p>
        </w:tc>
      </w:tr>
      <w:tr>
        <w:trPr>
          <w:trHeight w:val="134"/>
        </w:trPr>
        <w:tc>
          <w:tcPr>
            <w:tcW w:w="2000" w:type="dxa"/>
            <w:vAlign w:val="bottom"/>
          </w:tcPr>
          <w:p>
            <w:pPr>
              <w:spacing w:after="0" w:line="134" w:lineRule="exact"/>
              <w:rPr>
                <w:sz w:val="20"/>
                <w:szCs w:val="20"/>
                <w:color w:val="auto"/>
              </w:rPr>
            </w:pPr>
            <w:r>
              <w:rPr>
                <w:rFonts w:ascii="Arial" w:cs="Arial" w:eastAsia="Arial" w:hAnsi="Arial"/>
                <w:sz w:val="13"/>
                <w:szCs w:val="13"/>
                <w:color w:val="auto"/>
              </w:rPr>
              <w:t>Issuance of Series B convertible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Arial" w:cs="Arial" w:eastAsia="Arial" w:hAnsi="Arial"/>
                <w:sz w:val="13"/>
                <w:szCs w:val="13"/>
                <w:color w:val="auto"/>
              </w:rPr>
              <w:t>preferred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00"/>
              <w:spacing w:after="0"/>
              <w:rPr>
                <w:sz w:val="20"/>
                <w:szCs w:val="20"/>
                <w:color w:val="auto"/>
              </w:rPr>
            </w:pPr>
            <w:r>
              <w:rPr>
                <w:rFonts w:ascii="Arial" w:cs="Arial" w:eastAsia="Arial" w:hAnsi="Arial"/>
                <w:sz w:val="13"/>
                <w:szCs w:val="13"/>
                <w:color w:val="auto"/>
                <w:w w:val="91"/>
              </w:rPr>
              <w:t>stock, net of issuance costs of $148</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3,242,655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20,083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Issuance of common stock upon</w:t>
            </w: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exercise of</w:t>
            </w: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17,932</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w w:val="97"/>
              </w:rPr>
              <w:t>Vesting of restricted common stock</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14,470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w w:val="94"/>
              </w:rPr>
              <w:t>Stock-based compensation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(9,746)</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(9,746)</w:t>
            </w:r>
          </w:p>
        </w:tc>
        <w:tc>
          <w:tcPr>
            <w:tcW w:w="0" w:type="dxa"/>
            <w:vAlign w:val="bottom"/>
          </w:tcPr>
          <w:p>
            <w:pPr>
              <w:spacing w:after="0"/>
              <w:rPr>
                <w:sz w:val="1"/>
                <w:szCs w:val="1"/>
                <w:color w:val="auto"/>
              </w:rPr>
            </w:pPr>
          </w:p>
        </w:tc>
      </w:tr>
      <w:tr>
        <w:trPr>
          <w:trHeight w:val="124"/>
        </w:trPr>
        <w:tc>
          <w:tcPr>
            <w:tcW w:w="2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7"/>
              </w:rPr>
              <w:t>Balance at March 31, 2020, effect</w:t>
            </w: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of</w:t>
            </w: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7"/>
              </w:rPr>
              <w:t>Business Combination (Note 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15,254,643</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5"/>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81,738</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(81,730)</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Issuance of common stock upon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5,228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w w:val="97"/>
              </w:rPr>
              <w:t>Vesting of restricted common stock</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14,470</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20"/>
                <w:szCs w:val="20"/>
                <w:color w:val="auto"/>
              </w:rPr>
            </w:pPr>
            <w:r>
              <w:rPr>
                <w:rFonts w:ascii="Arial" w:cs="Arial" w:eastAsia="Arial" w:hAnsi="Arial"/>
                <w:sz w:val="13"/>
                <w:szCs w:val="13"/>
                <w:color w:val="auto"/>
                <w:w w:val="94"/>
              </w:rPr>
              <w:t>Stock-based compensation expense</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(6,773)</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(6,773)</w:t>
            </w:r>
          </w:p>
        </w:tc>
        <w:tc>
          <w:tcPr>
            <w:tcW w:w="0" w:type="dxa"/>
            <w:vAlign w:val="bottom"/>
          </w:tcPr>
          <w:p>
            <w:pPr>
              <w:spacing w:after="0"/>
              <w:rPr>
                <w:sz w:val="1"/>
                <w:szCs w:val="1"/>
                <w:color w:val="auto"/>
              </w:rPr>
            </w:pPr>
          </w:p>
        </w:tc>
      </w:tr>
      <w:tr>
        <w:trPr>
          <w:trHeight w:val="124"/>
        </w:trPr>
        <w:tc>
          <w:tcPr>
            <w:tcW w:w="2000" w:type="dxa"/>
            <w:vAlign w:val="bottom"/>
          </w:tcPr>
          <w:p>
            <w:pPr>
              <w:spacing w:after="0" w:line="124" w:lineRule="exact"/>
              <w:rPr>
                <w:sz w:val="20"/>
                <w:szCs w:val="20"/>
                <w:color w:val="auto"/>
              </w:rPr>
            </w:pPr>
            <w:r>
              <w:rPr>
                <w:rFonts w:ascii="Arial" w:cs="Arial" w:eastAsia="Arial" w:hAnsi="Arial"/>
                <w:sz w:val="13"/>
                <w:szCs w:val="13"/>
                <w:b w:val="1"/>
                <w:bCs w:val="1"/>
                <w:color w:val="auto"/>
                <w:w w:val="93"/>
              </w:rPr>
              <w:t>Balance at June 30, 2020, effect of</w:t>
            </w: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00" w:type="dxa"/>
            <w:vAlign w:val="bottom"/>
          </w:tcPr>
          <w:p>
            <w:pPr>
              <w:ind w:left="100"/>
              <w:spacing w:after="0"/>
              <w:rPr>
                <w:sz w:val="20"/>
                <w:szCs w:val="20"/>
                <w:color w:val="auto"/>
              </w:rPr>
            </w:pPr>
            <w:r>
              <w:rPr>
                <w:rFonts w:ascii="Arial" w:cs="Arial" w:eastAsia="Arial" w:hAnsi="Arial"/>
                <w:sz w:val="13"/>
                <w:szCs w:val="13"/>
                <w:b w:val="1"/>
                <w:bCs w:val="1"/>
                <w:color w:val="auto"/>
                <w:w w:val="97"/>
              </w:rPr>
              <w:t>Business Combination (Note 3)</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0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15,274,341</w:t>
            </w:r>
          </w:p>
        </w:tc>
        <w:tc>
          <w:tcPr>
            <w:tcW w:w="200" w:type="dxa"/>
            <w:vAlign w:val="bottom"/>
          </w:tcPr>
          <w:p>
            <w:pPr>
              <w:spacing w:after="0"/>
              <w:rPr>
                <w:sz w:val="13"/>
                <w:szCs w:val="13"/>
                <w:color w:val="auto"/>
              </w:rPr>
            </w:pPr>
          </w:p>
        </w:tc>
        <w:tc>
          <w:tcPr>
            <w:tcW w:w="340" w:type="dxa"/>
            <w:vAlign w:val="bottom"/>
          </w:tcPr>
          <w:p>
            <w:pPr>
              <w:jc w:val="right"/>
              <w:ind w:right="225"/>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81,885</w:t>
            </w:r>
          </w:p>
        </w:tc>
        <w:tc>
          <w:tcPr>
            <w:tcW w:w="3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(88,503)</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(6,616)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Series A</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rPr>
              <w:t>Series B</w:t>
            </w: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jc w:val="right"/>
              <w:ind w:right="125"/>
              <w:spacing w:after="0" w:line="135" w:lineRule="exact"/>
              <w:rPr>
                <w:sz w:val="20"/>
                <w:szCs w:val="20"/>
                <w:color w:val="auto"/>
              </w:rPr>
            </w:pPr>
            <w:r>
              <w:rPr>
                <w:rFonts w:ascii="Arial" w:cs="Arial" w:eastAsia="Arial" w:hAnsi="Arial"/>
                <w:sz w:val="13"/>
                <w:szCs w:val="13"/>
                <w:b w:val="1"/>
                <w:bCs w:val="1"/>
                <w:color w:val="auto"/>
              </w:rPr>
              <w:t>Old Gemini</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74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w w:val="87"/>
              </w:rPr>
              <w:t>Convertible Preferred Stock</w:t>
            </w:r>
          </w:p>
        </w:tc>
        <w:tc>
          <w:tcPr>
            <w:tcW w:w="1720" w:type="dxa"/>
            <w:vAlign w:val="bottom"/>
            <w:tcBorders>
              <w:right w:val="single" w:sz="8" w:color="auto"/>
            </w:tcBorders>
            <w:gridSpan w:val="6"/>
          </w:tcPr>
          <w:p>
            <w:pPr>
              <w:jc w:val="right"/>
              <w:ind w:right="200"/>
              <w:spacing w:after="0"/>
              <w:rPr>
                <w:sz w:val="20"/>
                <w:szCs w:val="20"/>
                <w:color w:val="auto"/>
              </w:rPr>
            </w:pPr>
            <w:r>
              <w:rPr>
                <w:rFonts w:ascii="Arial" w:cs="Arial" w:eastAsia="Arial" w:hAnsi="Arial"/>
                <w:sz w:val="13"/>
                <w:szCs w:val="13"/>
                <w:b w:val="1"/>
                <w:bCs w:val="1"/>
                <w:color w:val="auto"/>
                <w:w w:val="87"/>
              </w:rPr>
              <w:t>Convertible Preferred Stock</w:t>
            </w:r>
          </w:p>
        </w:tc>
        <w:tc>
          <w:tcPr>
            <w:tcW w:w="60" w:type="dxa"/>
            <w:vAlign w:val="bottom"/>
          </w:tcPr>
          <w:p>
            <w:pPr>
              <w:spacing w:after="0"/>
              <w:rPr>
                <w:sz w:val="13"/>
                <w:szCs w:val="13"/>
                <w:color w:val="auto"/>
              </w:rPr>
            </w:pPr>
          </w:p>
        </w:tc>
        <w:tc>
          <w:tcPr>
            <w:tcW w:w="1200" w:type="dxa"/>
            <w:vAlign w:val="bottom"/>
            <w:gridSpan w:val="3"/>
          </w:tcPr>
          <w:p>
            <w:pPr>
              <w:jc w:val="right"/>
              <w:ind w:right="25"/>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right"/>
              <w:ind w:right="44"/>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paid-in</w:t>
            </w:r>
          </w:p>
        </w:tc>
        <w:tc>
          <w:tcPr>
            <w:tcW w:w="1040" w:type="dxa"/>
            <w:vAlign w:val="bottom"/>
            <w:gridSpan w:val="4"/>
          </w:tcPr>
          <w:p>
            <w:pPr>
              <w:ind w:left="20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Shares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3"/>
                <w:szCs w:val="13"/>
                <w:b w:val="1"/>
                <w:bCs w:val="1"/>
                <w:color w:val="auto"/>
                <w:w w:val="87"/>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78"/>
              <w:spacing w:after="0" w:line="142" w:lineRule="exact"/>
              <w:rPr>
                <w:sz w:val="20"/>
                <w:szCs w:val="20"/>
                <w:color w:val="auto"/>
              </w:rPr>
            </w:pPr>
            <w:r>
              <w:rPr>
                <w:rFonts w:ascii="Arial" w:cs="Arial" w:eastAsia="Arial" w:hAnsi="Arial"/>
                <w:sz w:val="13"/>
                <w:szCs w:val="13"/>
                <w:b w:val="1"/>
                <w:bCs w:val="1"/>
                <w:color w:val="auto"/>
                <w:w w:val="99"/>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24"/>
        </w:trPr>
        <w:tc>
          <w:tcPr>
            <w:tcW w:w="196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2020</w:t>
            </w: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(as previously reported)</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39,722,088</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47,113</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24,790,938</w:t>
            </w:r>
          </w:p>
        </w:tc>
        <w:tc>
          <w:tcPr>
            <w:tcW w:w="12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33,336</w:t>
            </w: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6,900,493</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0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FF0FC"/>
          </w:tcPr>
          <w:p>
            <w:pPr>
              <w:jc w:val="right"/>
              <w:ind w:right="224"/>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10,504</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(112,821)</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(102,310)</w:t>
            </w:r>
          </w:p>
        </w:tc>
        <w:tc>
          <w:tcPr>
            <w:tcW w:w="0" w:type="dxa"/>
            <w:vAlign w:val="bottom"/>
          </w:tcPr>
          <w:p>
            <w:pPr>
              <w:spacing w:after="0"/>
              <w:rPr>
                <w:sz w:val="1"/>
                <w:szCs w:val="1"/>
                <w:color w:val="auto"/>
              </w:rPr>
            </w:pPr>
          </w:p>
        </w:tc>
      </w:tr>
      <w:tr>
        <w:trPr>
          <w:trHeight w:val="134"/>
        </w:trPr>
        <w:tc>
          <w:tcPr>
            <w:tcW w:w="1960" w:type="dxa"/>
            <w:vAlign w:val="bottom"/>
          </w:tcPr>
          <w:p>
            <w:pPr>
              <w:spacing w:after="0" w:line="134" w:lineRule="exact"/>
              <w:rPr>
                <w:sz w:val="20"/>
                <w:szCs w:val="20"/>
                <w:color w:val="auto"/>
              </w:rPr>
            </w:pPr>
            <w:r>
              <w:rPr>
                <w:rFonts w:ascii="Arial" w:cs="Arial" w:eastAsia="Arial" w:hAnsi="Arial"/>
                <w:sz w:val="13"/>
                <w:szCs w:val="13"/>
                <w:color w:val="auto"/>
              </w:rPr>
              <w:t>Retroactive application of the</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00"/>
              <w:spacing w:after="0" w:line="135" w:lineRule="exact"/>
              <w:rPr>
                <w:sz w:val="20"/>
                <w:szCs w:val="20"/>
                <w:color w:val="auto"/>
              </w:rPr>
            </w:pPr>
            <w:r>
              <w:rPr>
                <w:rFonts w:ascii="Arial" w:cs="Arial" w:eastAsia="Arial" w:hAnsi="Arial"/>
                <w:sz w:val="13"/>
                <w:szCs w:val="13"/>
                <w:color w:val="auto"/>
              </w:rPr>
              <w:t>recapitalization due to the</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00"/>
              <w:spacing w:after="0"/>
              <w:rPr>
                <w:sz w:val="20"/>
                <w:szCs w:val="20"/>
                <w:color w:val="auto"/>
              </w:rPr>
            </w:pPr>
            <w:r>
              <w:rPr>
                <w:rFonts w:ascii="Arial" w:cs="Arial" w:eastAsia="Arial" w:hAnsi="Arial"/>
                <w:sz w:val="13"/>
                <w:szCs w:val="13"/>
                <w:color w:val="auto"/>
              </w:rPr>
              <w:t>Combination (Note 3)</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(39,722,088)</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(47,113)</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(24,790,938)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(33,336)</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(6,900,493)</w:t>
            </w:r>
          </w:p>
        </w:tc>
        <w:tc>
          <w:tcPr>
            <w:tcW w:w="32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(7)</w:t>
            </w:r>
          </w:p>
        </w:tc>
        <w:tc>
          <w:tcPr>
            <w:tcW w:w="680" w:type="dxa"/>
            <w:vAlign w:val="bottom"/>
          </w:tcPr>
          <w:p>
            <w:pPr>
              <w:jc w:val="right"/>
              <w:spacing w:after="0"/>
              <w:rPr>
                <w:sz w:val="20"/>
                <w:szCs w:val="20"/>
                <w:color w:val="auto"/>
              </w:rPr>
            </w:pPr>
            <w:r>
              <w:rPr>
                <w:rFonts w:ascii="Arial" w:cs="Arial" w:eastAsia="Arial" w:hAnsi="Arial"/>
                <w:sz w:val="13"/>
                <w:szCs w:val="13"/>
                <w:color w:val="auto"/>
              </w:rPr>
              <w:t>15,565,380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80,454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6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2020,</w:t>
            </w: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effect of</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5"/>
              </w:rPr>
              <w:t>Business Combination (Note 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15,565,380</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90,958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(112,821)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(21,861)</w:t>
            </w:r>
          </w:p>
        </w:tc>
        <w:tc>
          <w:tcPr>
            <w:tcW w:w="0" w:type="dxa"/>
            <w:vAlign w:val="bottom"/>
          </w:tcPr>
          <w:p>
            <w:pPr>
              <w:spacing w:after="0"/>
              <w:rPr>
                <w:sz w:val="1"/>
                <w:szCs w:val="1"/>
                <w:color w:val="auto"/>
              </w:rPr>
            </w:pPr>
          </w:p>
        </w:tc>
      </w:tr>
      <w:tr>
        <w:trPr>
          <w:trHeight w:val="134"/>
        </w:trPr>
        <w:tc>
          <w:tcPr>
            <w:tcW w:w="1960" w:type="dxa"/>
            <w:vAlign w:val="bottom"/>
          </w:tcPr>
          <w:p>
            <w:pPr>
              <w:spacing w:after="0" w:line="134" w:lineRule="exact"/>
              <w:rPr>
                <w:sz w:val="20"/>
                <w:szCs w:val="20"/>
                <w:color w:val="auto"/>
              </w:rPr>
            </w:pPr>
            <w:r>
              <w:rPr>
                <w:rFonts w:ascii="Arial" w:cs="Arial" w:eastAsia="Arial" w:hAnsi="Arial"/>
                <w:sz w:val="13"/>
                <w:szCs w:val="13"/>
                <w:color w:val="auto"/>
              </w:rPr>
              <w:t>Issuance of common stock upon</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00"/>
              <w:spacing w:after="0" w:line="135" w:lineRule="exact"/>
              <w:rPr>
                <w:sz w:val="20"/>
                <w:szCs w:val="20"/>
                <w:color w:val="auto"/>
              </w:rPr>
            </w:pPr>
            <w:r>
              <w:rPr>
                <w:rFonts w:ascii="Arial" w:cs="Arial" w:eastAsia="Arial" w:hAnsi="Arial"/>
                <w:sz w:val="13"/>
                <w:szCs w:val="13"/>
                <w:color w:val="auto"/>
                <w:w w:val="91"/>
              </w:rPr>
              <w:t>Combination, net of issuance costs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00"/>
              <w:spacing w:after="0"/>
              <w:rPr>
                <w:sz w:val="20"/>
                <w:szCs w:val="20"/>
                <w:color w:val="auto"/>
              </w:rPr>
            </w:pPr>
            <w:r>
              <w:rPr>
                <w:rFonts w:ascii="Arial" w:cs="Arial" w:eastAsia="Arial" w:hAnsi="Arial"/>
                <w:sz w:val="13"/>
                <w:szCs w:val="13"/>
                <w:color w:val="auto"/>
              </w:rPr>
              <w:t>(Note 3)</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25,041,150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7"/>
              </w:rPr>
              <w:t>195,880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195,882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Conversion of promissory notes</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(Note 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2,341,316</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60" w:type="dxa"/>
            <w:vAlign w:val="bottom"/>
          </w:tcPr>
          <w:p>
            <w:pPr>
              <w:spacing w:after="0" w:line="134" w:lineRule="exact"/>
              <w:rPr>
                <w:sz w:val="20"/>
                <w:szCs w:val="20"/>
                <w:color w:val="auto"/>
              </w:rPr>
            </w:pPr>
            <w:r>
              <w:rPr>
                <w:rFonts w:ascii="Arial" w:cs="Arial" w:eastAsia="Arial" w:hAnsi="Arial"/>
                <w:sz w:val="13"/>
                <w:szCs w:val="13"/>
                <w:color w:val="auto"/>
              </w:rPr>
              <w:t>Issuance of common stock upon</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00"/>
              <w:spacing w:after="0"/>
              <w:rPr>
                <w:sz w:val="20"/>
                <w:szCs w:val="20"/>
                <w:color w:val="auto"/>
              </w:rPr>
            </w:pPr>
            <w:r>
              <w:rPr>
                <w:rFonts w:ascii="Arial" w:cs="Arial" w:eastAsia="Arial" w:hAnsi="Arial"/>
                <w:sz w:val="13"/>
                <w:szCs w:val="13"/>
                <w:color w:val="auto"/>
              </w:rPr>
              <w:t>warrants (Note 3)</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15,257</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5"/>
              </w:rPr>
              <w:t>Vesting of restricted common stock</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35,561</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60" w:type="dxa"/>
            <w:vAlign w:val="bottom"/>
          </w:tcPr>
          <w:p>
            <w:pPr>
              <w:spacing w:after="0" w:line="134" w:lineRule="exact"/>
              <w:rPr>
                <w:sz w:val="20"/>
                <w:szCs w:val="20"/>
                <w:color w:val="auto"/>
              </w:rPr>
            </w:pPr>
            <w:r>
              <w:rPr>
                <w:rFonts w:ascii="Arial" w:cs="Arial" w:eastAsia="Arial" w:hAnsi="Arial"/>
                <w:sz w:val="13"/>
                <w:szCs w:val="13"/>
                <w:color w:val="auto"/>
              </w:rPr>
              <w:t>Issuance of common stock upon</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3,480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2"/>
              </w:rPr>
              <w:t>Stock-based compensation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8"/>
              <w:spacing w:after="0"/>
              <w:rPr>
                <w:sz w:val="20"/>
                <w:szCs w:val="20"/>
                <w:color w:val="auto"/>
              </w:rPr>
            </w:pPr>
            <w:r>
              <w:rPr>
                <w:rFonts w:ascii="Arial" w:cs="Arial" w:eastAsia="Arial" w:hAnsi="Arial"/>
                <w:sz w:val="13"/>
                <w:szCs w:val="13"/>
                <w:color w:val="auto"/>
              </w:rPr>
              <w:t>(19,048)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(19,048)</w:t>
            </w:r>
          </w:p>
        </w:tc>
        <w:tc>
          <w:tcPr>
            <w:tcW w:w="0" w:type="dxa"/>
            <w:vAlign w:val="bottom"/>
          </w:tcPr>
          <w:p>
            <w:pPr>
              <w:spacing w:after="0"/>
              <w:rPr>
                <w:sz w:val="1"/>
                <w:szCs w:val="1"/>
                <w:color w:val="auto"/>
              </w:rPr>
            </w:pPr>
          </w:p>
        </w:tc>
      </w:tr>
      <w:tr>
        <w:trPr>
          <w:trHeight w:val="142"/>
        </w:trPr>
        <w:tc>
          <w:tcPr>
            <w:tcW w:w="19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43,002,144</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2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7"/>
              </w:rPr>
              <w:t>303,026</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(131,869</w:t>
            </w:r>
          </w:p>
        </w:tc>
        <w:tc>
          <w:tcPr>
            <w:tcW w:w="120" w:type="dxa"/>
            <w:vAlign w:val="bottom"/>
            <w:tcBorders>
              <w:top w:val="single" w:sz="8" w:color="CFF0FC"/>
              <w:bottom w:val="single" w:sz="8" w:color="CFF0FC"/>
            </w:tcBorders>
            <w:shd w:val="clear" w:color="auto" w:fill="CFF0FC"/>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171,161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3"/>
                <w:szCs w:val="13"/>
                <w:color w:val="auto"/>
              </w:rPr>
              <w:t>Issuance of common stock upon</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52,968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2"/>
              </w:rPr>
              <w:t>Stock-based compensation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8"/>
              <w:spacing w:after="0"/>
              <w:rPr>
                <w:sz w:val="20"/>
                <w:szCs w:val="20"/>
                <w:color w:val="auto"/>
              </w:rPr>
            </w:pPr>
            <w:r>
              <w:rPr>
                <w:rFonts w:ascii="Arial" w:cs="Arial" w:eastAsia="Arial" w:hAnsi="Arial"/>
                <w:sz w:val="13"/>
                <w:szCs w:val="13"/>
                <w:color w:val="auto"/>
              </w:rPr>
              <w:t>(16,447)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(16,447)</w:t>
            </w:r>
          </w:p>
        </w:tc>
        <w:tc>
          <w:tcPr>
            <w:tcW w:w="0" w:type="dxa"/>
            <w:vAlign w:val="bottom"/>
          </w:tcPr>
          <w:p>
            <w:pPr>
              <w:spacing w:after="0"/>
              <w:rPr>
                <w:sz w:val="1"/>
                <w:szCs w:val="1"/>
                <w:color w:val="auto"/>
              </w:rPr>
            </w:pPr>
          </w:p>
        </w:tc>
      </w:tr>
      <w:tr>
        <w:trPr>
          <w:trHeight w:val="142"/>
        </w:trPr>
        <w:tc>
          <w:tcPr>
            <w:tcW w:w="19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June 30, 2021</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43,055,112</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2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7"/>
              </w:rPr>
              <w:t>305,994</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(148,316</w:t>
            </w:r>
          </w:p>
        </w:tc>
        <w:tc>
          <w:tcPr>
            <w:tcW w:w="120" w:type="dxa"/>
            <w:vAlign w:val="bottom"/>
            <w:tcBorders>
              <w:top w:val="single" w:sz="8" w:color="CFF0FC"/>
              <w:bottom w:val="single" w:sz="8" w:color="CFF0FC"/>
            </w:tcBorders>
            <w:shd w:val="clear" w:color="auto" w:fill="CFF0FC"/>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157,682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(35,495)</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(16,519)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Loss on conversion of convertible notes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discount on convertible notes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(3,272)</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Deferred offering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(559)</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(30,935)</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(16,914)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Business Combination,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195,882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Series B convertible preferred stock,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20,084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term loan</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(2,083)</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193,909</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20,103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162,974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167,800</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paid for interest</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CFF0FC"/>
            </w:tcBorders>
          </w:tcPr>
          <w:p>
            <w:pPr>
              <w:spacing w:after="0"/>
              <w:rPr>
                <w:sz w:val="23"/>
                <w:szCs w:val="23"/>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Conversion of convertible notes to Series B preferred stock</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14,515</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Gemini Therapeutics, Inc. (the “Company” or “Gemini”) is a clinical-stage precision medicine company developing novel therapeutic compounds to treat genetically defined, age-related macular degeneration. The Company was founded on March 3, 2015 and is currently located in Cambridge, Massachusetts.</w:t>
      </w:r>
    </w:p>
    <w:p>
      <w:pPr>
        <w:spacing w:after="0" w:line="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the context otherwise requires, references in these notes to “Gemini”, “the Company”, “we”, “us” and “our” and any related terms are intended to mean Gemini Therapeutics, Inc. and its consolidated subsidiary following the Business Combination (as defined below).</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its inception, the Company has devoted substantially all its efforts and financial resources to organizing and staffing the Company, business planning, raising capital, discovering product candidates and securing related intellectual property rights and conducting research and development activities for our product candidates. The Company’s lead product candidate, GEM103, is currently in Phase 2a clinical development and its other product candidates and research initiatives are in preclinical or earlier stages of development.</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the Company’s Common Stock in a private placement of public equity (the “PIPE Financing”). Together with FSDC’s cash resources and funding of the PIPE Financing, the Company received net proceeds of approximately $195.9 million.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compliance with government regulations, and the impact of the novel coronavirus disease (“COVID-19”) pandemic. If the Company does not successfully commercialize any of its product candidates, it will be unable to generate recurring product revenue or achieve profitability.</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jc w:val="both"/>
        <w:spacing w:after="0" w:line="269" w:lineRule="auto"/>
        <w:rPr>
          <w:sz w:val="20"/>
          <w:szCs w:val="20"/>
          <w:color w:val="auto"/>
        </w:rPr>
      </w:pPr>
      <w:r>
        <w:rPr>
          <w:rFonts w:ascii="Arial" w:cs="Arial" w:eastAsia="Arial" w:hAnsi="Arial"/>
          <w:sz w:val="17"/>
          <w:szCs w:val="17"/>
          <w:color w:val="auto"/>
        </w:rPr>
        <w:t>Prior to the Business Combination, the Company primarily financed its operations through the sale of convertible preferred stock, borrowings under convertible promissory notes and borrowings under loan agreements. The Company believes that its $167.5 million of cash and cash equivalents as of June 30, 2021 will enable it to fund its planned operations for at least twelve months from the issuance date of these condensed consolidated financial statements, though the Company may pursue additional cash resources through public or private equity or debt financings.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If adequate funds are not available to the Company on a timely basis,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2020, the World Health Organization declared the COVID-19 outbreak a pandemic. The COVID-19 outbreak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COVID-19 pandemic has resulted in and will likely continue to result in significant disruptions to the global economy, and businesses and capital markets around the world. The Company cannot predict the future progression or full impact of the outbreak and its effects on the Company’s business and operations.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third-party contract manufacturers (“CMOs”), contract research organizations (“CROs”) and clinical sites have experienced and may continue to experience disruptions in supply of product candidates and/or procurement of items that are essential for the Company’s research and development activities, including raw materials used in the manufacturing of its product candidates, medical and laboratory supplies used in its clinical trials or preclinical studies or animals that are used for preclinical testing, in each case, for which there may be shortages because of ongoing efforts to address the outbreak.</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the Company has enrolled, and will seek to enroll, patients in its clinical trials at sites located both in the United States and internationally. Most of the Company’s clinical trial sites are in areas affected by COVID-19 and, as a result, its trials have been and may continue to be impacted. The Company cannot predict how long or impactful these delays may be on its clinical trials. In addition, even if sites are initiating and actively recruiting, the Company may face difficulties recruiting or retaining patients in its clinical trials if patients are affected by the virus or are unable to or are fearful of visiting or traveling to clinical trial sites because of the outbreak. Prolonged delays or closure to enrollment in the Company’s trials or patient discontinuations could have a material adverse impact on its clinical trial plans and timelines. In addition, the Company’s ability to collect and verify data requested of patients enrolled in its clinical trials during this pandemic is being impacted to varying degrees. Clinical trial data collection continues for each of the Company’s clinical trials but at a slower pace, and with challenges and interruptions in data collection, including, in some instances, disruption of collection of complete study data. This could have a material adverse impact on the Company’s data quality and analysis. In addition, clinical trial sites may be unable or unwilling to initiate a new trial if factors relevant to the pandemic render this impracticable. These COVID-19 related issues may prolong the time required to conduct ongoing clinical trials and/or impact the quality of the data obtained from one or more of these studies.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not incurred impairment losses in the carrying values of its assets as a result of the COVID-19 pandemic, and it is not aware of any specific related event or circumstance that would require it to revise its estimates reflected in these condensed consolidated financial statements. Although the COVID-19 pandemic did not have a significant impact on the Company’s condensed consolidated financial results in the second quarter of 2021, the full extent to which the COVID-19 pandemic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5, 2021, Old Gemini and FSDC completed the Business Combination pursuant to the Merger Agreement with Old Gemini surviving the merger as a wholly owned subsidiary of FSDC. Net proceeds from the Business Combination totaled approximately $195.9 million, which included funds held in FSDC’s trust account and the completion of the concurrent PIPE Financing.</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terms and subject to the conditions of the Merger Agreement, at the effective time of the Merger, (i) all shares of Old Gemini’s Series B Preferred Stock (including shares of Series B Preferred Stock issued upon conversion of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jc w:val="both"/>
        <w:ind w:right="20"/>
        <w:spacing w:after="0" w:line="290" w:lineRule="auto"/>
        <w:rPr>
          <w:sz w:val="20"/>
          <w:szCs w:val="20"/>
          <w:color w:val="auto"/>
        </w:rPr>
      </w:pPr>
      <w:r>
        <w:rPr>
          <w:rFonts w:ascii="Arial" w:cs="Arial" w:eastAsia="Arial" w:hAnsi="Arial"/>
          <w:sz w:val="16"/>
          <w:szCs w:val="16"/>
          <w:color w:val="auto"/>
        </w:rPr>
        <w:t>convertible promissory notes), Series A Preferred Stock and Common Stock (collectively, “Old Gemini Stock”) issued and outstanding immediately prior to the effective time of the Merger, whether vested or unvested, were converted into the right to receive their pro rata portion of the 17,942,274 shares of FSDC Class A Common Stock (the “Common Stock”) issued as Merger consideration (the “Merger Consideration”), provided that 2,150,000 shares of Common Stock are held in escrow for a period of 12 months from the Closing Date to satisfy any indemnification obligations of Old Gemini under the Merger Agreement; (ii) each option exercisable for Old Gemini 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“2021 Plan”).</w:t>
      </w:r>
    </w:p>
    <w:p>
      <w:pPr>
        <w:spacing w:after="0" w:line="13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The Company accounted for the Business Combination as a reverse recapitalization, which is the equivalent of Old Gemini issuing stock for the net assets of FSDC, accompanied by a recapitalization, with FSDC treated as the acquired company for accounting purposes. The determination of FSDC as the “acquired” company for accounting purposes was primarily based on the fact that subsequent to the Business Combination, shareholders of Old Gemini prior to the Business Combination have a majority of the voting power of the combined company, the operations of Old Gemini will comprise all of the ongoing operations of the combined entity, and Old Gemini’s senior management will comprise all of the senior management of the combined company.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the “Conversion Ratio”).</w:t>
      </w:r>
    </w:p>
    <w:p>
      <w:pPr>
        <w:spacing w:after="0" w:line="12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Business Combination, the Company incurred equity issuance costs and other costs considered direct and incremental to the transaction totaling $21.0 million, consisting of legal, accounting, financial advisory and other professional fees. These amounts are reflected within additional paid-in capital in the condensed consolidated balance sheet as of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Concurrent with the execution of the Business Combination, the Company entered into subscription agreements with certain investors (the “PIPE Investors”) pursuant to which the PIPE Investors subscribed for and purchased an aggregate of 9,506,000 shares of Common Stock for an aggregate purchase price of $95.1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Net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elements of the net proceeds from the Business Combination as of June 30, 2021 (in thousands):</w:t>
      </w:r>
    </w:p>
    <w:p>
      <w:pPr>
        <w:sectPr>
          <w:pgSz w:w="11900" w:h="16838" w:orient="portrait"/>
          <w:cols w:equalWidth="0" w:num="1">
            <w:col w:w="11260"/>
          </w:cols>
          <w:pgMar w:left="320" w:top="517" w:right="31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Cash - FSDC Trust Account and cash (net of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right="3420" w:hanging="246"/>
        <w:spacing w:after="0" w:line="307" w:lineRule="auto"/>
        <w:rPr>
          <w:sz w:val="20"/>
          <w:szCs w:val="20"/>
          <w:color w:val="auto"/>
        </w:rPr>
      </w:pPr>
      <w:r>
        <w:rPr>
          <w:rFonts w:ascii="Arial" w:cs="Arial" w:eastAsia="Arial" w:hAnsi="Arial"/>
          <w:sz w:val="18"/>
          <w:szCs w:val="18"/>
          <w:color w:val="auto"/>
        </w:rPr>
        <w:t>Less: Equity issuance costs and other costs paid prior to June 30, 2021 Net proceeds from the Business Combination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Shares Issued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300" w:hanging="129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121,782</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95,060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(20,960)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0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5" w:lineRule="exact"/>
        <w:rPr>
          <w:sz w:val="20"/>
          <w:szCs w:val="20"/>
          <w:color w:val="auto"/>
        </w:rPr>
      </w:pPr>
    </w:p>
    <w:p>
      <w:pPr>
        <w:ind w:left="1300" w:hanging="129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195,882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0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1200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8500" w:space="720"/>
            <w:col w:w="2040"/>
          </w:cols>
          <w:pgMar w:left="320" w:top="517" w:right="319" w:bottom="1440"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FSDC shares outstanding prior to the Business Combination</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15,535,150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issued pursuant to the PIPE Financing</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9,506,000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Business Combination and PIPE Financing shares</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25,041,150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Conversion of Old Gemini Series A preferred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8,657,869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Old Gemini Series B preferred stock for common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7,744,785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Conversion of Old Gemini common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1,539,603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 warrants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60" w:type="dxa"/>
            <w:vAlign w:val="bottom"/>
          </w:tcPr>
          <w:p>
            <w:pPr>
              <w:ind w:left="260"/>
              <w:spacing w:after="0"/>
              <w:rPr>
                <w:sz w:val="20"/>
                <w:szCs w:val="20"/>
                <w:color w:val="auto"/>
              </w:rPr>
            </w:pPr>
            <w:r>
              <w:rPr>
                <w:rFonts w:ascii="Arial" w:cs="Arial" w:eastAsia="Arial" w:hAnsi="Arial"/>
                <w:sz w:val="18"/>
                <w:szCs w:val="18"/>
                <w:color w:val="auto"/>
              </w:rPr>
              <w:t>Total shares of the Company's common stock outstanding immediately following</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380"/>
              <w:spacing w:after="0"/>
              <w:rPr>
                <w:sz w:val="20"/>
                <w:szCs w:val="20"/>
                <w:color w:val="auto"/>
              </w:rPr>
            </w:pPr>
            <w:r>
              <w:rPr>
                <w:rFonts w:ascii="Arial" w:cs="Arial" w:eastAsia="Arial" w:hAnsi="Arial"/>
                <w:sz w:val="18"/>
                <w:szCs w:val="18"/>
                <w:color w:val="auto"/>
              </w:rPr>
              <w:t>the Business Combination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42,998,664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5580"/>
              <w:spacing w:after="0"/>
              <w:rPr>
                <w:sz w:val="20"/>
                <w:szCs w:val="20"/>
                <w:color w:val="auto"/>
              </w:rPr>
            </w:pPr>
            <w:r>
              <w:rPr>
                <w:rFonts w:ascii="Arial" w:cs="Arial" w:eastAsia="Arial" w:hAnsi="Arial"/>
                <w:sz w:val="18"/>
                <w:szCs w:val="18"/>
                <w:color w:val="auto"/>
              </w:rPr>
              <w:t>8</w:t>
            </w: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type w:val="continuous"/>
        </w:sectPr>
      </w:pPr>
    </w:p>
    <w:bookmarkStart w:id="13" w:name="page14"/>
    <w:bookmarkEnd w:id="13"/>
    <w:p>
      <w:pPr>
        <w:ind w:right="7700" w:firstLine="8"/>
        <w:spacing w:after="0" w:line="464"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right="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include those of the Company and its subsidiary, Gemini Therapeutics Sub, Inc., after elimination of all intercompany accounts and transactions. The accompanying unaudited condensed consolidated financial statements and notes hereto have been prepared in conformity with the rules and regulations of the Securities and Exchange Commission (“SEC”) for interim financial reporting and, therefore, omit or condense certain footnotes and other information normally included in financial statements prepared in accordance with accounting principles generally accepted in the United States of America (“GAAP”) as set forth in the Financial Accounting Standards Board’s (“FASB”). Any reference in these notes to applicable guidance is meant to refer to the authoritative GAAP as found in the Accounting Standards Codification (“ASC”) and Accounting Standards Updates (“ASU”) of the FASB.</w:t>
      </w:r>
    </w:p>
    <w:p>
      <w:pPr>
        <w:spacing w:after="0" w:line="13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2021 and 2020 are not necessarily indicative of the results for the entire fiscal year or any other period. The condensed consolidated financial information for the three and six months ended June 30, 2021 and 2020 have been prepared on the same basis as and should be read in conjunction with Old Gemini’s audited financial statements and notes thereto for the year ended December 31, 2020 included in the Company’s Form 8-K/A as filed with the SEC on March 29, 2021.</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As a result of the Business Combination,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For additional information regarding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effect the reported amounts of assets and liabilities and disclosure of contingent assets and liabilities at the date of the financial statements and the reported amounts of expenses during the reporting periods. Significant estimates contained within these financial statements include, but are not limited to, the accruals of research and development expenses, share-based awards utilized for stock-based compensation purposes and, prior to the Business Combination, the estimated fair value of the Company’s common stock and warrant liability.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as of June 30, 2021 and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Restricted cash amounted to $323 thousand as of June 30, 2021 and December 31, 2020, which consists of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balance sheets to the Company’s statements of cash flows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Borders>
              <w:bottom w:val="single" w:sz="8" w:color="CFF0FC"/>
            </w:tcBorders>
          </w:tcPr>
          <w:p>
            <w:pPr>
              <w:spacing w:after="0"/>
              <w:rPr>
                <w:sz w:val="20"/>
                <w:szCs w:val="20"/>
                <w:color w:val="auto"/>
              </w:rPr>
            </w:pPr>
          </w:p>
        </w:tc>
        <w:tc>
          <w:tcPr>
            <w:tcW w:w="3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167,477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3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167,800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40" w:type="dxa"/>
            <w:vAlign w:val="bottom"/>
            <w:vMerge w:val="restart"/>
          </w:tcPr>
          <w:p>
            <w:pPr>
              <w:jc w:val="right"/>
              <w:ind w:right="197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a straight-line basis over the estimated useful lives of the assets. The estimated useful lives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7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8"/>
              </w:rPr>
              <w:t>3 years</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760" w:type="dxa"/>
            <w:vAlign w:val="bottom"/>
          </w:tcPr>
          <w:p>
            <w:pPr>
              <w:jc w:val="center"/>
              <w:ind w:left="1110"/>
              <w:spacing w:after="0"/>
              <w:rPr>
                <w:sz w:val="20"/>
                <w:szCs w:val="20"/>
                <w:color w:val="auto"/>
              </w:rPr>
            </w:pPr>
            <w:r>
              <w:rPr>
                <w:rFonts w:ascii="Arial" w:cs="Arial" w:eastAsia="Arial" w:hAnsi="Arial"/>
                <w:sz w:val="18"/>
                <w:szCs w:val="18"/>
                <w:color w:val="auto"/>
                <w:w w:val="88"/>
              </w:rPr>
              <w:t>5 years</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7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8"/>
              </w:rPr>
              <w:t>3 years</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6760" w:type="dxa"/>
            <w:vAlign w:val="bottom"/>
          </w:tcPr>
          <w:p>
            <w:pPr>
              <w:jc w:val="center"/>
              <w:ind w:left="1110"/>
              <w:spacing w:after="0" w:line="201" w:lineRule="exact"/>
              <w:rPr>
                <w:sz w:val="20"/>
                <w:szCs w:val="20"/>
                <w:color w:val="auto"/>
              </w:rPr>
            </w:pPr>
            <w:r>
              <w:rPr>
                <w:rFonts w:ascii="Arial" w:cs="Arial" w:eastAsia="Arial" w:hAnsi="Arial"/>
                <w:sz w:val="18"/>
                <w:szCs w:val="18"/>
                <w:color w:val="auto"/>
                <w:w w:val="90"/>
              </w:rPr>
              <w:t>Shorter of the useful life of the asset</w:t>
            </w:r>
          </w:p>
        </w:tc>
      </w:tr>
      <w:tr>
        <w:trPr>
          <w:trHeight w:val="230"/>
        </w:trPr>
        <w:tc>
          <w:tcPr>
            <w:tcW w:w="4480" w:type="dxa"/>
            <w:vAlign w:val="bottom"/>
          </w:tcPr>
          <w:p>
            <w:pPr>
              <w:spacing w:after="0"/>
              <w:rPr>
                <w:sz w:val="20"/>
                <w:szCs w:val="20"/>
                <w:color w:val="auto"/>
              </w:rPr>
            </w:pPr>
          </w:p>
        </w:tc>
        <w:tc>
          <w:tcPr>
            <w:tcW w:w="6760" w:type="dxa"/>
            <w:vAlign w:val="bottom"/>
          </w:tcPr>
          <w:p>
            <w:pPr>
              <w:jc w:val="center"/>
              <w:ind w:left="1110"/>
              <w:spacing w:after="0"/>
              <w:rPr>
                <w:sz w:val="20"/>
                <w:szCs w:val="20"/>
                <w:color w:val="auto"/>
              </w:rPr>
            </w:pPr>
            <w:r>
              <w:rPr>
                <w:rFonts w:ascii="Arial" w:cs="Arial" w:eastAsia="Arial" w:hAnsi="Arial"/>
                <w:sz w:val="18"/>
                <w:szCs w:val="18"/>
                <w:color w:val="auto"/>
                <w:w w:val="90"/>
              </w:rPr>
              <w:t>or the life of the lease</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normal, recurring or periodic repairs and maintenance activities are charged to expense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offering. Should the in-process equity financing be abandoned, the deferred offering costs will be expensed immediately as a charge to operating expenses in the condensed consolidated statements of operations and comprehensive loss. The Company had no deferred offering costs as of June 30, 2021. As of December 31, 2020, the Company recorded deferred offering costs of $2.6 million related to the costs incurred in connection with the Business Combination.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classified and disclosed in one of the following three levels of the fair value hierarchy, of which the first two are considered observable and the last is considered unobservable:</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185"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3"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equivalents and preferred stock warrant liability (outstanding as of December 31, 2020 only) are carried at fair value, determined according to the fair value hierarchy described above (see Note 5). The carrying values of the Company’s prepaid expenses and other current assets and accounts payable and accrued expenses approximate their fair values due to the short-term nature of these assets and liabilities. The carrying value of the Company’s term loan as of June 30, 2021 and December 31, 2020 (see Note 7) approximated fair value based on interest rates currently available to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2019, concurrent with the Company’s term loan agreement (see Note 7), the Company issued warrants to purchase shares of Old Gemini’s Series A preferred stock. The Company accounted for the warrants to purchase Series A preferred stock as a liability as these warrants were freestanding financial instruments that may have required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condensed consolidated statements of operations and comprehensive loss. The estimates in the Black-Scholes Option Pricing Model are based, in part, on subjective assumptions, including, stock price volatility, term of the warrants, risk-free interest rate, dividend yield and the fair value of the preferred stock underlying the warrants. Such assumptions could differ materially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Business Combination, the warrants were automatically exercised for 15,257 shares of the Company’s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Patent costs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statements of operations and comprehensive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Prior to the completion of the Business Combination transaction, given that there had been no public market for the Company’s common stock, the estimated fair value of its common stock was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Company’s common stock valuations were prepared using an option 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the Company’s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the Company’s common stock as reported by Nasdaq on the date of grant.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Business Combination, the Company was a private company and, therefore, lacked company-specific historical and implied volatility information for its stock. Therefore, it estimated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condensed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calculates earnings per share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two-class method of computing earnings per share is required for entities that have participating securities. Under the two-class method, net income is allocated between ordinary shares and participating securities based on dividends declared (or accumulated) and participating rights in undistributed earnings as if all the earnings for the reporting period had been distributed.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loss per share as their effect is anti-dilutive.</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three and six months ended June 30, 2021 and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at the same time that they become applicable to other public companies that are not EGCs, unless it chooses to early adopt a new or revised accounting standard. As a result of this election, the condensed consolidated financial statements may not be comparable to companies that comply with public company FASB standards’ effective 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(“ASU 2018-18”). The amendments in this update clarify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standard became effective for the Company on January 1, 2021 and did not have a material impact on its condensed consolidated financial statements as the Company had no transactions applicable to this guidance; however, the standard may impact how the Company accounts for certain business transactions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FASB Accounting Standards Codification (</w:t>
      </w:r>
      <w:r>
        <w:rPr>
          <w:rFonts w:ascii="Arial" w:cs="Arial" w:eastAsia="Arial" w:hAnsi="Arial"/>
          <w:sz w:val="16"/>
          <w:szCs w:val="16"/>
          <w:color w:val="auto"/>
        </w:rPr>
        <w:t>“ASU 2016-02”), which replaces the existing guidance for leases. ASU 2016-02 requires the identification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3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 (Topic 326)—Measurement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has been subsequently amended by ASU No. 2018-19, ASU No. 2019-04, ASU No. 2019-05, ASU No. 2019-10, ASU No. 2019-11 and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2020-3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ASU 2016-13 may have on its financial statements and related disclosures.</w:t>
      </w:r>
    </w:p>
    <w:p>
      <w:pPr>
        <w:spacing w:after="0" w:line="13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for annual reporting periods beginning after December 15, 2021. The Company is currently evaluating the potential impact ASU 2018-18 will have on its financial statements.</w:t>
      </w:r>
    </w:p>
    <w:p>
      <w:pPr>
        <w:spacing w:after="0" w:line="13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(“ASU 2020-06”), which reduces the number of accounting models for convertible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preferred stock as well as amends the derivatives scope exception for contracts in an entity’s own equity. ASU 2020-06 is effective for the Company on January 1, 2024, with early adoption permitted. The Company is currently evaluating the potential impact that this standard may have on its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(in thousands) on a recurring basis and indicate the level of the fair value hierarchy used to determine such fair values: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940" w:type="dxa"/>
            <w:vAlign w:val="bottom"/>
          </w:tcPr>
          <w:p>
            <w:pPr>
              <w:jc w:val="right"/>
              <w:ind w:right="21"/>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Money market funds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166,594</w:t>
            </w:r>
          </w:p>
        </w:tc>
        <w:tc>
          <w:tcPr>
            <w:tcW w:w="240" w:type="dxa"/>
            <w:vAlign w:val="bottom"/>
          </w:tcPr>
          <w:p>
            <w:pPr>
              <w:spacing w:after="0"/>
              <w:rPr>
                <w:sz w:val="19"/>
                <w:szCs w:val="19"/>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166,594</w:t>
            </w:r>
          </w:p>
        </w:tc>
        <w:tc>
          <w:tcPr>
            <w:tcW w:w="100" w:type="dxa"/>
            <w:vAlign w:val="bottom"/>
          </w:tcPr>
          <w:p>
            <w:pPr>
              <w:spacing w:after="0"/>
              <w:rPr>
                <w:sz w:val="19"/>
                <w:szCs w:val="19"/>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940" w:type="dxa"/>
            <w:vAlign w:val="bottom"/>
          </w:tcPr>
          <w:p>
            <w:pPr>
              <w:jc w:val="right"/>
              <w:ind w:right="24"/>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Money market funds in cash and cash equivalents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4,015</w:t>
            </w:r>
          </w:p>
        </w:tc>
        <w:tc>
          <w:tcPr>
            <w:tcW w:w="240" w:type="dxa"/>
            <w:vAlign w:val="bottom"/>
          </w:tcPr>
          <w:p>
            <w:pPr>
              <w:spacing w:after="0"/>
              <w:rPr>
                <w:sz w:val="19"/>
                <w:szCs w:val="19"/>
                <w:color w:val="auto"/>
              </w:rPr>
            </w:pP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76</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The values of cash equivalents are classified as Level 1 measurements under the fair value hierarchy, as these assets have been valued using quoted market prices in active markets and do not have any restrictions on redemption. As of June 30, 2021 and December 31, 2020, cash equivalents were comprised of funds in money market accounts. There were no transfers or reclassifications between Level 1, Level 2 and Level 3 during the three and six months ended June 30, 2021.</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value of the warrant liability is classified as a Level 3 measurement under the fair value hierarchy, as this liability has been valued based on significant inputs not observable in the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2019, concurrent with the Company’s term loan agreement, the Company issued warrants to purchase 15,257 shares of Old Gemini’s Series A preferred stock. The warrants had an exercise price of $5.46 per share and expired in February 2029, representing a contractual term of ten years from issuance. At the closing of the Business Combination, the warrants were automatically exercised for 15,257 shares of the Company’s common stock.</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warrants was recorded as a liability on the date of issuance and was revalued at the end of each reporting period until being exercised upon the closing of the Business Combination.</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181"/>
              <w:spacing w:after="0"/>
              <w:rPr>
                <w:sz w:val="20"/>
                <w:szCs w:val="20"/>
                <w:color w:val="auto"/>
              </w:rPr>
            </w:pPr>
            <w:r>
              <w:rPr>
                <w:rFonts w:ascii="Arial" w:cs="Arial" w:eastAsia="Arial" w:hAnsi="Arial"/>
                <w:sz w:val="18"/>
                <w:szCs w:val="18"/>
                <w:b w:val="1"/>
                <w:bCs w:val="1"/>
                <w:color w:val="auto"/>
              </w:rPr>
              <w:t>Six Months Ended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w w:val="97"/>
              </w:rPr>
              <w:t>June 30,</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Beginning warrant liability balance</w:t>
            </w:r>
          </w:p>
        </w:tc>
        <w:tc>
          <w:tcPr>
            <w:tcW w:w="840" w:type="dxa"/>
            <w:vAlign w:val="bottom"/>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1"/>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Change in fair value</w:t>
            </w: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Warrant exercise</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b w:val="1"/>
                <w:bCs w:val="1"/>
                <w:color w:val="auto"/>
              </w:rPr>
              <w:t>Ending warrant liability balance</w:t>
            </w:r>
          </w:p>
        </w:tc>
        <w:tc>
          <w:tcPr>
            <w:tcW w:w="84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72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7"/>
        </w:trPr>
        <w:tc>
          <w:tcPr>
            <w:tcW w:w="77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1,644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external research and development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2,809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interest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5,013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the Company entered into a term loan facility of up to $10.0 million (the “Term Loan”) with Silicon Valley Bank (“SVB”). The proceeds were used for general corporate and working capital purposes. Concurrent with the Term Loan, the Company issued SVB warrants to purchase 15,257 shares of the Company’s Series A preferred stock at an exercise price of $5.46 (see Note 5). As of June 30, 2021 and December 31, 2020, the Company had $7.9 million and $10.0 million, respectively, in principal outstanding under the Term Loan.</w:t>
      </w:r>
    </w:p>
    <w:p>
      <w:pPr>
        <w:spacing w:after="0" w:line="1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Loan is governed by a loan and security agreement, dated February 8, 2019, between the Company and SVB (the “SVB Loan Agreement”). The SVB Loan Agreement provided for two separate tranches under which the Company could borrow. The first tranche for $7.5 million was available as single term loan advance until January 31, 2020. The second tranche was also available until January 31, 2020 as single term loan advance for $2.5 million and required that the Company meet a certain milestone event. On April 18, 2019, the Company borrowed $7.5 million under the first tranche, and on December 17, 2019, the Company borrowed $2.5 million under the second tranche having satisfied the milestone requirement.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The Term Loan initially matured on July 1, 2022 and accrues interest at a floating rate per annum equal to the greater of 3.75% or the prime rate minus 1.5% (1.75% as of June 30, 2021).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7,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occurred in February 2021. The required monthly interest-only payment was not impacted by the deferral. The Term Loan’s new maturity date is January 1, 2023. After considering the debt guidance in ASC 470, the Company concluded that it did not meet the indicators of a troubled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June 30, 2021 and December 31, 2020, the Company accrued $308 thousand and $239 thousand, respectively, related to the end of term charge, which has been classified within other long-term liabilities.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June 30,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As of June 30, 2021, scheduled principal payments for the Term Loan are as follows (in thousands):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2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40" w:type="dxa"/>
            <w:vAlign w:val="bottom"/>
            <w:gridSpan w:val="2"/>
            <w:shd w:val="clear" w:color="auto" w:fill="CFF0FC"/>
          </w:tcPr>
          <w:p>
            <w:pPr>
              <w:jc w:val="right"/>
              <w:ind w:right="609"/>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principal</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7,917</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discounts</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Carrying amount</w:t>
            </w: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(5,000)</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Long-term portion</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approximately $121 thousand and $107 thousand for the three months ended June 30, 2021 and 2020, respectively, and approximately $259 thousand and $260 thousand for the six months ended June 30,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promissory notes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21, 2020, Old Gemini entered into a purchase agreement with various investors to issue $14.0 million in convertible promissory notes (the “Notes”). The Notes accrued simple interest at 8% per annum. The Company determined that a beneficial conversion feature (“BCF”) exists and should be recognized on the issuance date. The Company recorded the Notes at the original issuance price, net of the BCF discount. The BCF discount was accreted to the face value of the Notes over the period from the issuance date until the maturity date, offset against interest expense.</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Notes served as a bridge loan prior to the PIPE Financing that was completed in connection with the closing of the Business Combination. The Notes were intended to automatically convert into shares of common stock issued in the PIPE Financing at a per share conversion price equal to the lowest per share price paid for such shares of common stock in the PIPE Financing.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 and the Notes liability was extinguished. The Company recorded other expense of $0.7 million for the difference between the reacquisition price of the Notes and the net carrying amount of the Notes in the condensed consolidated statements of operations and comprehensive loss for the six months ended June 30,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As of December 31, 2020, the carrying value of the Notes was as follows (in thousands):</w:t>
            </w: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14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Unamortized discount (beneficial conversion feature)</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(2,311)</w:t>
            </w: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amount</w:t>
            </w:r>
          </w:p>
        </w:tc>
        <w:tc>
          <w:tcPr>
            <w:tcW w:w="14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Less current portion</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(11,689)</w:t>
            </w:r>
          </w:p>
        </w:tc>
      </w:tr>
      <w:tr>
        <w:trPr>
          <w:trHeight w:val="223"/>
        </w:trPr>
        <w:tc>
          <w:tcPr>
            <w:tcW w:w="7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2021, the Company recognized interest expense of $0 and $1.7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condensed consolidated statement of stockholders’ equity (deficit) has been retroactively adjusted for all periods presented to reflect the Business Combination and reverse recapitalization as defined in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closing of the Business Combination, pursuant to the terms of the Amended and Restated Certificate of Incorporation dated February 5, 2021, the Company authorized 10,000,000 shares of preferred stock with a par value $0.0001 per share. The Company’s board of directors has the authority, without further action by the stockholders, to issue such shares of preferred stock in one or more series, to establish from time to time the number of shares to be included in each such series, and to fix the designations, powers, voting, and other rights, preferences and privileges of the shares. There were no issued and outstanding shares of preferred stock as of June 30, 2021.</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closing of the Business Combination, all previously issued and outstanding Series A convertible preferred stock and Series B convertible preferred stock were exchanged for common stock of the Company pursuant to the Conversion Ratio established in the Merger Agreement. All fractional shares were rounded down.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 of the Amended and Restated Certificate of Incorporation, the Company authorized 250,000,000 shares of common stock with a par value of $0.0001 per share. Immediately following the closing of the Business Combination and as of June 30, 2021, there were 42,998,664 and 43,055,112 shares of common stock issued and outstanding, respectively.</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discussed in Note 3, </w:t>
      </w:r>
      <w:r>
        <w:rPr>
          <w:rFonts w:ascii="Arial" w:cs="Arial" w:eastAsia="Arial" w:hAnsi="Arial"/>
          <w:sz w:val="16"/>
          <w:szCs w:val="16"/>
          <w:i w:val="1"/>
          <w:iCs w:val="1"/>
          <w:color w:val="auto"/>
        </w:rPr>
        <w:t>Business Combination</w:t>
      </w:r>
      <w:r>
        <w:rPr>
          <w:rFonts w:ascii="Arial" w:cs="Arial" w:eastAsia="Arial" w:hAnsi="Arial"/>
          <w:sz w:val="16"/>
          <w:szCs w:val="16"/>
          <w:color w:val="auto"/>
        </w:rPr>
        <w:t>, the Company has retroactively adjusted the shares issued and outstanding prior to February 5, 2021 to give effect to the Conversion Ratio established in the Merger Agreement to determine the number of shares of common stock into which they were converted.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Common stockholders are entitled to receive dividends, as may be declared by the board of directors. No dividends have been declared to date.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Equity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Old Gemini Equity Incentive Plan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Old Gemini’s 2017 Stock Option and Grant Plan, as amended (the “2017 Plan”), provided for the Company to grant qualified incentive options, nonqualified options, stock grants and other stock-based awards to employees and non-employees to purchase the Company’s common stock. The 2017 Plan was administered by the board of directors, or at the discretion of the board of directors, by a committee of the board of directors.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exercise price for incentive options was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under the 2017 Plan was determined at the discretion of the board of directors, which was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completion of the Business Combination, the Company ceased granting awards under the 2017 Plan. All awards under the 2017 Plan continue in full force and effect on the same terms and conditions as were previously applicable to such awards, subject to adjustments to the exercise price and number of shares of common stock issuable upon exercise based on the Conversion Ratio.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Awards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Old Gemini option from the 2017 Plan and each option from Old Gemini’s 2015 Stock Option and Grant Plan (the “2015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Old Gemini common stock subject to such Old Gemini option immediately prior to the Business Combination and (ii) the Conversion Ratio, at an exercise price per share (rounded up to the nearest whole cent) equal to (A) the exercise price per share of such Old Gemini option immediately prior to the consummation of the Business Combination, divided by (B) the Conversion Ratio. Each Exchanged Option will continue to be governed by the same terms and conditions (including vesting and exercisability terms) as were applicable to the corresponding former Old Gemini option immediately prior to the consummation of the Business Combination. All stock option activity was retroactively restated to reflect the Exchanged Options.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Closing Date, the 10,567,508 options and 163,157 restricted stock units (“RSUs”) outstanding under the 2017 Plan and 2015 Plan were converted into 2,303,309 options and 35,561 RSUs upon completion of the Business Combination after effect of the Conversion Ratio. This effect of the Conversion Ratio has been retroactively adjusted throughout the Company’s unaudited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Gemini Equity Incentive Plan</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3, 2021, FSDC’s stockholders approved the 2021 Stock Option and Incentive Plan (the “2021 Plan”), pursuant to which 4,264,341 shares of common stock were reserved for issuance. The 2021 Plan provides for the Company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As of June 30, 2021, 498,602 shares remained available for future issuance under the 2021 Plan.</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of each award granted under the 2021 Plan requiring exercise will be 100% of the fair market value of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2021 Inducement Plan</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On February 12, 2021, the Company’s board of directors approved the 2021 Inducement Plan. The 2021 Inducement Plan is a non-stockholder approved stock plan under which the Company grants equity awards to induce highly-qualified prospective officers and employees who are not currently employed by the Company to accept employment and provide them with a proprietary interest in the Company. The Company intends that the 2021 Inducement Plan be reserved for persons to whom the Company may issue securities without stockholder approval as an inducement pursuant to Rule 5635(c)(4) of the Marketplace Rules of the NASDAQ Stock Market, Inc. The 2021 Inducement Plan is administered by the board of directors or the Compensation Committee of the board, which determines the types of awards to be granted, including the number of shares subject to the awards, the exercise price and the vesting schedule. Awards granted under the 2021 Inducement Plan expire no later than ten years from the date of grant. As of June 30, 2021, 983,949 shares were available for issuance under the 2021 Inducement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condensed consolidated statements of operations and comprehensive loss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138</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Business Combination, the Company has retroactively restated the weighted average shares outstanding prior to February 5, 2021 to give effect to the Conversion Ratio.</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46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(16,519)</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43,041,856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15,266,222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37,564,936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14,881,097</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Net loss per share attributable to common stockholders-basic and diluted</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(0.94)</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potentially dilutive securities, which include options and unvested restricted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34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w w:val="95"/>
              </w:rPr>
              <w:t>As of June 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6,506,146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1,782,292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shares of Series A preferred stock (as converted to common stock)</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6,506,146</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2,093,456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jc w:val="right"/>
              <w:ind w:right="1910"/>
              <w:spacing w:after="0"/>
              <w:rPr>
                <w:sz w:val="20"/>
                <w:szCs w:val="20"/>
                <w:color w:val="auto"/>
              </w:rPr>
            </w:pPr>
            <w:r>
              <w:rPr>
                <w:rFonts w:ascii="Arial" w:cs="Arial" w:eastAsia="Arial" w:hAnsi="Arial"/>
                <w:sz w:val="18"/>
                <w:szCs w:val="18"/>
                <w:color w:val="auto"/>
              </w:rPr>
              <w:t>19</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4" w:name="page25"/>
    <w:bookmarkEnd w:id="24"/>
    <w:p>
      <w:pPr>
        <w:ind w:right="8460" w:firstLine="8"/>
        <w:spacing w:after="0" w:line="464"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jc w:val="both"/>
        <w:spacing w:after="0" w:line="257" w:lineRule="auto"/>
        <w:rPr>
          <w:sz w:val="20"/>
          <w:szCs w:val="20"/>
          <w:color w:val="auto"/>
        </w:rPr>
      </w:pPr>
      <w:r>
        <w:rPr>
          <w:rFonts w:ascii="Arial" w:cs="Arial" w:eastAsia="Arial" w:hAnsi="Arial"/>
          <w:sz w:val="18"/>
          <w:szCs w:val="18"/>
          <w:color w:val="auto"/>
        </w:rPr>
        <w:t>The Company’s long-term contractual obligations include commitments entered into in the normal course of business. The Company’s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 The Company also has commitments related to facility leases, debt obligations, license agreements and other purchase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June 30, 2021 do not include liabilities with respect to this agreement as the Company has not yet generated revenue and the achievement of certain milestones is not probable.</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additional consideration under the 2018 License Agreement as of June 30, 2021.</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additional consideration under the 2019 License Agreement as of June 30, 2021.</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June 30, 2021 do not include liabilities with respect to additional consideration under this agreement as the Company has not yet generated revenue and the achievement of certain milestones is not probable.</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June 30, 2021 do not include liabilities with respect to this agreement as the Company has not yet generated revenue and the achievement of certain milestones is not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condensed consolidated financial statements as of June 30, 2021 .</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June 30, 2021, the Company was not a party to any material legal matters or claims.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engaged a firm managed by an executive of the Company for professional services related to accounting, finance and other administrative functions. For the three and six months ended June 30, 2021, the costs incurred under this arrangement totaled $0 and $105 thousand, respectively, of which $95 thousand was recorded in stockholders’ equity (deficit) as a reduction to additional paid-in capital as a result of the Business Combination and $10 thousand was recorded as general and administrative expense in the accompanying condensed consolidated statements of operations and comprehensive loss. As of June 30, 2021 and December 31, 2020, amounts owed under this arrangement totaled $0 and $257 thousand, respectively, and is included in accounts payable and/or accrued expenses in the accompanying consolidated balance sheet for each period. The executive of the Company associated with this firm resigned from the Company in February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notes thereto appearing elsewhere in this Quarterly Report on Form 10-Q and Old Gemini’s audited financial statements and notes thereto for the year ended December 31, 2020 included in our Form 8-K/A as filed with the Securities and Exchange Commission on March 29,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Management’s Discussion &amp; Analysis of Financial Condition and Results of Operations section to “Gemini,” “we,” “us,” “our” and other similar terms refer to Old Gemini (as defined below) prior to the Business Combination (as defined below) and to Gemini and its consolidated subsidiaries after giving effect to the Business Combination.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Prior to the Business Combination (as defined below), we primarily financed our operations through the sale of convertible preferred stock, borrowings under convertible promissory notes and borrowings from our term loan facility with Silicon Valley Bank, (“SVB”).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&amp; 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we have not had any products approved for sale and have not generated any revenue from product sales and do not expect to do so for several years, if at all. All of our programs are still in preclinical or clinical development. Our ability to generate product revenue will depend on the successful development and eventual commercialization of one or more of our product candidates.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incurred significant operating losses since inception. Our net losses were $40.8 million for the year ended December 31, 2020 and $35.5 million for the six months ended June 30, 2021. As of June 30, 2021, we had an accumulated deficit of $148.3 million. We expect to continue to incur net losses for the foreseeable future and expect our research and development expenses and general and administrative expenses to continue to increase. We expect that our expenses and capital requirements will increase substantially in connection with our ongoing development activities, particularly if and as we:</w:t>
      </w:r>
    </w:p>
    <w:p>
      <w:pPr>
        <w:spacing w:after="0" w:line="157" w:lineRule="exact"/>
        <w:rPr>
          <w:sz w:val="20"/>
          <w:szCs w:val="20"/>
          <w:color w:val="auto"/>
        </w:rPr>
      </w:pPr>
    </w:p>
    <w:p>
      <w:pPr>
        <w:jc w:val="both"/>
        <w:ind w:left="540" w:right="2820" w:hanging="262"/>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development activities for GEM103, our first product candidate being tested in AMD, including the completion of our Phase 2a clinical trial in geographic atrophy, the ongoing Phase 2a clinical trial in patients with macular atrophy receiving anti-VEGF therapy and the initiation of a Phase 2b or Phase 3 clinical trial in geographic atrophy;</w:t>
      </w:r>
    </w:p>
    <w:p>
      <w:pPr>
        <w:spacing w:after="0" w:line="186"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potentiating antibody as a product candidate;</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AAV as a product candidate;</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potential future product candidates;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540" w:hanging="26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quality control, medical, scientific and other technical personnel to support our clinical and research operations;</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undertake any pre-commercialization activities to establish sales, marketing and distribution capabilities for any product candidates for which we may receive regulatory approval;</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a growing employee base; and</w:t>
      </w:r>
    </w:p>
    <w:p>
      <w:pPr>
        <w:spacing w:after="0" w:line="225" w:lineRule="exact"/>
        <w:rPr>
          <w:rFonts w:ascii="Arial" w:cs="Arial" w:eastAsia="Arial" w:hAnsi="Arial"/>
          <w:sz w:val="18"/>
          <w:szCs w:val="18"/>
          <w:color w:val="auto"/>
        </w:rPr>
      </w:pPr>
    </w:p>
    <w:p>
      <w:pPr>
        <w:ind w:left="540" w:right="2820" w:hanging="262"/>
        <w:spacing w:after="0" w:line="308"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research and development programs and any future commercialization efforts.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as a result of the Business Combination, we expect to incur additional costs associated with operating as a public company, including significant legal, accounting, investor relations and other expenses that we did not incur as a private company.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with other companies or other strategic transactions. To the extent that we raise additional capital through the sale of private or public equity or convertible debt securities, existing ownership interests will be diluted, and the terms of these securities may include liquidation or other preferences that adversely affect the rights of the holders of our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other strategic transactions with third parties, we may have to relinquish valuable rights to our technologies, future revenue streams, research programs or drug candidates, or grant licenses on terms that may not be favorable to us.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our cash resources will enable us to fund our operating expenses and capital expenditure requirements into 2023. Our belief with respect to our ability to fund operations is based on estimates that are subject to risks and uncertainties. If actual results are different from our estimates, we may need to seek additional funding sooner that would otherwise be expected. There can be no assurance that we will be able to obtain additional funding on acceptable terms, if at all. Our future viability beyond that point is dependent on our ability to raise additional capital to finance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(“COVID-19”) outbreak a pandemic. The COVID-19 outbreak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COVID-19 pandemic has resulted in and will likely continue to result in significant disruptions to the global economy, and businesses and capital markets around the world. The Company cannot predict the future progression or full impact of the outbreak and its effects on the Company’s business and operations.</w:t>
      </w:r>
    </w:p>
    <w:p>
      <w:pPr>
        <w:spacing w:after="0" w:line="15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and our third-party contract manufacturers (“CMOs”), contract research organizations (“CROs”) and clinical sites have experienced and may continue to experience disruptions in supply of product candidates and/or procuring items that are essential for our research and development activities, including raw materials used in the manufacturing of our product candidates, medical and laboratory supplies used in our clinical trials or preclinical studies or animals that are used for preclinical testing, in each case, for which there may be shortages because of ongoing efforts to address the outbreak.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spacing w:after="0" w:line="269" w:lineRule="auto"/>
        <w:rPr>
          <w:sz w:val="20"/>
          <w:szCs w:val="20"/>
          <w:color w:val="auto"/>
        </w:rPr>
      </w:pPr>
      <w:r>
        <w:rPr>
          <w:rFonts w:ascii="Arial" w:cs="Arial" w:eastAsia="Arial" w:hAnsi="Arial"/>
          <w:sz w:val="17"/>
          <w:szCs w:val="17"/>
          <w:color w:val="auto"/>
        </w:rPr>
        <w:t>Additionally, we have enrolled, and will seek to enroll, patients in our clinical trials at sites located both in the United States and internationally. Most of our clinical trial sites are in areas affected by COVID-19 and, as a result, our trials have been and may continue to be impacted. We cannot predict how long or impactful these delays may be on our clinical trials. In addition, even if sites are initiating and actively recruiting, we may face difficulties recruiting or retaining patients in our clinical trials if patients are affected by the virus or are unable to or are fearful of visiting or traveling to our clinical trial sites because of the outbreak. Prolonged delays or closure to enrollment in our trials or patient discontinuations could have a material adverse impact on our clinical trial plans and timelines. In addition, our ability to collect and verify data requested of patients enrolled in our clinical trials during this pandemic is being impacted to varying degrees by COVID-19. Clinical trial data collection continues for each of our clinical trials but at a slower pace, and with challenges and interruptions in data collection, including, in some instances, disruption of collection of complete study data. This could have a material adverse impact on our data quality and analysis. In addition, clinical trial sites may be unable or unwilling to initiate a new trial if factors relevant to the pandemic render this impracticable. These COVID-19 related issues may prolong the time required to conduct our ongoing clinical trials and/or impact the quality of the data obtained from one or more of these studies.</w:t>
      </w:r>
    </w:p>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incurred impairment losses in the carrying values of our assets as a result of the COVID-19 pandemic, and we are not aware of any specific related event or circumstance that would require us to revise our estimates reflected in our condensed consolidated financial statements. Although the COVID-19 pandemic did not have a significant impact on our financial results in the second quarter of 2021, the full extent to which the COVID-19 pandemic will impact our business, results of operations, financial condition and cash flows will depend on future developments that are highly uncertain, and the estimates of the impact on our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our Common Stock in a private placement of public equity (the “PIPE Financing”). Together with FSDC’s cash resources and funding of the PIPE Financing, we received net proceeds of approximately $195.9 million.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accounted for the Business Combination as a reverse recapitalization, which is the equivalent of Old Gemini issuing stock for the net assets of FSDC, accompanied by a recapitalization, with FSDC treated as the acquired company for accounting purposes.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or the Conversion Ratio.</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Business Combination, please read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our unaudited condensed consolidated financial statements included elsewhere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8, 2019, we entered into a term loan facility of up to $10.0 million (the “Term Loan”) with SVB. The proceeds were used for general corporate and working capital purposes. Concurrent with the Term Loan, we issued SVB warrants to purchase 15,257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jc w:val="both"/>
        <w:ind w:right="20"/>
        <w:spacing w:after="0" w:line="263" w:lineRule="auto"/>
        <w:rPr>
          <w:sz w:val="20"/>
          <w:szCs w:val="20"/>
          <w:color w:val="auto"/>
        </w:rPr>
      </w:pPr>
      <w:r>
        <w:rPr>
          <w:rFonts w:ascii="Arial" w:cs="Arial" w:eastAsia="Arial" w:hAnsi="Arial"/>
          <w:sz w:val="18"/>
          <w:szCs w:val="18"/>
          <w:color w:val="auto"/>
        </w:rPr>
        <w:t>of Old Gemini’s Series A preferred stock at an exercise price of $5.46. At the closing of the Business Combination, these warrants were automatically exercised for 15,257 shares of our common stock. As of June 30, 2021 and December 31, 2020, we had $7.9 million and $10.0 million, respectively, in principal outstanding under the Term Loan.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governed by a loan and security agreement, dated February 8, 2019, between Gemini and SVB (the “SVB Loan Agreement”). The SVB Loan Agreement provided for two separate tranches under which we could borrow. The first tranche for $7.5 million was available as single term loan advance until January 31, 2020. The second tranche was also available until January 31, 2020 as single term loan advance for $2.5 million and required that we meet a certain milestone event. On April 18, 2019, we borrowed $7.5 million under the first tranche, and on December 17, 2019, we borrowed $2.5 million under the second tranche having satisfied the milestone requirement.</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Loan matures on January 1, 2023 and accrues interest at a floating rate per annum equal to the greater of 3.75% or the prime rate minus 1.5% (1.75% as of June 30, 2021).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7, 2020, we entered into a deferral agreement with SVB to defer scheduled principal repayments on its term loan by six months. The deferral agreement was offered in connection with SVB’s venture debt relief initiative, which was started due to the COVID-19 pandemic. Our first principal payment under our credit facility occurred in February 2021. The required monthly interest-only payment was not impacted by the deferral. The Term Loan’s new maturity date is January 1, 2023.</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21, 2020, we entered into a purchase agreement with existing investors to issue $14.0 million in convertible promissory notes, (the “Notes”). The Notes accrue simple interest at 8% per annum and mature on February 21, 2021. The Notes served as a bridge loan prior to the PIPE Financing that was completed in connection with the closing of the Business Combination.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if at all. If our development efforts are successful and we commercialize our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development of our product candidates. We expense research and development costs as incurred, which include:</w:t>
      </w:r>
    </w:p>
    <w:p>
      <w:pPr>
        <w:spacing w:after="0" w:line="170" w:lineRule="exact"/>
        <w:rPr>
          <w:sz w:val="20"/>
          <w:szCs w:val="20"/>
          <w:color w:val="auto"/>
        </w:rPr>
      </w:pPr>
    </w:p>
    <w:p>
      <w:pPr>
        <w:ind w:left="540" w:right="2820" w:hanging="26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to conduct the necessary preclinical studies and clinical trials required to obtain regulatory approval;</w:t>
      </w:r>
    </w:p>
    <w:p>
      <w:pPr>
        <w:spacing w:after="0" w:line="170" w:lineRule="exact"/>
        <w:rPr>
          <w:rFonts w:ascii="Arial" w:cs="Arial" w:eastAsia="Arial" w:hAnsi="Arial"/>
          <w:sz w:val="18"/>
          <w:szCs w:val="18"/>
          <w:color w:val="auto"/>
        </w:rPr>
      </w:pPr>
    </w:p>
    <w:p>
      <w:pPr>
        <w:jc w:val="both"/>
        <w:ind w:left="540" w:right="2800" w:hanging="262"/>
        <w:spacing w:after="0" w:line="31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expenses incurred under agreements with CROs that are primarily engaged in the oversight and conduct of our drug discovery efforts and preclinical studies, clinical trials and CMOs that are primarily engaged to provide preclinical and clinical drug substance and product for our research and development programs;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ind w:left="540" w:right="2820" w:hanging="26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86" w:lineRule="exact"/>
        <w:rPr>
          <w:rFonts w:ascii="Arial" w:cs="Arial" w:eastAsia="Arial" w:hAnsi="Arial"/>
          <w:sz w:val="18"/>
          <w:szCs w:val="18"/>
          <w:color w:val="auto"/>
        </w:rPr>
      </w:pPr>
    </w:p>
    <w:p>
      <w:pPr>
        <w:ind w:left="540" w:hanging="26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allocated facilities-related costs, depreciation and other expenses, which include rent and utilities.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continue to increase substantially over the next several years as we continue our existing, and commence additional, planned clinical trials for GEM103, as well as conduct other preclinical and clinical development, including submitting regulatory filings for our other product candidates. We also expect our discovery research efforts and related personnel costs will increase and, as a result, we expect our research and development expenses, including costs associated with stock-based compensation, will increase above historical levels. In addition, we may incur additional expenses related to milestone and royalty payments payable to third parties with whom we may enter into license, acquisition and option agreements to acquire the rights to future product candidates.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171" w:lineRule="exact"/>
        <w:rPr>
          <w:sz w:val="20"/>
          <w:szCs w:val="20"/>
          <w:color w:val="auto"/>
        </w:rPr>
      </w:pPr>
    </w:p>
    <w:p>
      <w:pPr>
        <w:ind w:left="540" w:right="2820" w:hanging="26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IND enabling studies;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 including the FDA and non-U.S. regulators;</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jc w:val="both"/>
        <w:ind w:left="540" w:right="2800" w:hanging="262"/>
        <w:spacing w:after="0" w:line="26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183"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and timely delivery of clinical-grade and commercial-grade drug formulations that can be used in our clinical trials and for commercial launch;</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70"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change in any of these variables with respect to any of our programs would significantly change the costs, timing and viability associated with that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We expense general and administrative costs as incurred.</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our general and administrative expenses will continue to increase in the future as we increase our headcount to support the continued development of our product candidates. We also anticipate that we will continue to incur increased accounting, audit, legal, regulatory, compliance and director and officer insurance costs as well as investor and public relations expenses associated with operating as a public company. We also expect to incur additional intellectual property-related expenses as we file patent applications to protect innovations arising from our research and development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consists of interest accrued on our term loan entered into on February 8, 2019 and the Notes, including the accretion of the beneficial conversion feature discount recognized on the issuance date of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prior to the closing of the Business Combination, the outstanding principal and interest under the Notes converted into shares of Series B preferred stock, and we recorded other expense equal to the difference between the reacquisition price of the Notes and the net carrying amount of the Notes in the condensed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2019, in conjunction with our term loan, we issued warrants to purchase 15,257 shares of Old Gemini’s Series A preferred stock. We accounted for, and classified, these warrants as a liability on our balance sheet because the warrants were freestanding financial instruments. We remeasured this liability to fair value at each reporting date and recognized changes in the fair value of the warrant liability in our statements of operations. At the closing of the Business Combination, these warrants were automatically exercised for 15,257 shares of our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account for income taxes using the asset and liability method, which requires the recognition of deferred tax assets and liabilities for the expected future tax consequences of events that have been included in the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We continue to maintain a full valuation allowance against all of our net deferred tax assets based on our evaluation of all available evidence. We file income tax returns in the U.S. federal tax jurisdiction and state jurisdictions and may become subject to income tax audit and adjustments by related tax authorities. Our tax return period for U.S. federal income taxes for the tax years since 2017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June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10,842</w:t>
            </w:r>
          </w:p>
        </w:tc>
        <w:tc>
          <w:tcPr>
            <w:tcW w:w="16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5,528</w:t>
            </w:r>
          </w:p>
        </w:tc>
        <w:tc>
          <w:tcPr>
            <w:tcW w:w="28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were $10.8 million for the three months ended June 30, 2021, compared to $5.5 million for the three months ended June 30, 2020. The increase of $5.3 million was primarily due to an increase in external research and development costs related to clinical trial activities of GEM103. In addition, research and development personnel costs were higher period over period, including stock-based compensation, due to an increase in headcount in our research and development function to support the advancement of our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were $5.5 million for the three months ended June 30, 2021, compared to $1.1 million for the three months ended June 30, 2020. The increase of $4.4 million was primarily due to higher personnel-related costs, including stock-based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100"/>
        <w:spacing w:after="0" w:line="461" w:lineRule="auto"/>
        <w:rPr>
          <w:sz w:val="20"/>
          <w:szCs w:val="20"/>
          <w:color w:val="auto"/>
        </w:rPr>
      </w:pPr>
      <w:r>
        <w:rPr>
          <w:rFonts w:ascii="Arial" w:cs="Arial" w:eastAsia="Arial" w:hAnsi="Arial"/>
          <w:sz w:val="18"/>
          <w:szCs w:val="18"/>
          <w:color w:val="auto"/>
        </w:rPr>
        <w:t xml:space="preserve">compensation, in support of organizational growth and higher legal and other professional fees incurred in connection with operating as a public company. </w:t>
      </w:r>
      <w:r>
        <w:rPr>
          <w:rFonts w:ascii="Arial" w:cs="Arial" w:eastAsia="Arial" w:hAnsi="Arial"/>
          <w:sz w:val="18"/>
          <w:szCs w:val="18"/>
          <w:i w:val="1"/>
          <w:iCs w:val="1"/>
          <w:color w:val="auto"/>
        </w:rPr>
        <w:t>Interest expense</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$0.1 million for each of the three months ended June 30, 2021 and 2020 and consisted of interest expense associated with our Term Loan with SVB.</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was less than $0.1 million for the three months ended June 30, 2021 and consisted of interest income associated with our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was less than $0.1 million for the three months ended June 30, 2021 and consisted of foreign currency exchange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22,628</w:t>
            </w:r>
          </w:p>
        </w:tc>
        <w:tc>
          <w:tcPr>
            <w:tcW w:w="160" w:type="dxa"/>
            <w:vAlign w:val="bottom"/>
          </w:tcPr>
          <w:p>
            <w:pPr>
              <w:spacing w:after="0"/>
              <w:rPr>
                <w:sz w:val="19"/>
                <w:szCs w:val="19"/>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13,745</w:t>
            </w:r>
          </w:p>
        </w:tc>
        <w:tc>
          <w:tcPr>
            <w:tcW w:w="28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conversion of convertible notes</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were $22.6 million for the six months ended June 30, 2021, compared to $13.7 million for the six months ended June 30, 2020. The increase of $8.9 million was primarily due to an increase in external research and development costs related to clinical trial activities of GEM103. In addition, research and development personnel costs were higher period over period, including stock-based compensation, due to an increase in headcount in our research and development function to support the advancement of our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were $10.2 million for the six months ended June 30, 2021, compared to $2.6 million for the six months ended June 30, 2020. The increase of $7.6 million was primarily due to higher personnel-related costs, including stock-based compensation, in support of organizational growth and higher legal and other professional fees incurred in connection with operating as a public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$2.0 million for the six months ended June 30, 2021, compared to $0.3 million for the six months ended June 30, 2020. The increase of $1.7 million is due to the accretion of the beneficial conversion feature discount recognized at the issuance date of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was less than $0.1 million for each of the six months ended June 30, 2021 and 2020 and consisted of interest income associated with our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loss on conversion of convertible notes reflects the difference between the reacquisition price of the Notes and the net carrying amount of the Notes at the time that the Notes converted into shares of Series B preferred stock immediately prior to the closing of the Business Combination.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 in fair value of warrant liability reflects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reduction of the fair value of the Series A preferred stock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expense was less than $0.1 million for the six months ended June 30, 2021 and consisted of foreign currency exchange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198"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Prior to the Business Combination, we funded our operations to date primarily with proceeds from the sale of preferred stock, borrowings under convertible promissory notes and borrowings under loan agreements. Through June 30, 2021, we have received gross proceeds of $76.0 million from sales of our preferred stock, gross proceeds of $16.9 million from borrowings under convertible promissory notes and $10.0 million of cash proceeds from our term loan with SVB. In connection with the Business Combination, we received net proceeds of $195.9 million.</w:t>
      </w:r>
    </w:p>
    <w:p>
      <w:pPr>
        <w:spacing w:after="0" w:line="1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June 30, 2021, we had cash and cash equivalents of $167.5 million. We have incurred operating losses and experienced negative operating cash flows since inception, and we anticipate that we will continue to incur losses for at least the foreseeable future. Our net losses totaled $40.8 million for the year ended December 31, 2020 and $35.5 million for the six months ended June 30, 2021. As of June 30, 2021, we had an accumulated deficit of $148.3 million.</w:t>
      </w:r>
    </w:p>
    <w:p>
      <w:pPr>
        <w:spacing w:after="0" w:line="14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Continued cash generation is highly dependent on our ability to finance our operations through a combination of equity offerings, debt financings, collaboration arrangements and strategic transactions. Due to our significant research and development expenditures, we have experienced periods of negative cash flows from operations as we have yet to generate any revenue. For the six months ended June 30, 2021, we experienced a loss from operations and negative cash flows from operations. We anticipate incurring operating losses and negative cash flows from operations for the foreseeable future, particularly as we move forward with our clinical-stage programs.</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4940" w:type="dxa"/>
            <w:vAlign w:val="bottom"/>
            <w:tcBorders>
              <w:bottom w:val="single" w:sz="8" w:color="CFF0FC"/>
            </w:tcBorders>
          </w:tcPr>
          <w:p>
            <w:pPr>
              <w:spacing w:after="0"/>
              <w:rPr>
                <w:sz w:val="13"/>
                <w:szCs w:val="13"/>
                <w:color w:val="auto"/>
              </w:rPr>
            </w:pPr>
          </w:p>
        </w:tc>
        <w:tc>
          <w:tcPr>
            <w:tcW w:w="27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7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(30,935)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7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193,909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60"/>
              <w:spacing w:after="0"/>
              <w:rPr>
                <w:sz w:val="20"/>
                <w:szCs w:val="20"/>
                <w:color w:val="auto"/>
              </w:rPr>
            </w:pPr>
            <w:r>
              <w:rPr>
                <w:rFonts w:ascii="Arial" w:cs="Arial" w:eastAsia="Arial" w:hAnsi="Arial"/>
                <w:sz w:val="18"/>
                <w:szCs w:val="18"/>
                <w:color w:val="auto"/>
              </w:rPr>
              <w:t>Net increase in cash, cash equivalents and restricted cash</w:t>
            </w:r>
          </w:p>
        </w:tc>
        <w:tc>
          <w:tcPr>
            <w:tcW w:w="278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162,974</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780" w:type="dxa"/>
            <w:vAlign w:val="bottom"/>
            <w:vMerge w:val="restart"/>
          </w:tcPr>
          <w:p>
            <w:pPr>
              <w:jc w:val="right"/>
              <w:ind w:right="1910"/>
              <w:spacing w:after="0"/>
              <w:rPr>
                <w:sz w:val="20"/>
                <w:szCs w:val="20"/>
                <w:color w:val="auto"/>
              </w:rPr>
            </w:pPr>
            <w:r>
              <w:rPr>
                <w:rFonts w:ascii="Arial" w:cs="Arial" w:eastAsia="Arial" w:hAnsi="Arial"/>
                <w:sz w:val="18"/>
                <w:szCs w:val="18"/>
                <w:color w:val="auto"/>
              </w:rPr>
              <w:t>30</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9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2021, we used cash in operating activities of $30.9 million, reflecting a net loss of $35.5 million, partially offset by non-cash charges of $7.1 million and a net change of $2.5 million in our operating assets and liabilities. The non-cash charges consist primarily of $4.5 million of stock-based compensation expense, $1.6 million accretion of the discount on the Notes, $0.7 million of expense related to the conversion of the Notes and $0.2 million of non-cash interest expense. The net change in our operating assets and liabilities was primarily due to an increase in prepaid expenses and other current currents, other assets and accounts payable, partially offset by a decrease in deferred offering costs and accrued expenses and other current liabilities.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we used cash in operating activities of $16.9 million, reflecting a net loss of $16.5 million, and a net decrease in accounts payable and accrued expenses and other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ind w:right="1920"/>
        <w:spacing w:after="0" w:line="453" w:lineRule="auto"/>
        <w:rPr>
          <w:sz w:val="20"/>
          <w:szCs w:val="20"/>
          <w:color w:val="auto"/>
        </w:rPr>
      </w:pPr>
      <w:r>
        <w:rPr>
          <w:rFonts w:ascii="Arial" w:cs="Arial" w:eastAsia="Arial" w:hAnsi="Arial"/>
          <w:sz w:val="18"/>
          <w:szCs w:val="18"/>
          <w:color w:val="auto"/>
        </w:rPr>
        <w:t xml:space="preserve">During the six months ended June 30, 2021 and 2020, we did not generate any cash inflows or outflows from investing activities. </w:t>
      </w:r>
      <w:r>
        <w:rPr>
          <w:rFonts w:ascii="Arial" w:cs="Arial" w:eastAsia="Arial" w:hAnsi="Arial"/>
          <w:sz w:val="18"/>
          <w:szCs w:val="18"/>
          <w:i w:val="1"/>
          <w:iCs w:val="1"/>
          <w:color w:val="auto"/>
        </w:rPr>
        <w:t>Financing activities</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2021, net cash provided by financing activities was $193.9 million, consisting primarily of $195.9 million of net proceeds received in connection with the Business Combination, partially offset by principal payments made on our term loan.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net cash provided by financing activities was $20.1 million, consisting primarily of the net proceeds received from the issuance of our Series B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 of cash is to fund operating expenses, primarily related to our research and development activities. Cash used to fund operating expenses is impacted by the timing of when we pay these expenses, as reflected in the change in our outstanding accounts payable, accrued expenses and prepaid expenses.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incur additional costs associated with operating as a public company, including significant legal, accounting, investor relations and other expenses that we did not incur as a private company. The timing and amount of our operating expenditures will depend largely on our ability to:</w:t>
      </w:r>
    </w:p>
    <w:p>
      <w:pPr>
        <w:spacing w:after="0" w:line="146" w:lineRule="exact"/>
        <w:rPr>
          <w:sz w:val="20"/>
          <w:szCs w:val="20"/>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preclinical development of our early-stage programs and clinical trials of our product candidates;</w:t>
      </w:r>
    </w:p>
    <w:p>
      <w:pPr>
        <w:spacing w:after="0" w:line="184" w:lineRule="exact"/>
        <w:rPr>
          <w:rFonts w:ascii="Arial" w:cs="Arial" w:eastAsia="Arial" w:hAnsi="Arial"/>
          <w:sz w:val="18"/>
          <w:szCs w:val="18"/>
          <w:color w:val="auto"/>
        </w:rPr>
      </w:pPr>
    </w:p>
    <w:p>
      <w:pPr>
        <w:ind w:left="540" w:right="20"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or have manufactured on our behalf, our preclinical and clinical drug material and develop processes for late stage and commercial manufacturing;</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84" w:lineRule="exact"/>
        <w:rPr>
          <w:rFonts w:ascii="Arial" w:cs="Arial" w:eastAsia="Arial" w:hAnsi="Arial"/>
          <w:sz w:val="18"/>
          <w:szCs w:val="18"/>
          <w:color w:val="auto"/>
        </w:rPr>
      </w:pPr>
    </w:p>
    <w:p>
      <w:pPr>
        <w:ind w:left="540"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84" w:lineRule="exact"/>
        <w:rPr>
          <w:rFonts w:ascii="Arial" w:cs="Arial" w:eastAsia="Arial" w:hAnsi="Arial"/>
          <w:sz w:val="18"/>
          <w:szCs w:val="18"/>
          <w:color w:val="auto"/>
        </w:rPr>
      </w:pPr>
    </w:p>
    <w:p>
      <w:pPr>
        <w:ind w:left="540"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84" w:lineRule="exact"/>
        <w:rPr>
          <w:rFonts w:ascii="Arial" w:cs="Arial" w:eastAsia="Arial" w:hAnsi="Arial"/>
          <w:sz w:val="18"/>
          <w:szCs w:val="18"/>
          <w:color w:val="auto"/>
        </w:rPr>
      </w:pPr>
    </w:p>
    <w:p>
      <w:pPr>
        <w:ind w:left="540" w:right="20"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the costs of preparing, filing and prosecuting patent applications, maintaining and protecting our intellectual property rights, including enforcing and defending intellectual property related claims; and</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the costs of operating as a public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we had cash and cash equivalents of $167.5 million. We believe that our cash and cash equivalents will enable us to fund our operating expenses and capital expenditure requirements into 2023. We have based this estimate on assumptions that may prove to be wrong, and we could utilize our available capital resources sooner than we expect.</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Until such time as we can generate substantial product revenue, if ever,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 product candidates, we are unable to estimate the exact amount of our working capital requirements. Our future funding requirements will depend on and could increase significantly as a result of many factors, including:</w:t>
      </w:r>
    </w:p>
    <w:p>
      <w:pPr>
        <w:spacing w:after="0" w:line="143" w:lineRule="exact"/>
        <w:rPr>
          <w:sz w:val="20"/>
          <w:szCs w:val="20"/>
          <w:color w:val="auto"/>
        </w:rPr>
      </w:pPr>
    </w:p>
    <w:p>
      <w:pPr>
        <w:ind w:left="540" w:hanging="262"/>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w:t>
      </w:r>
    </w:p>
    <w:p>
      <w:pPr>
        <w:spacing w:after="0" w:line="196" w:lineRule="exact"/>
        <w:rPr>
          <w:rFonts w:ascii="Arial" w:cs="Arial" w:eastAsia="Arial" w:hAnsi="Arial"/>
          <w:sz w:val="17"/>
          <w:szCs w:val="17"/>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costs, timing and ability to manufacture our product candidates to supply our clinical and preclinical development efforts and our clinical trials;</w:t>
      </w:r>
    </w:p>
    <w:p>
      <w:pPr>
        <w:spacing w:after="0" w:line="207" w:lineRule="exact"/>
        <w:rPr>
          <w:rFonts w:ascii="Arial" w:cs="Arial" w:eastAsia="Arial" w:hAnsi="Arial"/>
          <w:sz w:val="16"/>
          <w:szCs w:val="16"/>
          <w:color w:val="auto"/>
        </w:rPr>
      </w:pPr>
    </w:p>
    <w:p>
      <w:pPr>
        <w:ind w:left="540" w:hanging="26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 and necessary inventory to support commercial launch;</w:t>
      </w:r>
    </w:p>
    <w:p>
      <w:pPr>
        <w:spacing w:after="0" w:line="184"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184"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revenue, if any, received from commercial sale of our products, should any of our product candidates receive marketing approval;</w:t>
      </w:r>
    </w:p>
    <w:p>
      <w:pPr>
        <w:spacing w:after="0" w:line="184" w:lineRule="exact"/>
        <w:rPr>
          <w:rFonts w:ascii="Arial" w:cs="Arial" w:eastAsia="Arial" w:hAnsi="Arial"/>
          <w:sz w:val="18"/>
          <w:szCs w:val="18"/>
          <w:color w:val="auto"/>
        </w:rPr>
      </w:pPr>
    </w:p>
    <w:p>
      <w:pPr>
        <w:ind w:left="540" w:hanging="26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 and</w:t>
      </w:r>
    </w:p>
    <w:p>
      <w:pPr>
        <w:spacing w:after="0" w:line="184"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4 to the unaudited condensed consolidated financial statements appearing elsewhere in this Quarterly Report on Form 10-Q, we believe that the following accounting policies are those most critical to the judgments and estimates used in the preparation of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540" w:hanging="26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our estimated accruals have not differed materially from actual costs incurred.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all stock-based awards granted to employees, directors and non-employees based on the fair value on the date of grant and recognize compensation expense of those awards over the requisite service period, which is generally the vesting period of the respective award. Forfeitures are accounted for as they occur. We grant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We estimate the probability that certain performance criteria will be met and do not recognize compensation expense until it is probable that the performance-based vesting condition will be achieved.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Prior to the completion of the Business Combination, given there had been no public market for our common stock, the estimated fair value of our common stock was determined by our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Our common stock valuations were prepared using an option pricing method, or OPM, or a hybrid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both of which used market approaches to estimate enterprise value. The OPM treats common stock and preferred stock as call options on the total equity value of a company, with exercise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268" w:lineRule="auto"/>
        <w:rPr>
          <w:sz w:val="20"/>
          <w:szCs w:val="20"/>
          <w:color w:val="auto"/>
        </w:rPr>
      </w:pPr>
      <w:r>
        <w:rPr>
          <w:rFonts w:ascii="Arial" w:cs="Arial" w:eastAsia="Arial" w:hAnsi="Arial"/>
          <w:sz w:val="17"/>
          <w:szCs w:val="17"/>
          <w:color w:val="auto"/>
        </w:rPr>
        <w:t>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our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our common stock. These estimates and assumptions include a number of objective and subjective factors, including external market conditions, the prices at which we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our common stock as reported by Nasdaq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each restricted common stock award is estimated on the date of grant based on the fair value of our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 Business Combination, we were a private company and, therefore, lack company-specific historical and implied volatility information for our common stock. Therefore, we estimated our expected stock price volatility based on the historical volatility of publicly traded peer companies and expect to continue to do so until such time as we have adequate historical data regarding the volatility of ours own traded stock price. The expected term of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does not expect to pay any cash dividends in the foreseeable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did not have any off-balance sheet arrangements, as defined in the rules and regulations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unaudited condensed consolidated financial statements included elsewhere in this Quarterly Report on Form 10-Q for information regarding recently issued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the same time that they become applicable to other public companies that are not emerging growth companies, unless we choose to early adopt a new or revised accounting standard.</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in the ordinary course of our business. These risks primarily relate to changes in interest rates.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cash and cash equivalents as of June 30, 2021 consisted of cash and a money market fund account. Because of the short-term nature of our money market fund, a sudden change in market interest rates would not be expected to have a material impact on our financial position or results of operations.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2021, the principal amount of our term loan was $7.9 million. The following table is an estimate of our interest expense based upon our floating rate term loan that could result from hypothetical interest rate changes, based on debt levels as of June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Hypothetical Change in Interest Rates (i)</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Annual Impact to Interest Expense</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1-percent increase</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$80,000 increase</w:t>
            </w:r>
          </w:p>
        </w:tc>
      </w:tr>
      <w:tr>
        <w:trPr>
          <w:trHeight w:val="230"/>
        </w:trPr>
        <w:tc>
          <w:tcPr>
            <w:tcW w:w="5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1-percent decrease</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No Impact</w:t>
            </w:r>
          </w:p>
        </w:tc>
      </w:tr>
    </w:tbl>
    <w:p>
      <w:pPr>
        <w:spacing w:after="0" w:line="202" w:lineRule="exact"/>
        <w:rPr>
          <w:sz w:val="20"/>
          <w:szCs w:val="20"/>
          <w:color w:val="auto"/>
        </w:rPr>
      </w:pPr>
    </w:p>
    <w:p>
      <w:pPr>
        <w:ind w:left="340" w:right="2820" w:hanging="278"/>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pay a floating rate per annum equal to the greater of 3.75% or the prime rate minus 1.5%. See Note 7 to our unaudited condensed consolidated financial statements for further information.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Inflation would generally affect us by increasing our cost of labor and clinical trial costs. We do not believe that inflation had a material effect on our business, financial condition or results of operations during the three and six months ended June 30, 2021 and the year ended December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June 30, 2021, our principal executive officer and principal financial officer, after evaluating the effectiveness of our “disclosure controls and procedures” (as defined in the Exchange Act Rule 13a-15(e), or Rule 15d-15(e)), with the participation of our management, have each concluded that, as of the end of the period covered by this Quarterly Report on Form 10-Q, our disclosure controls and procedures were effective and were designed to ensure that information we are required to disclose in the reports that we file or submit under the Securities Exchange Act of 1934, as amended,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Securities and Exchange Commission rules and forms. It should be noted that any system of controls is designed to provide reasonable, but not absolute, assurances that the system will achieve its stated goals under all reasonably foreseeable circumstances. Our principal executive officer and principal financial officer have each concluded that our disclosure controls and procedures as of June 30, 2021 are effective at a level that provides such reasonable assurances.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(as such term is defined in Exchange Act Rules 13a-15(f) and 15d-15(f)) that occurred during the three months ended June 30, 2021 that have materially affected, or that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matters discussed in this Quarterly Report on Form 10-Q include forward-looking statements that involve risks or uncertainties. These statements are neither promises nor guarantees, but are based on various assumptions by management regarding future circumstances, over many of which the Company has little or no control. A number of important risks and uncertainties, including those identified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period ended December 31, 2020 and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our Form 8-K/A as filed with the SEC on March 29, 2021 and in subsequent filings, could cause our actual results to differ materially from those in the forward-looking statements. There are no material changes to the risk factors described in our Annual Report on Form 10-K for the period ended December 31, 2020 and our Form 8-K/A as filed with the SEC on March 29, 2021. We may disclose changes to such factors or disclose additional factors from time to time in our future filings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Recent Sales of Unregistered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701 of Regulation S-K was previously included in our Quarterly Report on Form 10-Q filed on May 13,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b w:val="1"/>
          <w:bCs w:val="1"/>
          <w:color w:val="auto"/>
        </w:rPr>
        <w:t>Registration No. 333-249785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20" w:type="dxa"/>
            <w:vAlign w:val="bottom"/>
            <w:gridSpan w:val="11"/>
            <w:vMerge w:val="restart"/>
          </w:tcPr>
          <w:p>
            <w:pPr>
              <w:ind w:left="3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620" w:type="dxa"/>
            <w:vAlign w:val="bottom"/>
            <w:tcBorders>
              <w:bottom w:val="single" w:sz="8" w:color="auto"/>
            </w:tcBorders>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9820" w:type="dxa"/>
            <w:vAlign w:val="bottom"/>
            <w:tcBorders>
              <w:bottom w:val="single" w:sz="8" w:color="0000EE"/>
            </w:tcBorders>
            <w:gridSpan w:val="10"/>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Amended and Restated Articles of Incorporation of Gemini Therapeutics, Inc. (incorporated by reference to Annex B to the Registrant’s</w:t>
              </w:r>
            </w:hyperlink>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Proxy Statement/Prospectus on Form S-4 (Registration No. 333-249785)).</w:t>
              </w:r>
            </w:hyperlink>
          </w:p>
        </w:tc>
        <w:tc>
          <w:tcPr>
            <w:tcW w:w="48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9100" w:type="dxa"/>
            <w:vAlign w:val="bottom"/>
            <w:tcBorders>
              <w:bottom w:val="single" w:sz="8" w:color="0000EE"/>
            </w:tcBorders>
            <w:gridSpan w:val="7"/>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Amended and Restated By-laws of Gemini Therapeutics, Inc. (incorporated by reference to Annex C to the Registrant’s Proxy</w:t>
              </w:r>
            </w:hyperlink>
          </w:p>
        </w:tc>
        <w:tc>
          <w:tcPr>
            <w:tcW w:w="1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Statement/Prospectus on Form S-4 (Registration No. 333-249785)).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200" w:type="dxa"/>
            <w:vAlign w:val="bottom"/>
            <w:gridSpan w:val="12"/>
          </w:tcPr>
          <w:p>
            <w:pPr>
              <w:spacing w:after="0"/>
              <w:rPr>
                <w:rFonts w:ascii="Arial" w:cs="Arial" w:eastAsia="Arial" w:hAnsi="Arial"/>
                <w:sz w:val="18"/>
                <w:szCs w:val="18"/>
                <w:color w:val="0000EE"/>
                <w:w w:val="93"/>
              </w:rPr>
            </w:pPr>
            <w:hyperlink r:id="rId76">
              <w:r>
                <w:rPr>
                  <w:rFonts w:ascii="Arial" w:cs="Arial" w:eastAsia="Arial" w:hAnsi="Arial"/>
                  <w:sz w:val="18"/>
                  <w:szCs w:val="18"/>
                  <w:color w:val="0000EE"/>
                  <w:w w:val="93"/>
                </w:rPr>
                <w:t>Form of Specimen Common Stock Certificate (incorporated by reference to Exhibit 4.1 to Form S-4/A (Registration No. 333-249785) filed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on January 19, 2021).</w:t>
              </w:r>
            </w:hyperlink>
          </w:p>
        </w:tc>
        <w:tc>
          <w:tcPr>
            <w:tcW w:w="8460" w:type="dxa"/>
            <w:vAlign w:val="bottom"/>
            <w:tcBorders>
              <w:top w:val="single" w:sz="8" w:color="0000EE"/>
            </w:tcBorders>
            <w:gridSpan w:val="1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0200" w:type="dxa"/>
            <w:vAlign w:val="bottom"/>
            <w:gridSpan w:val="1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Employment Agreement, dated as of April 12, 2021, by and between Gemini Therapeutics, Inc. and Dr. Samuel Barone.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0200" w:type="dxa"/>
            <w:vAlign w:val="bottom"/>
            <w:gridSpan w:val="12"/>
          </w:tcPr>
          <w:p>
            <w:pPr>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Adopted Pursuant to Section 302 of the Sarbanes-Oxley Act of 2002.</w:t>
              </w:r>
            </w:hyperlink>
          </w:p>
        </w:tc>
        <w:tc>
          <w:tcPr>
            <w:tcW w:w="5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95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6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jc w:val="right"/>
              <w:ind w:right="232"/>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87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Certification pursuant to 18 U.S.C. Section 1350, as Adopted Pursuant to Section 906 of the Sarbanes-Oxley Act of 2002.</w:t>
              </w:r>
            </w:hyperlink>
          </w:p>
        </w:tc>
        <w:tc>
          <w:tcPr>
            <w:tcW w:w="14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1"/>
                <w:szCs w:val="21"/>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19"/>
                <w:szCs w:val="19"/>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19"/>
                <w:szCs w:val="19"/>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19"/>
                <w:szCs w:val="19"/>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19"/>
                <w:szCs w:val="19"/>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942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GEMINI THERAPEUTICS, INC.</w:t>
      </w:r>
    </w:p>
    <w:p>
      <w:pPr>
        <w:spacing w:after="0" w:line="252" w:lineRule="exact"/>
        <w:rPr>
          <w:sz w:val="20"/>
          <w:szCs w:val="20"/>
          <w:color w:val="auto"/>
        </w:rPr>
      </w:pPr>
    </w:p>
    <w:p>
      <w:pPr>
        <w:spacing w:after="0"/>
        <w:tabs>
          <w:tab w:leader="none" w:pos="5680" w:val="left"/>
          <w:tab w:leader="none" w:pos="78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Jason Meyenburg</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Gemini Therapeutics, Inc.</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12, 2021</w:t>
            </w:r>
          </w:p>
        </w:tc>
        <w:tc>
          <w:tcPr>
            <w:tcW w:w="2440" w:type="dxa"/>
            <w:vAlign w:val="bottom"/>
          </w:tcPr>
          <w:p>
            <w:pPr>
              <w:jc w:val="right"/>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Piekos</w:t>
            </w:r>
          </w:p>
        </w:tc>
      </w:tr>
      <w:tr>
        <w:trPr>
          <w:trHeight w:val="205"/>
        </w:trPr>
        <w:tc>
          <w:tcPr>
            <w:tcW w:w="3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Brian Piekos</w:t>
            </w:r>
          </w:p>
        </w:tc>
      </w:tr>
      <w:tr>
        <w:trPr>
          <w:trHeight w:val="230"/>
        </w:trPr>
        <w:tc>
          <w:tcPr>
            <w:tcW w:w="3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officer)</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Gemini Therapeutics, Inc.</w:t>
            </w:r>
          </w:p>
        </w:tc>
      </w:tr>
      <w:tr>
        <w:trPr>
          <w:trHeight w:val="648"/>
        </w:trPr>
        <w:tc>
          <w:tcPr>
            <w:tcW w:w="3580" w:type="dxa"/>
            <w:vAlign w:val="bottom"/>
          </w:tcPr>
          <w:p>
            <w:pPr>
              <w:spacing w:after="0"/>
              <w:rPr>
                <w:sz w:val="24"/>
                <w:szCs w:val="24"/>
                <w:color w:val="auto"/>
              </w:rPr>
            </w:pPr>
          </w:p>
        </w:tc>
        <w:tc>
          <w:tcPr>
            <w:tcW w:w="244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right="540" w:firstLine="864"/>
        <w:spacing w:after="0" w:line="250" w:lineRule="auto"/>
        <w:rPr>
          <w:sz w:val="20"/>
          <w:szCs w:val="20"/>
          <w:color w:val="auto"/>
        </w:rPr>
      </w:pPr>
      <w:r>
        <w:rPr>
          <w:rFonts w:ascii="Arial" w:cs="Arial" w:eastAsia="Arial" w:hAnsi="Arial"/>
          <w:sz w:val="22"/>
          <w:szCs w:val="22"/>
          <w:color w:val="auto"/>
        </w:rPr>
        <w:t>This Employment Agreement (“Agreement”) is made as of March 24, 2021 between Gemini Therapeutics, Inc., a Delaware corporation (the “Company”), and Dr. Sam Barone (the “Executive”).</w:t>
      </w:r>
    </w:p>
    <w:p>
      <w:pPr>
        <w:spacing w:after="0" w:line="175" w:lineRule="exact"/>
        <w:rPr>
          <w:sz w:val="20"/>
          <w:szCs w:val="20"/>
          <w:color w:val="auto"/>
        </w:rPr>
      </w:pPr>
    </w:p>
    <w:p>
      <w:pPr>
        <w:jc w:val="both"/>
        <w:ind w:right="80" w:firstLine="864"/>
        <w:spacing w:after="0" w:line="297" w:lineRule="auto"/>
        <w:rPr>
          <w:sz w:val="20"/>
          <w:szCs w:val="20"/>
          <w:color w:val="auto"/>
        </w:rPr>
      </w:pPr>
      <w:r>
        <w:rPr>
          <w:rFonts w:ascii="Arial" w:cs="Arial" w:eastAsia="Arial" w:hAnsi="Arial"/>
          <w:sz w:val="19"/>
          <w:szCs w:val="19"/>
          <w:color w:val="auto"/>
        </w:rPr>
        <w:t>WHEREAS, the Company desires to employ the Executive and the Executive desires to be employed by the Company on the terms and conditions contained herein commencing on April 12, 2021, unless another date is agreed to by the parties. The Executive’s first day of employment under this Agreement shall be the “Effective Date” of this Agreement;</w:t>
      </w:r>
    </w:p>
    <w:p>
      <w:pPr>
        <w:spacing w:after="0" w:line="134" w:lineRule="exact"/>
        <w:rPr>
          <w:sz w:val="20"/>
          <w:szCs w:val="20"/>
          <w:color w:val="auto"/>
        </w:rPr>
      </w:pPr>
    </w:p>
    <w:p>
      <w:pPr>
        <w:ind w:right="300" w:firstLine="864"/>
        <w:spacing w:after="0" w:line="328" w:lineRule="auto"/>
        <w:rPr>
          <w:sz w:val="20"/>
          <w:szCs w:val="20"/>
          <w:color w:val="auto"/>
        </w:rPr>
      </w:pPr>
      <w:r>
        <w:rPr>
          <w:rFonts w:ascii="Arial" w:cs="Arial" w:eastAsia="Arial" w:hAnsi="Arial"/>
          <w:sz w:val="19"/>
          <w:szCs w:val="19"/>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05" w:lineRule="exact"/>
        <w:rPr>
          <w:sz w:val="20"/>
          <w:szCs w:val="20"/>
          <w:color w:val="auto"/>
        </w:rPr>
      </w:pPr>
    </w:p>
    <w:p>
      <w:pPr>
        <w:ind w:left="1680" w:hanging="808"/>
        <w:spacing w:after="0"/>
        <w:tabs>
          <w:tab w:leader="none" w:pos="168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80" w:firstLine="1735"/>
        <w:spacing w:after="0" w:line="236" w:lineRule="auto"/>
        <w:tabs>
          <w:tab w:leader="none" w:pos="2615"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 (the “Term”). The Executive’s employment with the Company shall be “at will,” meaning that the Executive’s employment may be terminated by the Company or the Executive at any time and for any reason subject to the terms of this Agreement.</w:t>
      </w:r>
    </w:p>
    <w:p>
      <w:pPr>
        <w:spacing w:after="0" w:line="187" w:lineRule="exact"/>
        <w:rPr>
          <w:rFonts w:ascii="Arial" w:cs="Arial" w:eastAsia="Arial" w:hAnsi="Arial"/>
          <w:sz w:val="22"/>
          <w:szCs w:val="22"/>
          <w:color w:val="auto"/>
        </w:rPr>
      </w:pPr>
    </w:p>
    <w:p>
      <w:pPr>
        <w:ind w:firstLine="1735"/>
        <w:spacing w:after="0" w:line="273" w:lineRule="auto"/>
        <w:tabs>
          <w:tab w:leader="none" w:pos="2627"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During the Term, the Executive shall serve as the Chief Medical Officer for the Company and shall have such powers and duties as may from time to time be prescribed by the Chief Executive Officer of the Company (the “CEO”). The Executive shall devote his full working time and efforts to the business and affairs of the Company. Notwithstanding the foregoing, the Executive may serve on other boards of directors, with the approval of the Board of Directors of the Company (the “Board”) or a committee of the Board, or engage in religious, charitable or other community activities as long as such services and activities are disclosed to the Board and do not interfere with the Executive’s performance of his duties to the Company. As of the Effective Date, the Company has approved (i) the Executive’s continuing service on the Board of Director for Halodine, LLC a commercial-stage pharmaceutical company focused on resistance-free antiviral, antifungal and antibacterial topical drugs, as well as (ii) the Executive’s providing up to 4 days per month of ophthalmologic patient care activities, provided that such days are approved in advance by the CEO or the Company’s Chief People Officer and that the provision of such patient care activities do not conflict with the Executive’s employment with the Company.</w:t>
      </w:r>
    </w:p>
    <w:p>
      <w:pPr>
        <w:spacing w:after="0" w:line="155" w:lineRule="exact"/>
        <w:rPr>
          <w:rFonts w:ascii="Arial" w:cs="Arial" w:eastAsia="Arial" w:hAnsi="Arial"/>
          <w:sz w:val="19"/>
          <w:szCs w:val="19"/>
          <w:color w:val="auto"/>
        </w:rPr>
      </w:pPr>
    </w:p>
    <w:p>
      <w:pPr>
        <w:ind w:left="1680" w:hanging="808"/>
        <w:spacing w:after="0"/>
        <w:tabs>
          <w:tab w:leader="none" w:pos="168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1735"/>
        <w:spacing w:after="0" w:line="287" w:lineRule="auto"/>
        <w:tabs>
          <w:tab w:leader="none" w:pos="2615"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the Executive’s initial annual base salary shall be paid at the rate of $425,000 per year.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senior executives.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20" w:firstLine="1735"/>
        <w:spacing w:after="0" w:line="287" w:lineRule="auto"/>
        <w:tabs>
          <w:tab w:leader="none" w:pos="2607"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During the Term, the Executive shall be eligible to receive cash incentive compensation as determined by the Board or the Compensation Committee from time to time. The Executive’s target annual incentive compensation shall be 40% of the Base Salary (the “Target Bonus”). Except as otherwise provided herein, to earn incentive compensation, the Executive must be employed by the Company on the day such incentive compensation is paid.</w:t>
      </w:r>
    </w:p>
    <w:p>
      <w:pPr>
        <w:spacing w:after="0" w:line="142" w:lineRule="exact"/>
        <w:rPr>
          <w:rFonts w:ascii="Arial" w:cs="Arial" w:eastAsia="Arial" w:hAnsi="Arial"/>
          <w:sz w:val="19"/>
          <w:szCs w:val="19"/>
          <w:color w:val="auto"/>
        </w:rPr>
      </w:pPr>
    </w:p>
    <w:p>
      <w:pPr>
        <w:ind w:left="-20" w:right="120" w:firstLine="1735"/>
        <w:spacing w:after="0" w:line="245" w:lineRule="auto"/>
        <w:tabs>
          <w:tab w:leader="none" w:pos="2595"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Equity Compensation</w:t>
      </w:r>
      <w:r>
        <w:rPr>
          <w:rFonts w:ascii="Arial" w:cs="Arial" w:eastAsia="Arial" w:hAnsi="Arial"/>
          <w:sz w:val="21"/>
          <w:szCs w:val="21"/>
          <w:color w:val="auto"/>
        </w:rPr>
        <w:t>. As an inducement to your employment with the Company, subject to final approval by the Board or a committee thereof, of the Company will grant to the Executive following the Effective Date a non-qualified stock option to purchase up to 255,212 shares of the Company’s common stock (the “Inducement Award”). The exercise price or purchase price per share of the Inducement Award will be equal to the fair market value of the Company’s common stock on the date of grant. The shares underlying the Inducement Award will be subject to a four-year vesting schedule with 25% of the shares subject to each award vesting on the one year anniversary of the first day of the month immediately following the Effective Date and the remainder vesting ratably on a monthly basis over the following 36 months, subject to continued employment as of each such vesting date. The Equity Award will be subject to the terms of the Company’s 2021 Inducement Equity Grant Plan (the “Inducement Plan”) and the equity award agreement between the Executive and the Company, which shall govern.</w:t>
      </w:r>
    </w:p>
    <w:p>
      <w:pPr>
        <w:spacing w:after="0" w:line="180" w:lineRule="exact"/>
        <w:rPr>
          <w:rFonts w:ascii="Arial" w:cs="Arial" w:eastAsia="Arial" w:hAnsi="Arial"/>
          <w:sz w:val="21"/>
          <w:szCs w:val="21"/>
          <w:color w:val="auto"/>
        </w:rPr>
      </w:pPr>
    </w:p>
    <w:p>
      <w:pPr>
        <w:ind w:left="-20" w:right="60" w:firstLine="1735"/>
        <w:spacing w:after="0" w:line="245" w:lineRule="auto"/>
        <w:tabs>
          <w:tab w:leader="none" w:pos="2607"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Sign-On Bonus</w:t>
      </w:r>
      <w:r>
        <w:rPr>
          <w:rFonts w:ascii="Arial" w:cs="Arial" w:eastAsia="Arial" w:hAnsi="Arial"/>
          <w:sz w:val="21"/>
          <w:szCs w:val="21"/>
          <w:color w:val="auto"/>
        </w:rPr>
        <w:t>. On the Company’s first regular payroll date following the Effective Date (and provided that you remain employed by the Company on such date), the Company shall pay you a signing bonus of $100,000 less applicable deductions and withholdings (the “</w:t>
      </w:r>
      <w:r>
        <w:rPr>
          <w:rFonts w:ascii="Arial" w:cs="Arial" w:eastAsia="Arial" w:hAnsi="Arial"/>
          <w:sz w:val="21"/>
          <w:szCs w:val="21"/>
          <w:b w:val="1"/>
          <w:bCs w:val="1"/>
          <w:color w:val="auto"/>
        </w:rPr>
        <w:t>Sign-On Bonus</w:t>
      </w:r>
      <w:r>
        <w:rPr>
          <w:rFonts w:ascii="Arial" w:cs="Arial" w:eastAsia="Arial" w:hAnsi="Arial"/>
          <w:sz w:val="21"/>
          <w:szCs w:val="21"/>
          <w:color w:val="auto"/>
        </w:rPr>
        <w:t>”). If within one year of the Effective Date either (i) you resign from employment with the Company for any reason other than Good Reason (as defined below), or (ii) you are terminated by the Company for Cause (as defined below), then you agree that you will repay 100% of the Sign-On Bonus to the Company within ten (10) days from the Date of Termination (as defined below). If within two years of the Effective Date either (i) you resign from employment with the Company for any reason other than Good Reason, or (ii) you are terminated by the Company for Cause, then you agree that you will repay fifty percent (50%) of the Sign-On Bonus to the Company within ten (10) days from the Date of Termination.</w:t>
      </w:r>
    </w:p>
    <w:p>
      <w:pPr>
        <w:spacing w:after="0" w:line="184" w:lineRule="exact"/>
        <w:rPr>
          <w:rFonts w:ascii="Arial" w:cs="Arial" w:eastAsia="Arial" w:hAnsi="Arial"/>
          <w:sz w:val="21"/>
          <w:szCs w:val="21"/>
          <w:color w:val="auto"/>
        </w:rPr>
      </w:pPr>
    </w:p>
    <w:p>
      <w:pPr>
        <w:jc w:val="both"/>
        <w:ind w:left="-20" w:right="420" w:firstLine="1735"/>
        <w:spacing w:after="0"/>
        <w:tabs>
          <w:tab w:leader="none" w:pos="2595"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receive prompt reimbursement for all reasonable expenses incurred by them during the Term in performing services hereunder, in accordance with the policies and procedures then in effect and established by the Company for its senior executives.</w:t>
      </w:r>
    </w:p>
    <w:p>
      <w:pPr>
        <w:spacing w:after="0" w:line="186" w:lineRule="exact"/>
        <w:rPr>
          <w:rFonts w:ascii="Arial" w:cs="Arial" w:eastAsia="Arial" w:hAnsi="Arial"/>
          <w:sz w:val="22"/>
          <w:szCs w:val="22"/>
          <w:color w:val="auto"/>
        </w:rPr>
      </w:pPr>
    </w:p>
    <w:p>
      <w:pPr>
        <w:ind w:left="-20" w:firstLine="1735"/>
        <w:spacing w:after="0" w:line="238" w:lineRule="auto"/>
        <w:tabs>
          <w:tab w:leader="none" w:pos="2571"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During the Term, the Executive shall be eligible to participate in or receive benefits under the Company’s policies and employee benefit plans in effect from time to time, subject to the terms of such policies and plans and to the Company’s ability to amend, modify, replace or terminate such policies and plans, including with respect to paid time off.</w:t>
      </w:r>
    </w:p>
    <w:p>
      <w:pPr>
        <w:spacing w:after="0" w:line="184" w:lineRule="exact"/>
        <w:rPr>
          <w:rFonts w:ascii="Arial" w:cs="Arial" w:eastAsia="Arial" w:hAnsi="Arial"/>
          <w:sz w:val="22"/>
          <w:szCs w:val="22"/>
          <w:color w:val="auto"/>
        </w:rPr>
      </w:pPr>
    </w:p>
    <w:p>
      <w:pPr>
        <w:ind w:left="-20" w:right="520" w:firstLine="1735"/>
        <w:spacing w:after="0"/>
        <w:tabs>
          <w:tab w:leader="none" w:pos="2607"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Relocation</w:t>
      </w:r>
      <w:r>
        <w:rPr>
          <w:rFonts w:ascii="Arial" w:cs="Arial" w:eastAsia="Arial" w:hAnsi="Arial"/>
          <w:sz w:val="22"/>
          <w:szCs w:val="22"/>
          <w:color w:val="auto"/>
        </w:rPr>
        <w:t>. At such time as requested by the Compensation Committee of the Board (the “Compensation Committee”) or the Board, following the ending (or easing) of the COVID-19 pandemic, Executive shall be present in the Company’s offices, currently located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45" w:name="page46"/>
    <w:bookmarkEnd w:id="45"/>
    <w:p>
      <w:pPr>
        <w:spacing w:after="0" w:line="273" w:lineRule="auto"/>
        <w:rPr>
          <w:sz w:val="20"/>
          <w:szCs w:val="20"/>
          <w:color w:val="auto"/>
        </w:rPr>
      </w:pPr>
      <w:r>
        <w:rPr>
          <w:rFonts w:ascii="Arial" w:cs="Arial" w:eastAsia="Arial" w:hAnsi="Arial"/>
          <w:sz w:val="19"/>
          <w:szCs w:val="19"/>
          <w:color w:val="auto"/>
        </w:rPr>
        <w:t>Cambridge, Massachusetts (the “Corporate Office”), for three to four days per week, and to allow for such presence in the Company’s offices, the Company will provide you with a living expense allowance, in an amount in agreement with Company policy and as reviewed and agreed to by CEO (the “Living Expense Allowance”). The Living Expense Allowance shall be paid monthly in arears within the first ten (10) days of each month. No substantiation for the Living Expense Allowance will be required beyond your personal certification that you physically are located and work in the Corporate Office. The Company will comply with any tax reporting obligations and you will be responsible for any tax payment obligations. You will not be eligible to receive any other reimbursement for living expenses other than reimbursement for reasonable out-of-pocket travel and business expenses incurred in accordance with the Company’s expense reimbursement policy. Notwithstanding the foregoing, the Compensation Committee or the Board will have the right to periodically reassess this requirement, and at any time following the ending (or easing) of the COVID-19 pandemic, the Compensation Committee or the Board may require that Executive relocate his primary residence to the Greater Boston Area.</w:t>
      </w:r>
    </w:p>
    <w:p>
      <w:pPr>
        <w:spacing w:after="0" w:line="155" w:lineRule="exact"/>
        <w:rPr>
          <w:sz w:val="20"/>
          <w:szCs w:val="20"/>
          <w:color w:val="auto"/>
        </w:rPr>
      </w:pPr>
    </w:p>
    <w:p>
      <w:pPr>
        <w:ind w:right="240" w:firstLine="1735"/>
        <w:spacing w:after="0" w:line="287" w:lineRule="auto"/>
        <w:tabs>
          <w:tab w:leader="none" w:pos="2627"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Withholding; Tax Effect</w:t>
      </w:r>
      <w:r>
        <w:rPr>
          <w:rFonts w:ascii="Arial" w:cs="Arial" w:eastAsia="Arial" w:hAnsi="Arial"/>
          <w:sz w:val="19"/>
          <w:szCs w:val="19"/>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42" w:lineRule="exact"/>
        <w:rPr>
          <w:rFonts w:ascii="Arial" w:cs="Arial" w:eastAsia="Arial" w:hAnsi="Arial"/>
          <w:sz w:val="19"/>
          <w:szCs w:val="19"/>
          <w:color w:val="auto"/>
        </w:rPr>
      </w:pPr>
    </w:p>
    <w:p>
      <w:pPr>
        <w:ind w:right="20" w:firstLine="872"/>
        <w:spacing w:after="0" w:line="250" w:lineRule="auto"/>
        <w:tabs>
          <w:tab w:leader="none" w:pos="167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During the Term, the Executive’s employment hereunder may be terminated without any breach of this Agreement under the following circumstances:</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hereunder shall terminate upon his death.</w:t>
      </w:r>
    </w:p>
    <w:p>
      <w:pPr>
        <w:spacing w:after="0" w:line="206" w:lineRule="exact"/>
        <w:rPr>
          <w:rFonts w:ascii="Arial" w:cs="Arial" w:eastAsia="Arial" w:hAnsi="Arial"/>
          <w:sz w:val="22"/>
          <w:szCs w:val="22"/>
          <w:color w:val="auto"/>
        </w:rPr>
      </w:pPr>
    </w:p>
    <w:p>
      <w:pPr>
        <w:ind w:firstLine="1735"/>
        <w:spacing w:after="0" w:line="272" w:lineRule="auto"/>
        <w:tabs>
          <w:tab w:leader="none" w:pos="2627"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The Company may terminate the Executive’s employment if they are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46" w:name="page47"/>
    <w:bookmarkEnd w:id="46"/>
    <w:p>
      <w:pPr>
        <w:ind w:left="-40" w:right="20" w:firstLine="1735"/>
        <w:spacing w:after="0" w:line="271" w:lineRule="auto"/>
        <w:tabs>
          <w:tab w:leader="none" w:pos="257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they were retained in his position; (iii) unsatisfactory performance by the Executive of a material responsibility (other than by reason of the Executive’s physical or mental illness, incapacity or disability) as reasonably determined by the CEO, which has continued for not less than 30 days following written notice from the CEO that identifies the unsatisfactory performance; (iv) a breach by the Executive of any of the provisions contained in Section 8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40" w:right="120" w:firstLine="1735"/>
        <w:spacing w:after="0" w:line="238" w:lineRule="auto"/>
        <w:tabs>
          <w:tab w:leader="none" w:pos="2587"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84" w:lineRule="exact"/>
        <w:rPr>
          <w:rFonts w:ascii="Arial" w:cs="Arial" w:eastAsia="Arial" w:hAnsi="Arial"/>
          <w:sz w:val="22"/>
          <w:szCs w:val="22"/>
          <w:color w:val="auto"/>
        </w:rPr>
      </w:pPr>
    </w:p>
    <w:p>
      <w:pPr>
        <w:ind w:left="-40" w:firstLine="1735"/>
        <w:spacing w:after="0" w:line="271" w:lineRule="auto"/>
        <w:tabs>
          <w:tab w:leader="none" w:pos="257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his employment hereunder at any time for any reason, including for Good Reason. For purposes of this offer letter, “Good Reason” shall mean that the Executive has complied with the “Good Reason Process” (hereinafter defined) following the occurrence of any of the following events: (i) reduction of the Executive’s Base Salary without the Executive’s prior consent (other than in connection with, and substantially proportionate to, reductions by the Company of the compensation of the Company’s management employees); (ii) material diminution in the Executive’s responsibilities, authority, or duties, without the Executive’s prior consent; (iii) unless the Executive and the Company mutually agree the remote work location for the Executive, relocation of the Company’s offices more than 100 miles away from the current location without the Executive’s prior consent; or (iv) any material breach by the Company or any successor thereto of this Agreement. “Good Reason Process” shall mean that (i) the Executive has reasonably determined in good faith that a “Good Reason” condition has occurred; (ii) the Executive has notified the Company in writing of the first occurrence of the Good Reason condition within 90 days of the first occurrence of such condition; (iii) the Executive has cooperated in good faith with the Company’s efforts, for a period not less than 30 days following such notice (the “Cure Period”), to remedy the condition; (iv) notwithstanding such efforts, the Good Reason condition continues to exist; and (v) the Executive terminates his employment within 30 days after the end of the Cure Period. If the Company cures the Good Reason condition during the Cure Period, Good Reason shall be deemed not to have occurred.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217170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361" w:right="359" w:bottom="1440" w:gutter="0" w:footer="0" w:header="0"/>
        </w:sectPr>
      </w:pPr>
    </w:p>
    <w:bookmarkStart w:id="47" w:name="page48"/>
    <w:bookmarkEnd w:id="47"/>
    <w:p>
      <w:pPr>
        <w:jc w:val="both"/>
        <w:ind w:left="-20" w:right="20" w:firstLine="1735"/>
        <w:spacing w:after="0" w:line="252" w:lineRule="auto"/>
        <w:tabs>
          <w:tab w:leader="none" w:pos="2571"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3" w:lineRule="exact"/>
        <w:rPr>
          <w:rFonts w:ascii="Arial" w:cs="Arial" w:eastAsia="Arial" w:hAnsi="Arial"/>
          <w:sz w:val="21"/>
          <w:szCs w:val="21"/>
          <w:color w:val="auto"/>
        </w:rPr>
      </w:pPr>
    </w:p>
    <w:p>
      <w:pPr>
        <w:ind w:left="-20" w:right="40" w:firstLine="1735"/>
        <w:spacing w:after="0" w:line="245" w:lineRule="auto"/>
        <w:tabs>
          <w:tab w:leader="none" w:pos="2607"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or the date otherwise specified by the Company in the Notice of Termination; and (iv) if the Executive’s employment is terminated by the Executive under Section 3(e), 30 days after the date on which a Notice of Termination is given.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4" w:lineRule="exact"/>
        <w:rPr>
          <w:rFonts w:ascii="Arial" w:cs="Arial" w:eastAsia="Arial" w:hAnsi="Arial"/>
          <w:sz w:val="21"/>
          <w:szCs w:val="21"/>
          <w:color w:val="auto"/>
        </w:rPr>
      </w:pPr>
    </w:p>
    <w:p>
      <w:pPr>
        <w:ind w:left="-20" w:firstLine="872"/>
        <w:spacing w:after="0" w:line="234" w:lineRule="auto"/>
        <w:tabs>
          <w:tab w:leader="none" w:pos="165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Generally</w:t>
      </w:r>
      <w:r>
        <w:rPr>
          <w:rFonts w:ascii="Arial" w:cs="Arial" w:eastAsia="Arial" w:hAnsi="Arial"/>
          <w:sz w:val="22"/>
          <w:szCs w:val="22"/>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90" w:lineRule="exact"/>
        <w:rPr>
          <w:rFonts w:ascii="Arial" w:cs="Arial" w:eastAsia="Arial" w:hAnsi="Arial"/>
          <w:sz w:val="22"/>
          <w:szCs w:val="22"/>
          <w:color w:val="auto"/>
        </w:rPr>
      </w:pPr>
    </w:p>
    <w:p>
      <w:pPr>
        <w:ind w:left="-20" w:right="80" w:firstLine="872"/>
        <w:spacing w:after="0" w:line="274" w:lineRule="auto"/>
        <w:tabs>
          <w:tab w:leader="none" w:pos="1654"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the Executive for Good Reason</w:t>
      </w:r>
      <w:r>
        <w:rPr>
          <w:rFonts w:ascii="Arial" w:cs="Arial" w:eastAsia="Arial" w:hAnsi="Arial"/>
          <w:sz w:val="19"/>
          <w:szCs w:val="19"/>
          <w:color w:val="auto"/>
        </w:rPr>
        <w:t>. During the Term, if the Executive’s employment is terminated by the Company without Cause or by the Executive for Good Reason, then the Company shall pay the Executive his Accrued Benefit. In addition, subject to the Executive (i) signing a separation agreement and release in a form and manner satisfactory to the Company, which shall include, without limitation, a general release of claims in favor of the Company and related persons and entities, a reaffirmation of the Executive’s post-employment obligations, and in the Company’s sole discretion, a one year noncompetition agreement, and shall provide that, if the Executive breaches any of the postemployment obligations, all payment of the Severance Amount shall immediately cease (the “Separation Agreement and Release”), and (ii) the Separation Agreement and Release becoming irrevocable, all within 60 days after the Date of Termination (or such period as set forth in the Separation Agreement and Release):</w:t>
      </w:r>
    </w:p>
    <w:p>
      <w:pPr>
        <w:spacing w:after="0" w:line="158" w:lineRule="exact"/>
        <w:rPr>
          <w:sz w:val="20"/>
          <w:szCs w:val="20"/>
          <w:color w:val="auto"/>
        </w:rPr>
      </w:pPr>
    </w:p>
    <w:p>
      <w:pPr>
        <w:ind w:left="860" w:right="120" w:firstLine="1586"/>
        <w:spacing w:after="0" w:line="238" w:lineRule="auto"/>
        <w:tabs>
          <w:tab w:leader="none" w:pos="3306"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the sum of (i) nine (9) months of the Executive’s Base Salary and (ii) pro rata portion of the Target Bonus earned by the Executive for the current calendar year measured from the first day of such calendar year through the Date of Termination (the “Severance Amount”);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48" w:name="page49"/>
    <w:bookmarkEnd w:id="48"/>
    <w:p>
      <w:pPr>
        <w:ind w:left="880" w:right="80" w:firstLine="1586"/>
        <w:spacing w:after="0" w:line="273" w:lineRule="auto"/>
        <w:tabs>
          <w:tab w:leader="none" w:pos="3386" w:val="left"/>
        </w:tabs>
        <w:numPr>
          <w:ilvl w:val="1"/>
          <w:numId w:val="29"/>
        </w:numPr>
        <w:rPr>
          <w:rFonts w:ascii="Arial" w:cs="Arial" w:eastAsia="Arial" w:hAnsi="Arial"/>
          <w:sz w:val="19"/>
          <w:szCs w:val="19"/>
          <w:color w:val="auto"/>
        </w:rPr>
      </w:pPr>
      <w:r>
        <w:rPr>
          <w:rFonts w:ascii="Arial" w:cs="Arial" w:eastAsia="Arial" w:hAnsi="Arial"/>
          <w:sz w:val="19"/>
          <w:szCs w:val="19"/>
          <w:color w:val="auto"/>
        </w:rPr>
        <w:t>subject to the Executive’s proper election to receive benefits under the Consolidated Omnibus Budget Reconciliation Act of 1985, as amended (“COBRA”), the Company shall all amounts necessary to provide health insurance to the Executive if the Executive had remained employed by the Company until the earliest of</w:t>
      </w:r>
    </w:p>
    <w:p>
      <w:pPr>
        <w:spacing w:after="0" w:line="1" w:lineRule="exact"/>
        <w:rPr>
          <w:rFonts w:ascii="Arial" w:cs="Arial" w:eastAsia="Arial" w:hAnsi="Arial"/>
          <w:sz w:val="19"/>
          <w:szCs w:val="19"/>
          <w:color w:val="auto"/>
        </w:rPr>
      </w:pPr>
    </w:p>
    <w:p>
      <w:pPr>
        <w:ind w:left="880" w:right="120" w:hanging="8"/>
        <w:spacing w:after="0" w:line="272" w:lineRule="auto"/>
        <w:tabs>
          <w:tab w:leader="none" w:pos="1234"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nine (9)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 related deductions and withholdings and paid on the Company’s regular payroll dates. For the avoidance of doubt, the taxable payments described above may be used for any purpose, including, but not limited to, continuation coverage under COBRA.</w:t>
      </w:r>
    </w:p>
    <w:p>
      <w:pPr>
        <w:spacing w:after="0" w:line="161"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The amounts payable under this Section 5(i)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188" w:lineRule="exact"/>
        <w:rPr>
          <w:sz w:val="20"/>
          <w:szCs w:val="20"/>
          <w:color w:val="auto"/>
        </w:rPr>
      </w:pPr>
    </w:p>
    <w:p>
      <w:pPr>
        <w:ind w:right="40" w:firstLine="872"/>
        <w:spacing w:after="0" w:line="275" w:lineRule="auto"/>
        <w:tabs>
          <w:tab w:leader="none" w:pos="167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Change in Control Payment</w:t>
      </w:r>
      <w:r>
        <w:rPr>
          <w:rFonts w:ascii="Arial" w:cs="Arial" w:eastAsia="Arial" w:hAnsi="Arial"/>
          <w:sz w:val="19"/>
          <w:szCs w:val="19"/>
          <w:color w:val="auto"/>
        </w:rPr>
        <w:t>. The provisions of this Section 6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5 regarding severance pay and benefits upon a termination of employment, if such termination of employment occurs within 12 months after the occurrence of the first event constituting a Change in Control (the “Change in Control Period”). These provisions shall terminate and be of no further force or effect beginning after the Change in Control Period has ended.</w:t>
      </w:r>
    </w:p>
    <w:p>
      <w:pPr>
        <w:spacing w:after="0" w:line="157" w:lineRule="exact"/>
        <w:rPr>
          <w:rFonts w:ascii="Arial" w:cs="Arial" w:eastAsia="Arial" w:hAnsi="Arial"/>
          <w:sz w:val="19"/>
          <w:szCs w:val="19"/>
          <w:color w:val="auto"/>
        </w:rPr>
      </w:pPr>
    </w:p>
    <w:p>
      <w:pPr>
        <w:ind w:right="260" w:firstLine="1735"/>
        <w:spacing w:after="0" w:line="287" w:lineRule="auto"/>
        <w:tabs>
          <w:tab w:leader="none" w:pos="2615"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During the Term, if during the Change in Control Period, the Executive’s employment is terminated by the Company without Cause or by the Executive for Good Reason, then, subject to the signing of the Separation Agreement and Release by the Executive and the Separation Agreement and Release becoming irrevocable, the time frame set forth in the Separation Agreement and Release but in no event more than 60 days after the Date of Termination:</w:t>
      </w:r>
    </w:p>
    <w:p>
      <w:pPr>
        <w:spacing w:after="0" w:line="142" w:lineRule="exact"/>
        <w:rPr>
          <w:rFonts w:ascii="Arial" w:cs="Arial" w:eastAsia="Arial" w:hAnsi="Arial"/>
          <w:sz w:val="19"/>
          <w:szCs w:val="19"/>
          <w:color w:val="auto"/>
        </w:rPr>
      </w:pPr>
    </w:p>
    <w:p>
      <w:pPr>
        <w:ind w:left="880" w:firstLine="1586"/>
        <w:spacing w:after="0"/>
        <w:tabs>
          <w:tab w:leader="none" w:pos="3326" w:val="left"/>
        </w:tabs>
        <w:numPr>
          <w:ilvl w:val="2"/>
          <w:numId w:val="31"/>
        </w:numPr>
        <w:rPr>
          <w:rFonts w:ascii="Arial" w:cs="Arial" w:eastAsia="Arial" w:hAnsi="Arial"/>
          <w:sz w:val="22"/>
          <w:szCs w:val="22"/>
          <w:color w:val="auto"/>
        </w:rPr>
      </w:pPr>
      <w:r>
        <w:rPr>
          <w:rFonts w:ascii="Arial" w:cs="Arial" w:eastAsia="Arial" w:hAnsi="Arial"/>
          <w:sz w:val="22"/>
          <w:szCs w:val="22"/>
          <w:color w:val="auto"/>
        </w:rPr>
        <w:t>the Company shall pay the Executive a lump sum in cash in an amount equal the sum of one times the sum of (A) the Executive’s then current Base Salary (or the Executive’s Base Salary in effect immediately prior to the Change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9" w:name="page50"/>
    <w:bookmarkEnd w:id="49"/>
    <w:p>
      <w:pPr>
        <w:ind w:left="880" w:right="120"/>
        <w:spacing w:after="0" w:line="250" w:lineRule="auto"/>
        <w:rPr>
          <w:sz w:val="20"/>
          <w:szCs w:val="20"/>
          <w:color w:val="auto"/>
        </w:rPr>
      </w:pPr>
      <w:r>
        <w:rPr>
          <w:rFonts w:ascii="Arial" w:cs="Arial" w:eastAsia="Arial" w:hAnsi="Arial"/>
          <w:sz w:val="22"/>
          <w:szCs w:val="22"/>
          <w:color w:val="auto"/>
        </w:rPr>
        <w:t>Control, if higher) plus (B) the Executive’s Target Bonus for the then-current year (the “Change in Control Payment”); and</w:t>
      </w:r>
    </w:p>
    <w:p>
      <w:pPr>
        <w:spacing w:after="0" w:line="175" w:lineRule="exact"/>
        <w:rPr>
          <w:sz w:val="20"/>
          <w:szCs w:val="20"/>
          <w:color w:val="auto"/>
        </w:rPr>
      </w:pPr>
    </w:p>
    <w:p>
      <w:pPr>
        <w:ind w:left="880" w:right="80" w:firstLine="1586"/>
        <w:spacing w:after="0" w:line="273" w:lineRule="auto"/>
        <w:tabs>
          <w:tab w:leader="none" w:pos="3386"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any applicable option agreement or other stock-based award agreement, all stock options and other stock-based awards subject to vesting held by the Executive (the “Equity Awards”) shall immediately accelerate and become fully exercisable or nonforfeitable as of the later of (i) the Date of Termination or (ii) the Effective Date of the Separation Agreement and Release (the “Accelerated Vesting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termination or forfeiture of the unvested portion of such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Equity Awards shall occur during the period between the Executive’s Date of Termination and the Accelerated Vesting Date; and</w:t>
      </w:r>
    </w:p>
    <w:p>
      <w:pPr>
        <w:spacing w:after="0" w:line="160" w:lineRule="exact"/>
        <w:rPr>
          <w:rFonts w:ascii="Arial" w:cs="Arial" w:eastAsia="Arial" w:hAnsi="Arial"/>
          <w:sz w:val="19"/>
          <w:szCs w:val="19"/>
          <w:color w:val="auto"/>
        </w:rPr>
      </w:pPr>
    </w:p>
    <w:p>
      <w:pPr>
        <w:ind w:left="880" w:right="200" w:firstLine="1586"/>
        <w:spacing w:after="0" w:line="273" w:lineRule="auto"/>
        <w:tabs>
          <w:tab w:leader="none" w:pos="3446" w:val="left"/>
        </w:tabs>
        <w:numPr>
          <w:ilvl w:val="0"/>
          <w:numId w:val="32"/>
        </w:numPr>
        <w:rPr>
          <w:rFonts w:ascii="Arial" w:cs="Arial" w:eastAsia="Arial" w:hAnsi="Arial"/>
          <w:sz w:val="19"/>
          <w:szCs w:val="19"/>
          <w:color w:val="auto"/>
        </w:rPr>
      </w:pPr>
      <w:r>
        <w:rPr>
          <w:rFonts w:ascii="Arial" w:cs="Arial" w:eastAsia="Arial" w:hAnsi="Arial"/>
          <w:sz w:val="19"/>
          <w:szCs w:val="19"/>
          <w:color w:val="auto"/>
        </w:rPr>
        <w:t>subject to the Executive’s proper election to receive benefits under COBRA, the Company shall pay all amounts necessary to provide health insurance to the Executive if the Executive had remained employed by the Company until the earliest of (A) the twelve (12)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161"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The amounts payable under this Section 6(a)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34" w:lineRule="exact"/>
        <w:rPr>
          <w:sz w:val="20"/>
          <w:szCs w:val="20"/>
          <w:color w:val="auto"/>
        </w:rPr>
      </w:pPr>
    </w:p>
    <w:p>
      <w:pPr>
        <w:ind w:left="2640" w:hanging="905"/>
        <w:spacing w:after="0"/>
        <w:tabs>
          <w:tab w:leader="none" w:pos="264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firstLine="1586"/>
        <w:spacing w:after="0" w:line="277" w:lineRule="auto"/>
        <w:tabs>
          <w:tab w:leader="none" w:pos="3326"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p>
      <w:pPr>
        <w:ind w:left="880" w:right="60"/>
        <w:spacing w:after="0" w:line="274" w:lineRule="auto"/>
        <w:rPr>
          <w:sz w:val="20"/>
          <w:szCs w:val="20"/>
          <w:color w:val="auto"/>
        </w:rPr>
      </w:pPr>
      <w:r>
        <w:rPr>
          <w:rFonts w:ascii="Arial" w:cs="Arial" w:eastAsia="Arial" w:hAnsi="Arial"/>
          <w:sz w:val="19"/>
          <w:szCs w:val="19"/>
          <w:color w:val="auto"/>
        </w:rPr>
        <w:t>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58" w:lineRule="exact"/>
        <w:rPr>
          <w:sz w:val="20"/>
          <w:szCs w:val="20"/>
          <w:color w:val="auto"/>
        </w:rPr>
      </w:pPr>
    </w:p>
    <w:p>
      <w:pPr>
        <w:ind w:left="880" w:firstLine="1586"/>
        <w:spacing w:after="0" w:line="277" w:lineRule="auto"/>
        <w:tabs>
          <w:tab w:leader="none" w:pos="3386" w:val="left"/>
        </w:tabs>
        <w:numPr>
          <w:ilvl w:val="1"/>
          <w:numId w:val="34"/>
        </w:numPr>
        <w:rPr>
          <w:rFonts w:ascii="Arial" w:cs="Arial" w:eastAsia="Arial" w:hAnsi="Arial"/>
          <w:sz w:val="19"/>
          <w:szCs w:val="19"/>
          <w:color w:val="auto"/>
        </w:rPr>
      </w:pPr>
      <w:r>
        <w:rPr>
          <w:rFonts w:ascii="Arial" w:cs="Arial" w:eastAsia="Arial" w:hAnsi="Arial"/>
          <w:sz w:val="19"/>
          <w:szCs w:val="19"/>
          <w:color w:val="auto"/>
        </w:rPr>
        <w:t>For purposes of this Section 6(b),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1" w:lineRule="exact"/>
        <w:rPr>
          <w:rFonts w:ascii="Arial" w:cs="Arial" w:eastAsia="Arial" w:hAnsi="Arial"/>
          <w:sz w:val="19"/>
          <w:szCs w:val="19"/>
          <w:color w:val="auto"/>
        </w:rPr>
      </w:pPr>
    </w:p>
    <w:p>
      <w:pPr>
        <w:ind w:left="880" w:firstLine="1586"/>
        <w:spacing w:after="0" w:line="235" w:lineRule="auto"/>
        <w:tabs>
          <w:tab w:leader="none" w:pos="3446"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7" w:lineRule="exact"/>
        <w:rPr>
          <w:rFonts w:ascii="Arial" w:cs="Arial" w:eastAsia="Arial" w:hAnsi="Arial"/>
          <w:sz w:val="22"/>
          <w:szCs w:val="22"/>
          <w:color w:val="auto"/>
        </w:rPr>
      </w:pPr>
    </w:p>
    <w:p>
      <w:pPr>
        <w:ind w:left="2620" w:hanging="885"/>
        <w:spacing w:after="0"/>
        <w:tabs>
          <w:tab w:leader="none" w:pos="262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Section 6, the following terms shall have the following meanings:</w:t>
      </w:r>
    </w:p>
    <w:p>
      <w:pPr>
        <w:spacing w:after="0" w:line="241" w:lineRule="exact"/>
        <w:rPr>
          <w:sz w:val="20"/>
          <w:szCs w:val="20"/>
          <w:color w:val="auto"/>
        </w:rPr>
      </w:pPr>
    </w:p>
    <w:p>
      <w:pPr>
        <w:ind w:right="540" w:firstLine="864"/>
        <w:spacing w:after="0" w:line="250" w:lineRule="auto"/>
        <w:rPr>
          <w:sz w:val="20"/>
          <w:szCs w:val="20"/>
          <w:color w:val="auto"/>
        </w:rPr>
      </w:pPr>
      <w:r>
        <w:rPr>
          <w:rFonts w:ascii="Arial" w:cs="Arial" w:eastAsia="Arial" w:hAnsi="Arial"/>
          <w:sz w:val="22"/>
          <w:szCs w:val="22"/>
          <w:color w:val="auto"/>
        </w:rPr>
        <w:t>“Change in Control” shall have the meaning of “Sale Event” as defined in the Company’s 2021 Stock Option and Incentive Plan, as amended, or any successor plan.</w:t>
      </w:r>
    </w:p>
    <w:p>
      <w:pPr>
        <w:spacing w:after="0" w:line="175" w:lineRule="exact"/>
        <w:rPr>
          <w:sz w:val="20"/>
          <w:szCs w:val="20"/>
          <w:color w:val="auto"/>
        </w:rPr>
      </w:pPr>
    </w:p>
    <w:p>
      <w:pPr>
        <w:ind w:left="1680" w:hanging="808"/>
        <w:spacing w:after="0"/>
        <w:tabs>
          <w:tab w:leader="none" w:pos="16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1735"/>
        <w:spacing w:after="0" w:line="234" w:lineRule="auto"/>
        <w:tabs>
          <w:tab w:leader="none" w:pos="2615" w:val="left"/>
        </w:tabs>
        <w:numPr>
          <w:ilvl w:val="1"/>
          <w:numId w:val="36"/>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1" w:name="page52"/>
    <w:bookmarkEnd w:id="51"/>
    <w:p>
      <w:pPr>
        <w:spacing w:after="0"/>
        <w:rPr>
          <w:sz w:val="20"/>
          <w:szCs w:val="20"/>
          <w:color w:val="auto"/>
        </w:rPr>
      </w:pPr>
      <w:r>
        <w:rPr>
          <w:rFonts w:ascii="Arial" w:cs="Arial" w:eastAsia="Arial" w:hAnsi="Arial"/>
          <w:sz w:val="19"/>
          <w:szCs w:val="19"/>
          <w:color w:val="auto"/>
        </w:rPr>
        <w:t>not be provided until the date that is the earlier of (A) six months and one day after the Executive’s separation from service, or</w:t>
      </w:r>
    </w:p>
    <w:p>
      <w:pPr>
        <w:spacing w:after="0" w:line="43" w:lineRule="exact"/>
        <w:rPr>
          <w:sz w:val="20"/>
          <w:szCs w:val="20"/>
          <w:color w:val="auto"/>
        </w:rPr>
      </w:pPr>
    </w:p>
    <w:p>
      <w:pPr>
        <w:ind w:right="20" w:firstLine="8"/>
        <w:spacing w:after="0" w:line="287" w:lineRule="auto"/>
        <w:tabs>
          <w:tab w:leader="none" w:pos="342"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his original schedule.</w:t>
      </w:r>
    </w:p>
    <w:p>
      <w:pPr>
        <w:spacing w:after="0" w:line="143" w:lineRule="exact"/>
        <w:rPr>
          <w:rFonts w:ascii="Arial" w:cs="Arial" w:eastAsia="Arial" w:hAnsi="Arial"/>
          <w:sz w:val="19"/>
          <w:szCs w:val="19"/>
          <w:color w:val="auto"/>
        </w:rPr>
      </w:pPr>
    </w:p>
    <w:p>
      <w:pPr>
        <w:ind w:right="80" w:firstLine="1735"/>
        <w:spacing w:after="0" w:line="277" w:lineRule="auto"/>
        <w:tabs>
          <w:tab w:leader="none" w:pos="2627" w:val="left"/>
        </w:tabs>
        <w:numPr>
          <w:ilvl w:val="2"/>
          <w:numId w:val="37"/>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1" w:lineRule="exact"/>
        <w:rPr>
          <w:rFonts w:ascii="Arial" w:cs="Arial" w:eastAsia="Arial" w:hAnsi="Arial"/>
          <w:sz w:val="19"/>
          <w:szCs w:val="19"/>
          <w:color w:val="auto"/>
        </w:rPr>
      </w:pPr>
    </w:p>
    <w:p>
      <w:pPr>
        <w:ind w:right="120" w:firstLine="1735"/>
        <w:spacing w:after="0" w:line="249" w:lineRule="auto"/>
        <w:tabs>
          <w:tab w:leader="none" w:pos="2615" w:val="left"/>
        </w:tabs>
        <w:numPr>
          <w:ilvl w:val="2"/>
          <w:numId w:val="37"/>
        </w:numPr>
        <w:rPr>
          <w:rFonts w:ascii="Arial" w:cs="Arial" w:eastAsia="Arial" w:hAnsi="Arial"/>
          <w:sz w:val="21"/>
          <w:szCs w:val="21"/>
          <w:color w:val="auto"/>
        </w:rPr>
      </w:pPr>
      <w:r>
        <w:rPr>
          <w:rFonts w:ascii="Arial" w:cs="Arial" w:eastAsia="Arial" w:hAnsi="Arial"/>
          <w:sz w:val="21"/>
          <w:szCs w:val="21"/>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8" w:lineRule="exact"/>
        <w:rPr>
          <w:rFonts w:ascii="Arial" w:cs="Arial" w:eastAsia="Arial" w:hAnsi="Arial"/>
          <w:sz w:val="21"/>
          <w:szCs w:val="21"/>
          <w:color w:val="auto"/>
        </w:rPr>
      </w:pPr>
    </w:p>
    <w:p>
      <w:pPr>
        <w:ind w:right="140" w:firstLine="1735"/>
        <w:spacing w:after="0" w:line="271" w:lineRule="auto"/>
        <w:tabs>
          <w:tab w:leader="none" w:pos="2627" w:val="left"/>
        </w:tabs>
        <w:numPr>
          <w:ilvl w:val="2"/>
          <w:numId w:val="37"/>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w:t>
      </w:r>
    </w:p>
    <w:p>
      <w:pPr>
        <w:spacing w:after="0" w:line="3" w:lineRule="exact"/>
        <w:rPr>
          <w:rFonts w:ascii="Arial" w:cs="Arial" w:eastAsia="Arial" w:hAnsi="Arial"/>
          <w:sz w:val="19"/>
          <w:szCs w:val="19"/>
          <w:color w:val="auto"/>
        </w:rPr>
      </w:pPr>
    </w:p>
    <w:p>
      <w:pPr>
        <w:jc w:val="both"/>
        <w:ind w:right="120"/>
        <w:spacing w:after="0" w:line="234" w:lineRule="auto"/>
        <w:rPr>
          <w:rFonts w:ascii="Arial" w:cs="Arial" w:eastAsia="Arial" w:hAnsi="Arial"/>
          <w:sz w:val="19"/>
          <w:szCs w:val="19"/>
          <w:color w:val="auto"/>
        </w:rPr>
      </w:pPr>
      <w:r>
        <w:rPr>
          <w:rFonts w:ascii="Arial" w:cs="Arial" w:eastAsia="Arial" w:hAnsi="Arial"/>
          <w:sz w:val="22"/>
          <w:szCs w:val="22"/>
          <w:color w:val="auto"/>
        </w:rPr>
        <w:t>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rFonts w:ascii="Arial" w:cs="Arial" w:eastAsia="Arial" w:hAnsi="Arial"/>
          <w:sz w:val="19"/>
          <w:szCs w:val="19"/>
          <w:color w:val="auto"/>
        </w:rPr>
      </w:pPr>
    </w:p>
    <w:p>
      <w:pPr>
        <w:ind w:firstLine="1735"/>
        <w:spacing w:after="0" w:line="257" w:lineRule="auto"/>
        <w:tabs>
          <w:tab w:leader="none" w:pos="2615" w:val="left"/>
        </w:tabs>
        <w:numPr>
          <w:ilvl w:val="2"/>
          <w:numId w:val="37"/>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9" w:lineRule="exact"/>
        <w:rPr>
          <w:rFonts w:ascii="Arial" w:cs="Arial" w:eastAsia="Arial" w:hAnsi="Arial"/>
          <w:sz w:val="21"/>
          <w:szCs w:val="21"/>
          <w:color w:val="auto"/>
        </w:rPr>
      </w:pPr>
    </w:p>
    <w:p>
      <w:pPr>
        <w:ind w:left="1680" w:hanging="808"/>
        <w:spacing w:after="0"/>
        <w:tabs>
          <w:tab w:leader="none" w:pos="168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Assignment, Nonsolicitation and Noncompetition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20" w:firstLine="1735"/>
        <w:spacing w:after="0" w:line="238" w:lineRule="auto"/>
        <w:tabs>
          <w:tab w:leader="none" w:pos="2615" w:val="left"/>
        </w:tabs>
        <w:numPr>
          <w:ilvl w:val="2"/>
          <w:numId w:val="38"/>
        </w:numPr>
        <w:rPr>
          <w:rFonts w:ascii="Arial" w:cs="Arial" w:eastAsia="Arial" w:hAnsi="Arial"/>
          <w:sz w:val="22"/>
          <w:szCs w:val="22"/>
          <w:color w:val="auto"/>
        </w:rPr>
      </w:pPr>
      <w:r>
        <w:rPr>
          <w:rFonts w:ascii="Arial" w:cs="Arial" w:eastAsia="Arial" w:hAnsi="Arial"/>
          <w:sz w:val="22"/>
          <w:szCs w:val="22"/>
          <w:u w:val="single" w:color="auto"/>
          <w:color w:val="auto"/>
        </w:rPr>
        <w:t>Proprietary Information</w:t>
      </w:r>
      <w:r>
        <w:rPr>
          <w:rFonts w:ascii="Arial" w:cs="Arial" w:eastAsia="Arial" w:hAnsi="Arial"/>
          <w:sz w:val="22"/>
          <w:szCs w:val="22"/>
          <w:color w:val="auto"/>
        </w:rPr>
        <w:t>. Executive agrees that all information, whether or not in writing, concerning the Company’s business, technology, business relationships or financial affairs that the Company has not released to the general public (collectively, “</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and all tangible embodiments thereof are and will be the exclusive property of the Company. By way of illustration, Proprietary Information may include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52" w:name="page53"/>
    <w:bookmarkEnd w:id="52"/>
    <w:p>
      <w:pPr>
        <w:spacing w:after="0" w:line="273" w:lineRule="auto"/>
        <w:rPr>
          <w:sz w:val="20"/>
          <w:szCs w:val="20"/>
          <w:color w:val="auto"/>
        </w:rPr>
      </w:pPr>
      <w:r>
        <w:rPr>
          <w:rFonts w:ascii="Arial" w:cs="Arial" w:eastAsia="Arial" w:hAnsi="Arial"/>
          <w:sz w:val="19"/>
          <w:szCs w:val="19"/>
          <w:color w:val="auto"/>
        </w:rPr>
        <w:t xml:space="preserve">information or material that has not been made generally available to the public, such as: (a) </w:t>
      </w:r>
      <w:r>
        <w:rPr>
          <w:rFonts w:ascii="Arial" w:cs="Arial" w:eastAsia="Arial" w:hAnsi="Arial"/>
          <w:sz w:val="19"/>
          <w:szCs w:val="19"/>
          <w:i w:val="1"/>
          <w:iCs w:val="1"/>
          <w:color w:val="auto"/>
        </w:rPr>
        <w:t>corporate information</w:t>
      </w:r>
      <w:r>
        <w:rPr>
          <w:rFonts w:ascii="Arial" w:cs="Arial" w:eastAsia="Arial" w:hAnsi="Arial"/>
          <w:sz w:val="19"/>
          <w:szCs w:val="19"/>
          <w:color w:val="auto"/>
        </w:rPr>
        <w:t xml:space="preserve">, including plans, strategies, methods, policies, resolutions, negotiations or litigation; (b) </w:t>
      </w:r>
      <w:r>
        <w:rPr>
          <w:rFonts w:ascii="Arial" w:cs="Arial" w:eastAsia="Arial" w:hAnsi="Arial"/>
          <w:sz w:val="19"/>
          <w:szCs w:val="19"/>
          <w:i w:val="1"/>
          <w:iCs w:val="1"/>
          <w:color w:val="auto"/>
        </w:rPr>
        <w:t>marketing information</w:t>
      </w:r>
      <w:r>
        <w:rPr>
          <w:rFonts w:ascii="Arial" w:cs="Arial" w:eastAsia="Arial" w:hAnsi="Arial"/>
          <w:sz w:val="19"/>
          <w:szCs w:val="19"/>
          <w:color w:val="auto"/>
        </w:rPr>
        <w:t xml:space="preserve">, including strategies, methods, client or business partner identities or other information about customers or clients, business partners, prospect identities or other information about prospects, or market analyses or projections; (c) </w:t>
      </w:r>
      <w:r>
        <w:rPr>
          <w:rFonts w:ascii="Arial" w:cs="Arial" w:eastAsia="Arial" w:hAnsi="Arial"/>
          <w:sz w:val="19"/>
          <w:szCs w:val="19"/>
          <w:i w:val="1"/>
          <w:iCs w:val="1"/>
          <w:color w:val="auto"/>
        </w:rPr>
        <w:t>financial information</w:t>
      </w:r>
      <w:r>
        <w:rPr>
          <w:rFonts w:ascii="Arial" w:cs="Arial" w:eastAsia="Arial" w:hAnsi="Arial"/>
          <w:sz w:val="19"/>
          <w:szCs w:val="19"/>
          <w:color w:val="auto"/>
        </w:rPr>
        <w:t xml:space="preserve">, including cost and performance data, debt arrangements, equity structure, investors and holdings, purchasing and sales data and price lists; (d) </w:t>
      </w:r>
      <w:r>
        <w:rPr>
          <w:rFonts w:ascii="Arial" w:cs="Arial" w:eastAsia="Arial" w:hAnsi="Arial"/>
          <w:sz w:val="19"/>
          <w:szCs w:val="19"/>
          <w:i w:val="1"/>
          <w:iCs w:val="1"/>
          <w:color w:val="auto"/>
        </w:rPr>
        <w:t>operational and scientific information</w:t>
      </w:r>
      <w:r>
        <w:rPr>
          <w:rFonts w:ascii="Arial" w:cs="Arial" w:eastAsia="Arial" w:hAnsi="Arial"/>
          <w:sz w:val="19"/>
          <w:szCs w:val="19"/>
          <w:color w:val="auto"/>
        </w:rPr>
        <w:t>, including plans, specifications, manuals, forms, templates, software, pre-clinical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clinical testing data and strategies, research and development strategies, designs, methods, procedures, formulae, data, reports, discoveries, inventions, improvements, concepts, ideas, and other Developments (as defined below), know-how and trade secrets; and (e) </w:t>
      </w:r>
      <w:r>
        <w:rPr>
          <w:rFonts w:ascii="Arial" w:cs="Arial" w:eastAsia="Arial" w:hAnsi="Arial"/>
          <w:sz w:val="19"/>
          <w:szCs w:val="19"/>
          <w:i w:val="1"/>
          <w:iCs w:val="1"/>
          <w:color w:val="auto"/>
        </w:rPr>
        <w:t>personnel information</w:t>
      </w:r>
      <w:r>
        <w:rPr>
          <w:rFonts w:ascii="Arial" w:cs="Arial" w:eastAsia="Arial" w:hAnsi="Arial"/>
          <w:sz w:val="19"/>
          <w:szCs w:val="19"/>
          <w:color w:val="auto"/>
        </w:rPr>
        <w:t>, including personnel lists, reporting or organizational structure, resumes, personnel data, performance evaluations and termination arrangements or documents. Proprietary Information also includes information received in confidence by the Company from its customers, suppliers, business partners or other third parties.</w:t>
      </w:r>
    </w:p>
    <w:p>
      <w:pPr>
        <w:spacing w:after="0" w:line="155" w:lineRule="exact"/>
        <w:rPr>
          <w:sz w:val="20"/>
          <w:szCs w:val="20"/>
          <w:color w:val="auto"/>
        </w:rPr>
      </w:pPr>
    </w:p>
    <w:p>
      <w:pPr>
        <w:ind w:right="60" w:firstLine="1735"/>
        <w:spacing w:after="0" w:line="234" w:lineRule="auto"/>
        <w:tabs>
          <w:tab w:leader="none" w:pos="2627"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Recognition of Company’s Rights</w:t>
      </w:r>
      <w:r>
        <w:rPr>
          <w:rFonts w:ascii="Arial" w:cs="Arial" w:eastAsia="Arial" w:hAnsi="Arial"/>
          <w:sz w:val="22"/>
          <w:szCs w:val="22"/>
          <w:color w:val="auto"/>
        </w:rPr>
        <w:t>. Executive will not, at any time, without the Company’s prior written permission, either during or after his employment, disclose any Proprietary Information to anyone outside of the Company, or use or permit to be used any Proprietary Information for any purpose other than the performance of Executive’s duties as an employee of the Company. Executive will cooperate with the Company and use his best efforts to prevent the unauthorized disclosure of all Proprietary Information. Executive will deliver to the Company all copies and other tangible embodiments of Proprietary Information in his possession or control upon the earlier of a request by the Company or termination of Executive’s employment.</w:t>
      </w:r>
    </w:p>
    <w:p>
      <w:pPr>
        <w:spacing w:after="0" w:line="190" w:lineRule="exact"/>
        <w:rPr>
          <w:rFonts w:ascii="Arial" w:cs="Arial" w:eastAsia="Arial" w:hAnsi="Arial"/>
          <w:sz w:val="22"/>
          <w:szCs w:val="22"/>
          <w:color w:val="auto"/>
        </w:rPr>
      </w:pPr>
    </w:p>
    <w:p>
      <w:pPr>
        <w:ind w:right="80" w:firstLine="1735"/>
        <w:spacing w:after="0" w:line="277" w:lineRule="auto"/>
        <w:tabs>
          <w:tab w:leader="none" w:pos="2615"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Rights of Others</w:t>
      </w:r>
      <w:r>
        <w:rPr>
          <w:rFonts w:ascii="Arial" w:cs="Arial" w:eastAsia="Arial" w:hAnsi="Arial"/>
          <w:sz w:val="19"/>
          <w:szCs w:val="19"/>
          <w:color w:val="auto"/>
        </w:rPr>
        <w:t>. Executive understands that the Company is now and may hereafter be subject to nondisclosure or confidentiality agreements with third persons that require the Company to protect or refrain from use or disclosure of proprietary information. Executive agrees to be bound by the terms of such agreements in the event Executive has access to such proprietary information. Executive understands that the Company strictly prohibits Executive from using or disclosing confidential or proprietary information belonging to any other person or entity (including any employer or former employer), in connection with Executive’s employment. In addition, Executive agrees not to bring any confidential information belonging to any other person or entity onto Company premises or into Company workspaces.</w:t>
      </w:r>
    </w:p>
    <w:p>
      <w:pPr>
        <w:spacing w:after="0" w:line="151" w:lineRule="exact"/>
        <w:rPr>
          <w:rFonts w:ascii="Arial" w:cs="Arial" w:eastAsia="Arial" w:hAnsi="Arial"/>
          <w:sz w:val="19"/>
          <w:szCs w:val="19"/>
          <w:color w:val="auto"/>
        </w:rPr>
      </w:pPr>
    </w:p>
    <w:p>
      <w:pPr>
        <w:ind w:right="40" w:firstLine="1735"/>
        <w:spacing w:after="0" w:line="234" w:lineRule="auto"/>
        <w:tabs>
          <w:tab w:leader="none" w:pos="2627"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Commitment to Company; Avoidance of Conflict of Interest</w:t>
      </w:r>
      <w:r>
        <w:rPr>
          <w:rFonts w:ascii="Arial" w:cs="Arial" w:eastAsia="Arial" w:hAnsi="Arial"/>
          <w:sz w:val="22"/>
          <w:szCs w:val="22"/>
          <w:color w:val="auto"/>
        </w:rPr>
        <w:t>. While an employee of the Company, Executive will devote his full-time efforts to the Company’s business and Executive will not, directly or indirectly, engage in any other business activity, except as expressly authorized in writing and in advance by a duly authorized representative of the Company. Executive will advise an authorized officer of the Company or his designee at such time as any activity of either the Company or another business presents Executive with a conflict of interest or the appearance of a conflict of interest as an employee of the Company. Executive will take whatever action is requested of them by the Company to resolve any conflict or appearance of conflict which it finds to exist.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3" w:name="page54"/>
    <w:bookmarkEnd w:id="53"/>
    <w:p>
      <w:pPr>
        <w:ind w:right="60" w:firstLine="1735"/>
        <w:spacing w:after="0" w:line="269" w:lineRule="auto"/>
        <w:tabs>
          <w:tab w:leader="none" w:pos="2615"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Developments</w:t>
      </w:r>
      <w:r>
        <w:rPr>
          <w:rFonts w:ascii="Arial" w:cs="Arial" w:eastAsia="Arial" w:hAnsi="Arial"/>
          <w:sz w:val="19"/>
          <w:szCs w:val="19"/>
          <w:color w:val="auto"/>
        </w:rPr>
        <w:t>. Executive will make full and prompt disclosure to the Company of all inventions, discoveries, designs, developments, methods, modifications, improvements, processes, algorithms, data, databases, computer programs, research, formulae, techniques, trade secrets, graphics or images, and audio or visual works and other works of authorship, and other intellectual property, including works-in-process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Executive (alone or jointly with others) or under my direction during the period of his employment. Executive acknowledges that all work performed by them is on a “work for hire” basis, and Executive hereby does assign and transfer and, to the extent any such assignment cannot be made at present, will assign and transfer, to the Company and its successors and assigns all his right, title and interest in and to all Developments that</w:t>
      </w:r>
    </w:p>
    <w:p>
      <w:pPr>
        <w:spacing w:after="0" w:line="2" w:lineRule="exact"/>
        <w:rPr>
          <w:rFonts w:ascii="Arial" w:cs="Arial" w:eastAsia="Arial" w:hAnsi="Arial"/>
          <w:sz w:val="19"/>
          <w:szCs w:val="19"/>
          <w:color w:val="auto"/>
        </w:rPr>
      </w:pPr>
    </w:p>
    <w:p>
      <w:pPr>
        <w:ind w:right="40" w:firstLine="8"/>
        <w:spacing w:after="0" w:line="243" w:lineRule="auto"/>
        <w:tabs>
          <w:tab w:leader="none" w:pos="294" w:val="left"/>
        </w:tabs>
        <w:numPr>
          <w:ilvl w:val="0"/>
          <w:numId w:val="41"/>
        </w:numPr>
        <w:rPr>
          <w:rFonts w:ascii="Arial" w:cs="Arial" w:eastAsia="Arial" w:hAnsi="Arial"/>
          <w:sz w:val="21"/>
          <w:szCs w:val="21"/>
          <w:color w:val="auto"/>
        </w:rPr>
      </w:pPr>
      <w:r>
        <w:rPr>
          <w:rFonts w:ascii="Arial" w:cs="Arial" w:eastAsia="Arial" w:hAnsi="Arial"/>
          <w:sz w:val="21"/>
          <w:szCs w:val="21"/>
          <w:color w:val="auto"/>
        </w:rPr>
        <w:t>relate to the business of the Company or any customer of, supplier to or business partner of the Company or any of the products or services being researched, developed, manufactured or sold by the Company or which may be used with such products or services; or (b) result from tasks assigned to them by the Company; or (c) result from the use of premises or personal property (whether tangible or intangible) owned, leased or contracted for by the Company (“</w:t>
      </w:r>
      <w:r>
        <w:rPr>
          <w:rFonts w:ascii="Arial" w:cs="Arial" w:eastAsia="Arial" w:hAnsi="Arial"/>
          <w:sz w:val="21"/>
          <w:szCs w:val="21"/>
          <w:u w:val="single" w:color="auto"/>
          <w:color w:val="auto"/>
        </w:rPr>
        <w:t>Company-Related Developments</w:t>
      </w:r>
      <w:r>
        <w:rPr>
          <w:rFonts w:ascii="Arial" w:cs="Arial" w:eastAsia="Arial" w:hAnsi="Arial"/>
          <w:sz w:val="21"/>
          <w:szCs w:val="21"/>
          <w:color w:val="auto"/>
        </w:rPr>
        <w:t xml:space="preserve">”), and all related patents, patent applications, trademarks and trademark applications, copyrights and copyright applications, </w:t>
      </w:r>
      <w:r>
        <w:rPr>
          <w:rFonts w:ascii="Arial" w:cs="Arial" w:eastAsia="Arial" w:hAnsi="Arial"/>
          <w:sz w:val="21"/>
          <w:szCs w:val="21"/>
          <w:i w:val="1"/>
          <w:iCs w:val="1"/>
          <w:color w:val="auto"/>
        </w:rPr>
        <w:t>sui</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generis </w:t>
      </w:r>
      <w:r>
        <w:rPr>
          <w:rFonts w:ascii="Arial" w:cs="Arial" w:eastAsia="Arial" w:hAnsi="Arial"/>
          <w:sz w:val="21"/>
          <w:szCs w:val="21"/>
          <w:color w:val="auto"/>
        </w:rPr>
        <w:t>database rights and other intellectual property rights in all countries and territories worldwide and under any international</w:t>
      </w:r>
      <w:r>
        <w:rPr>
          <w:rFonts w:ascii="Arial" w:cs="Arial" w:eastAsia="Arial" w:hAnsi="Arial"/>
          <w:sz w:val="21"/>
          <w:szCs w:val="21"/>
          <w:i w:val="1"/>
          <w:iCs w:val="1"/>
          <w:color w:val="auto"/>
        </w:rPr>
        <w:t xml:space="preserve"> </w:t>
      </w:r>
      <w:r>
        <w:rPr>
          <w:rFonts w:ascii="Arial" w:cs="Arial" w:eastAsia="Arial" w:hAnsi="Arial"/>
          <w:sz w:val="21"/>
          <w:szCs w:val="21"/>
          <w:color w:val="auto"/>
        </w:rPr>
        <w:t>conventions (“</w:t>
      </w:r>
      <w:r>
        <w:rPr>
          <w:rFonts w:ascii="Arial" w:cs="Arial" w:eastAsia="Arial" w:hAnsi="Arial"/>
          <w:sz w:val="21"/>
          <w:szCs w:val="21"/>
          <w:u w:val="single" w:color="auto"/>
          <w:color w:val="auto"/>
        </w:rPr>
        <w:t>Intellectual Property Rights</w:t>
      </w:r>
      <w:r>
        <w:rPr>
          <w:rFonts w:ascii="Arial" w:cs="Arial" w:eastAsia="Arial" w:hAnsi="Arial"/>
          <w:sz w:val="21"/>
          <w:szCs w:val="21"/>
          <w:color w:val="auto"/>
        </w:rPr>
        <w:t>”).</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To preclude any possible uncertainty, if there are any Developments that Executive has, alone or jointly with others, conceived, developed or reduced to practice prior to the commencement of his employment with the Company that Executive considers to be his property or the property of third parties and that Executive wishes to have excluded from the scope of this Agreement (“</w:t>
      </w:r>
      <w:r>
        <w:rPr>
          <w:rFonts w:ascii="Arial" w:cs="Arial" w:eastAsia="Arial" w:hAnsi="Arial"/>
          <w:sz w:val="19"/>
          <w:szCs w:val="19"/>
          <w:u w:val="single" w:color="auto"/>
          <w:color w:val="auto"/>
        </w:rPr>
        <w:t>Prior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Inventions</w:t>
      </w:r>
      <w:r>
        <w:rPr>
          <w:rFonts w:ascii="Arial" w:cs="Arial" w:eastAsia="Arial" w:hAnsi="Arial"/>
          <w:sz w:val="19"/>
          <w:szCs w:val="19"/>
          <w:color w:val="auto"/>
        </w:rPr>
        <w:t xml:space="preserve">”), Executive has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 complete list of those Prior Inventions. If disclosure of any such Prior Invention would cause them to violate any prior confidentiality agreement, Executive understands that Executive is not to list such Prior Inventions in Exhibit A but is only to disclose a cursory name for each such invention, a listing of the party(ies) to whom it belongs and the fact that full disclosure as to such inventions has not been made for that reason. If there are any patents or patent applications in which Executive is named as an inventor, other than those that have been assigned to the Company (“</w:t>
      </w:r>
      <w:r>
        <w:rPr>
          <w:rFonts w:ascii="Arial" w:cs="Arial" w:eastAsia="Arial" w:hAnsi="Arial"/>
          <w:sz w:val="19"/>
          <w:szCs w:val="19"/>
          <w:u w:val="single" w:color="auto"/>
          <w:color w:val="auto"/>
        </w:rPr>
        <w:t>Other Patent Rights</w:t>
      </w:r>
      <w:r>
        <w:rPr>
          <w:rFonts w:ascii="Arial" w:cs="Arial" w:eastAsia="Arial" w:hAnsi="Arial"/>
          <w:sz w:val="19"/>
          <w:szCs w:val="19"/>
          <w:color w:val="auto"/>
        </w:rPr>
        <w:t>”), Executive has also listed those Other Patent Rights on Exhibit A. If no such disclosure is attached, Executive represents that there are no Prior Inventions or Other Patent Rights. If, in the course of his employment with the Company, Executive incorporates a Prior Invention into a Company product, process or machine, research or development program, or other work done for the Company, Executive hereby grants to the Company a nonexclusive, royalty-free, fully paid-up, irrevocable, worldwide license (with the full right to sublicense through multiple tiers) to make, have made, modify, use, sell, offer for sale and import such Prior Invention.</w:t>
      </w:r>
    </w:p>
    <w:p>
      <w:pPr>
        <w:spacing w:after="0" w:line="200" w:lineRule="exact"/>
        <w:rPr>
          <w:sz w:val="20"/>
          <w:szCs w:val="20"/>
          <w:color w:val="auto"/>
        </w:rPr>
      </w:pPr>
    </w:p>
    <w:p>
      <w:pPr>
        <w:spacing w:after="0" w:line="211"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Notwithstanding the foregoing, Executive will not incorporate, or permit to be incorporated, Prior Inventions in any Company-Related Development without the Company’s prior written consent.</w:t>
      </w:r>
    </w:p>
    <w:p>
      <w:pPr>
        <w:spacing w:after="0" w:line="175" w:lineRule="exact"/>
        <w:rPr>
          <w:sz w:val="20"/>
          <w:szCs w:val="20"/>
          <w:color w:val="auto"/>
        </w:rPr>
      </w:pPr>
    </w:p>
    <w:p>
      <w:pPr>
        <w:ind w:right="540"/>
        <w:spacing w:after="0"/>
        <w:rPr>
          <w:sz w:val="20"/>
          <w:szCs w:val="20"/>
          <w:color w:val="auto"/>
        </w:rPr>
      </w:pPr>
      <w:r>
        <w:rPr>
          <w:rFonts w:ascii="Arial" w:cs="Arial" w:eastAsia="Arial" w:hAnsi="Arial"/>
          <w:sz w:val="22"/>
          <w:szCs w:val="22"/>
          <w:color w:val="auto"/>
        </w:rPr>
        <w:t>This Agreement does not obligate Executive to assign to the Company any Development that, in the sole judgment of the Company, reasonably exercised, is developed entirely on Executive’s own time and does not relate to the business efforts or research and development efforts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4" w:name="page55"/>
    <w:bookmarkEnd w:id="54"/>
    <w:p>
      <w:pPr>
        <w:spacing w:after="0" w:line="234" w:lineRule="auto"/>
        <w:rPr>
          <w:sz w:val="20"/>
          <w:szCs w:val="20"/>
          <w:color w:val="auto"/>
        </w:rPr>
      </w:pPr>
      <w:r>
        <w:rPr>
          <w:rFonts w:ascii="Arial" w:cs="Arial" w:eastAsia="Arial" w:hAnsi="Arial"/>
          <w:sz w:val="22"/>
          <w:szCs w:val="22"/>
          <w:color w:val="auto"/>
        </w:rPr>
        <w:t>which, during the period of his employment, the Company actually is engaged or reasonably would be engaged, and does not result from the use of premises or equipment owned or leased by the Company. However, Executive will also promptly disclose to the Company any such Developments for the purpose of determining whether they qualify for such exclusion. Executive understands that to the extent this Agreement is required to be construed in accordance with the laws of any state which precludes a requirement in an employee agreement to assign certain classes of inventions made by an employee, this Section 8(e) will be interpreted not to apply to any invention that a court rules and/or the Company agrees falls within such classes. Executive also hereby waives all claims to any moral rights or other special rights that Executive may have or accrue in any Company-Related Developments.</w:t>
      </w:r>
    </w:p>
    <w:p>
      <w:pPr>
        <w:spacing w:after="0" w:line="187" w:lineRule="exact"/>
        <w:rPr>
          <w:sz w:val="20"/>
          <w:szCs w:val="20"/>
          <w:color w:val="auto"/>
        </w:rPr>
      </w:pPr>
    </w:p>
    <w:p>
      <w:pPr>
        <w:ind w:right="40" w:firstLine="1735"/>
        <w:spacing w:after="0"/>
        <w:tabs>
          <w:tab w:leader="none" w:pos="2591"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Documents and Other Materials</w:t>
      </w:r>
      <w:r>
        <w:rPr>
          <w:rFonts w:ascii="Arial" w:cs="Arial" w:eastAsia="Arial" w:hAnsi="Arial"/>
          <w:sz w:val="22"/>
          <w:szCs w:val="22"/>
          <w:color w:val="auto"/>
        </w:rPr>
        <w:t>. Executive will keep and maintain adequate and current records of all Proprietary Information and Company-Related Developments developed by them during his employment, which records will be available to and remain the sole property of the Company at all times.</w:t>
      </w:r>
    </w:p>
    <w:p>
      <w:pPr>
        <w:spacing w:after="0" w:line="186"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All files, letters, notes, memoranda, reports, records, data, sketches, drawings, notebooks, layouts, charts, quotations and proposals, specification sheets, blueprints, models, prototypes, or other written, photographic or other tangible material containing Proprietary Information, whether created by them or others, which come into his custody or possession, are the exclusive property of the Company to be used by them only in the performance of his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his employment for any reason, Executive will deliver to the Company all Company property and equipment in his possession, custody or control, including all files, letters,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 Information of the Company and to my work, and will not take or keep in his possession any of the foregoing or any copies.</w:t>
      </w:r>
    </w:p>
    <w:p>
      <w:pPr>
        <w:spacing w:after="0" w:line="186" w:lineRule="exact"/>
        <w:rPr>
          <w:sz w:val="20"/>
          <w:szCs w:val="20"/>
          <w:color w:val="auto"/>
        </w:rPr>
      </w:pPr>
    </w:p>
    <w:p>
      <w:pPr>
        <w:ind w:firstLine="1735"/>
        <w:spacing w:after="0" w:line="245" w:lineRule="auto"/>
        <w:tabs>
          <w:tab w:leader="none" w:pos="2627"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Enforcement of Intellectual Property Rights</w:t>
      </w:r>
      <w:r>
        <w:rPr>
          <w:rFonts w:ascii="Arial" w:cs="Arial" w:eastAsia="Arial" w:hAnsi="Arial"/>
          <w:sz w:val="21"/>
          <w:szCs w:val="21"/>
          <w:color w:val="auto"/>
        </w:rPr>
        <w:t>. Executive will cooperate fully with the Company, both during and after his employment with the Company, with respect to the procurement, maintenance and enforcement of Intellectual Property Rights in Company- Related Developments. Executive will sign, both during and after his employment,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or Intellectual Property Rights therein. If the Company is unable, after reasonable effort, to secure his signature on any such papers,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Company-Related Development, including any Intellectual Property Rights therein.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ind w:right="40" w:firstLine="1735"/>
        <w:spacing w:after="0" w:line="287" w:lineRule="auto"/>
        <w:tabs>
          <w:tab w:leader="none" w:pos="2627"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Nonsolicitation and Noncompetition</w:t>
      </w:r>
      <w:r>
        <w:rPr>
          <w:rFonts w:ascii="Arial" w:cs="Arial" w:eastAsia="Arial" w:hAnsi="Arial"/>
          <w:sz w:val="19"/>
          <w:szCs w:val="19"/>
          <w:color w:val="auto"/>
        </w:rPr>
        <w:t>. In order to protect the Company’s Proprietary Information and goodwill, during his employment and for a period of: (i) one (1) year following the Date of Termination, or (ii) two (2) years following the Date of Termination if Executive breaches his fiduciary duty to the Company or if Executive has unlawfully taken, physically or electronically, property belonging to the Company (in either case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880" w:right="20" w:firstLine="1586"/>
        <w:spacing w:after="0" w:line="271" w:lineRule="auto"/>
        <w:tabs>
          <w:tab w:leader="none" w:pos="3326" w:val="left"/>
        </w:tabs>
        <w:numPr>
          <w:ilvl w:val="2"/>
          <w:numId w:val="44"/>
        </w:numPr>
        <w:rPr>
          <w:rFonts w:ascii="Arial" w:cs="Arial" w:eastAsia="Arial" w:hAnsi="Arial"/>
          <w:sz w:val="19"/>
          <w:szCs w:val="19"/>
          <w:color w:val="auto"/>
        </w:rPr>
      </w:pPr>
      <w:r>
        <w:rPr>
          <w:rFonts w:ascii="Arial" w:cs="Arial" w:eastAsia="Arial" w:hAnsi="Arial"/>
          <w:sz w:val="19"/>
          <w:szCs w:val="19"/>
          <w:color w:val="auto"/>
        </w:rPr>
        <w:t>Executive shall not, directly or indirectly, in any manner, other than for the benefit of the Company, solicit or transact any business with any of the customers or customer prospects of the Company or any of its suppliers. For purposes of this Agreement, (x) business shall include any business that researches, develops, manufactures, markets, sells or distributes a product or service that competes with a product or service of the Company,</w:t>
      </w:r>
    </w:p>
    <w:p>
      <w:pPr>
        <w:spacing w:after="0" w:line="3" w:lineRule="exact"/>
        <w:rPr>
          <w:rFonts w:ascii="Arial" w:cs="Arial" w:eastAsia="Arial" w:hAnsi="Arial"/>
          <w:sz w:val="19"/>
          <w:szCs w:val="19"/>
          <w:color w:val="auto"/>
        </w:rPr>
      </w:pPr>
    </w:p>
    <w:p>
      <w:pPr>
        <w:ind w:left="880" w:right="120" w:hanging="8"/>
        <w:spacing w:after="0" w:line="277" w:lineRule="auto"/>
        <w:tabs>
          <w:tab w:leader="none" w:pos="1186" w:val="left"/>
        </w:tabs>
        <w:numPr>
          <w:ilvl w:val="0"/>
          <w:numId w:val="45"/>
        </w:numPr>
        <w:rPr>
          <w:rFonts w:ascii="Arial" w:cs="Arial" w:eastAsia="Arial" w:hAnsi="Arial"/>
          <w:sz w:val="19"/>
          <w:szCs w:val="19"/>
          <w:color w:val="auto"/>
        </w:rPr>
      </w:pPr>
      <w:r>
        <w:rPr>
          <w:rFonts w:ascii="Arial" w:cs="Arial" w:eastAsia="Arial" w:hAnsi="Arial"/>
          <w:sz w:val="19"/>
          <w:szCs w:val="19"/>
          <w:color w:val="auto"/>
        </w:rPr>
        <w:t>customers shall include then current customers to which the Company provided products or services during the 12 months prior to the Date of Termination (the “</w:t>
      </w:r>
      <w:r>
        <w:rPr>
          <w:rFonts w:ascii="Arial" w:cs="Arial" w:eastAsia="Arial" w:hAnsi="Arial"/>
          <w:sz w:val="19"/>
          <w:szCs w:val="19"/>
          <w:u w:val="single" w:color="auto"/>
          <w:color w:val="auto"/>
        </w:rPr>
        <w:t>One Year Lookback</w:t>
      </w:r>
      <w:r>
        <w:rPr>
          <w:rFonts w:ascii="Arial" w:cs="Arial" w:eastAsia="Arial" w:hAnsi="Arial"/>
          <w:sz w:val="19"/>
          <w:szCs w:val="19"/>
          <w:color w:val="auto"/>
        </w:rPr>
        <w:t>”) and customer prospects shall include customer prospects that the Company solicited during the One Year Lookback and that Executive had significant contact with or learned confidential information about in the course of his employment, and (z) suppliers shall include then current suppliers and suppliers that provided services to or in connection with the Company during the One Year Lookback.</w:t>
      </w:r>
    </w:p>
    <w:p>
      <w:pPr>
        <w:spacing w:after="0" w:line="152" w:lineRule="exact"/>
        <w:rPr>
          <w:rFonts w:ascii="Arial" w:cs="Arial" w:eastAsia="Arial" w:hAnsi="Arial"/>
          <w:sz w:val="19"/>
          <w:szCs w:val="19"/>
          <w:color w:val="auto"/>
        </w:rPr>
      </w:pPr>
    </w:p>
    <w:p>
      <w:pPr>
        <w:ind w:left="880" w:right="180" w:firstLine="1586"/>
        <w:spacing w:after="0" w:line="238" w:lineRule="auto"/>
        <w:tabs>
          <w:tab w:leader="none" w:pos="3386" w:val="left"/>
        </w:tabs>
        <w:numPr>
          <w:ilvl w:val="2"/>
          <w:numId w:val="45"/>
        </w:numPr>
        <w:rPr>
          <w:rFonts w:ascii="Arial" w:cs="Arial" w:eastAsia="Arial" w:hAnsi="Arial"/>
          <w:sz w:val="22"/>
          <w:szCs w:val="22"/>
          <w:color w:val="auto"/>
        </w:rPr>
      </w:pPr>
      <w:r>
        <w:rPr>
          <w:rFonts w:ascii="Arial" w:cs="Arial" w:eastAsia="Arial" w:hAnsi="Arial"/>
          <w:sz w:val="22"/>
          <w:szCs w:val="22"/>
          <w:color w:val="auto"/>
        </w:rPr>
        <w:t>Executive shall not, directly or indirectly, in any manner, solicit, entice or attempt to persuade any employee or consultant of the Company to leave the Company for any reason or otherwise participate in or facilitate the hire, directly or through another entity, of any person who is then employed or engaged by the Company.</w:t>
      </w:r>
    </w:p>
    <w:p>
      <w:pPr>
        <w:spacing w:after="0" w:line="185" w:lineRule="exact"/>
        <w:rPr>
          <w:sz w:val="20"/>
          <w:szCs w:val="20"/>
          <w:color w:val="auto"/>
        </w:rPr>
      </w:pPr>
    </w:p>
    <w:p>
      <w:pPr>
        <w:ind w:right="100" w:firstLine="872"/>
        <w:spacing w:after="0" w:line="273" w:lineRule="auto"/>
        <w:tabs>
          <w:tab w:leader="none" w:pos="167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w:t>
      </w:r>
    </w:p>
    <w:p>
      <w:pPr>
        <w:spacing w:after="0" w:line="160" w:lineRule="exact"/>
        <w:rPr>
          <w:rFonts w:ascii="Arial" w:cs="Arial" w:eastAsia="Arial" w:hAnsi="Arial"/>
          <w:sz w:val="19"/>
          <w:szCs w:val="19"/>
          <w:color w:val="auto"/>
        </w:rPr>
      </w:pPr>
    </w:p>
    <w:p>
      <w:pPr>
        <w:ind w:right="100" w:firstLine="872"/>
        <w:spacing w:after="0" w:line="273" w:lineRule="auto"/>
        <w:tabs>
          <w:tab w:leader="none" w:pos="178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Government Contracts</w:t>
      </w:r>
      <w:r>
        <w:rPr>
          <w:rFonts w:ascii="Arial" w:cs="Arial" w:eastAsia="Arial" w:hAnsi="Arial"/>
          <w:sz w:val="19"/>
          <w:szCs w:val="19"/>
          <w:color w:val="auto"/>
        </w:rPr>
        <w:t>. Executive acknowledges that the Company may have from time to time agreements with other persons or with the United States Government or its agencies that impose obligations or restrictions on the Company regarding inventions made during the course of work under such agreements or regarding the confidential nature of such</w:t>
      </w:r>
    </w:p>
    <w:p>
      <w:pPr>
        <w:spacing w:after="0" w:line="1"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color w:val="auto"/>
        </w:rPr>
        <w:t xml:space="preserve">work. Executive agrees to comply with any such obligations or restrictions upon the direction of the Company. In addition to the rights assigned under Section 8(e), </w:t>
      </w:r>
      <w:r>
        <w:rPr>
          <w:rFonts w:ascii="Arial" w:cs="Arial" w:eastAsia="Arial" w:hAnsi="Arial"/>
          <w:sz w:val="22"/>
          <w:szCs w:val="22"/>
          <w:u w:val="single" w:color="auto"/>
          <w:color w:val="0000EE"/>
        </w:rPr>
        <w:t>Executive also assigns to the Company (or any of its nominees) all rights that Executive has or</w:t>
      </w:r>
      <w:r>
        <w:rPr>
          <w:rFonts w:ascii="Arial" w:cs="Arial" w:eastAsia="Arial" w:hAnsi="Arial"/>
          <w:sz w:val="22"/>
          <w:szCs w:val="22"/>
          <w:color w:val="auto"/>
        </w:rPr>
        <w:t xml:space="preserve"> </w:t>
      </w:r>
      <w:r>
        <w:rPr>
          <w:rFonts w:ascii="Arial" w:cs="Arial" w:eastAsia="Arial" w:hAnsi="Arial"/>
          <w:sz w:val="22"/>
          <w:szCs w:val="22"/>
          <w:u w:val="single" w:color="auto"/>
          <w:color w:val="0000EE"/>
        </w:rPr>
        <w:t>acquired in any Developments,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EE"/>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6" w:name="page57"/>
    <w:bookmarkEnd w:id="56"/>
    <w:p>
      <w:pPr>
        <w:ind w:right="120"/>
        <w:spacing w:after="0" w:line="250" w:lineRule="auto"/>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342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4290" cy="8255"/>
                    </a:xfrm>
                    <a:prstGeom prst="rect">
                      <a:avLst/>
                    </a:prstGeom>
                    <a:noFill/>
                  </pic:spPr>
                </pic:pic>
              </a:graphicData>
            </a:graphic>
          </wp:anchor>
        </w:drawing>
        <w:t>full title to which is required to be in the United States under any contract between the Company and the United States or any of its agencies.</w:t>
      </w:r>
    </w:p>
    <w:p>
      <w:pPr>
        <w:spacing w:after="0" w:line="175" w:lineRule="exact"/>
        <w:rPr>
          <w:sz w:val="20"/>
          <w:szCs w:val="20"/>
          <w:color w:val="auto"/>
        </w:rPr>
      </w:pPr>
    </w:p>
    <w:p>
      <w:pPr>
        <w:ind w:right="20" w:firstLine="872"/>
        <w:spacing w:after="0" w:line="275" w:lineRule="auto"/>
        <w:tabs>
          <w:tab w:leader="none" w:pos="1774" w:val="left"/>
        </w:tabs>
        <w:numPr>
          <w:ilvl w:val="0"/>
          <w:numId w:val="47"/>
        </w:numPr>
        <w:rPr>
          <w:rFonts w:ascii="Arial" w:cs="Arial" w:eastAsia="Arial" w:hAnsi="Arial"/>
          <w:sz w:val="19"/>
          <w:szCs w:val="19"/>
          <w:u w:val="single" w:color="auto"/>
          <w:color w:val="0000EE"/>
        </w:rPr>
      </w:pPr>
      <w:r>
        <w:rPr>
          <w:rFonts w:ascii="Arial" w:cs="Arial" w:eastAsia="Arial" w:hAnsi="Arial"/>
          <w:sz w:val="19"/>
          <w:szCs w:val="19"/>
          <w:u w:val="single" w:color="auto"/>
          <w:color w:val="auto"/>
        </w:rPr>
        <w:t>Prior Agreements. Executive hereby represents that, except as Executive has fully disclosed previously in writing to the Company, Executive is not bound by the terms of any agreement with any previous or current employer or other party to refrain from using or disclosing any trade secret or confidential or proprietary information in the course of his employment with the Company or to refrain from competing, directly or indirectly, with the business of such employer or any other party. Executive further represents that his performance of all the terms of this Agreement as an employee of the Company does not and will not breach any agreement to keep in confidence proprietary information, knowledge or data acquired by them in confidence or in trust prior to Executive’s employment with the Company. Executive will not disclose to the Company or induce the Company to use any confidential or proprietary information or material belonging to any previous employer or others.</w:t>
      </w:r>
    </w:p>
    <w:p>
      <w:pPr>
        <w:spacing w:after="0" w:line="157" w:lineRule="exact"/>
        <w:rPr>
          <w:rFonts w:ascii="Arial" w:cs="Arial" w:eastAsia="Arial" w:hAnsi="Arial"/>
          <w:sz w:val="19"/>
          <w:szCs w:val="19"/>
          <w:u w:val="single" w:color="auto"/>
          <w:color w:val="0000EE"/>
        </w:rPr>
      </w:pPr>
    </w:p>
    <w:p>
      <w:pPr>
        <w:ind w:firstLine="872"/>
        <w:spacing w:after="0" w:line="273" w:lineRule="auto"/>
        <w:tabs>
          <w:tab w:leader="none" w:pos="1782" w:val="left"/>
        </w:tabs>
        <w:numPr>
          <w:ilvl w:val="0"/>
          <w:numId w:val="47"/>
        </w:numPr>
        <w:rPr>
          <w:rFonts w:ascii="Arial" w:cs="Arial" w:eastAsia="Arial" w:hAnsi="Arial"/>
          <w:sz w:val="19"/>
          <w:szCs w:val="19"/>
          <w:u w:val="single" w:color="auto"/>
          <w:color w:val="0000EE"/>
        </w:rPr>
      </w:pPr>
      <w:r>
        <w:rPr>
          <w:rFonts w:ascii="Arial" w:cs="Arial" w:eastAsia="Arial" w:hAnsi="Arial"/>
          <w:sz w:val="19"/>
          <w:szCs w:val="19"/>
          <w:u w:val="single" w:color="auto"/>
          <w:color w:val="auto"/>
        </w:rPr>
        <w:t>Remedies Upon Breach. Executive understands that the restrictions contained in Sections 8 and 9 of this Agreement (collectively, the “Continuing Obligations”) are necessary for the protection of the business and goodwill of the Company and Executive considers them to be reasonable for such purpose. Any breach of the Continuing Obligations is likely to cause the Company substantial and irrevocable damage and therefore, in the event of such breach, the Company, in addition to such other remedies which may be available, will be entitled to specific performance and other injunctive relief, without the posting of a bond. Executive further acknowledges that a court may render an award extending the Restricted Period as one of the remedies in the event of his violation of the Continuing Obligations. If Executive violates the Continuing Obligations, in addition to all other remedies available to the Company at law (including, without limitation, the Company’s right to discontinue any payments Executive may receive pursuant to this Agreement), in equity, and under contract, Executive agrees that Executive is obligated to pay all the Company’s costs of enforcement of this Agreement, including reasonable attorneys’ fees and expenses.</w:t>
      </w:r>
    </w:p>
    <w:p>
      <w:pPr>
        <w:spacing w:after="0" w:line="160" w:lineRule="exact"/>
        <w:rPr>
          <w:rFonts w:ascii="Arial" w:cs="Arial" w:eastAsia="Arial" w:hAnsi="Arial"/>
          <w:sz w:val="19"/>
          <w:szCs w:val="19"/>
          <w:u w:val="single" w:color="auto"/>
          <w:color w:val="0000EE"/>
        </w:rPr>
      </w:pPr>
    </w:p>
    <w:p>
      <w:pPr>
        <w:ind w:right="40" w:firstLine="872"/>
        <w:spacing w:after="0" w:line="252" w:lineRule="auto"/>
        <w:tabs>
          <w:tab w:leader="none" w:pos="1782" w:val="left"/>
        </w:tabs>
        <w:numPr>
          <w:ilvl w:val="0"/>
          <w:numId w:val="47"/>
        </w:numPr>
        <w:rPr>
          <w:rFonts w:ascii="Arial" w:cs="Arial" w:eastAsia="Arial" w:hAnsi="Arial"/>
          <w:sz w:val="21"/>
          <w:szCs w:val="21"/>
          <w:u w:val="single" w:color="auto"/>
          <w:color w:val="0000EE"/>
        </w:rPr>
      </w:pPr>
      <w:r>
        <w:rPr>
          <w:rFonts w:ascii="Arial" w:cs="Arial" w:eastAsia="Arial" w:hAnsi="Arial"/>
          <w:sz w:val="21"/>
          <w:szCs w:val="21"/>
          <w:u w:val="single" w:color="auto"/>
          <w:color w:val="auto"/>
        </w:rPr>
        <w:t>Use of Voice, Image and Likeness. Executive gives the Company permission to use any and all of his voice, image and likeness, with or without using his name, in connection with the products and/or services of the Company, for the purposes of advertising and promoting such products and/or services and/or the Company, and/or for other purposes deemed appropriate by the Company in its reasonable discretion, except to the extent prohibited by law.</w:t>
      </w:r>
    </w:p>
    <w:p>
      <w:pPr>
        <w:spacing w:after="0" w:line="173" w:lineRule="exact"/>
        <w:rPr>
          <w:rFonts w:ascii="Arial" w:cs="Arial" w:eastAsia="Arial" w:hAnsi="Arial"/>
          <w:sz w:val="21"/>
          <w:szCs w:val="21"/>
          <w:u w:val="single" w:color="auto"/>
          <w:color w:val="0000EE"/>
        </w:rPr>
      </w:pPr>
    </w:p>
    <w:p>
      <w:pPr>
        <w:ind w:firstLine="872"/>
        <w:spacing w:after="0" w:line="287" w:lineRule="auto"/>
        <w:tabs>
          <w:tab w:leader="none" w:pos="1782" w:val="left"/>
        </w:tabs>
        <w:numPr>
          <w:ilvl w:val="0"/>
          <w:numId w:val="47"/>
        </w:numPr>
        <w:rPr>
          <w:rFonts w:ascii="Arial" w:cs="Arial" w:eastAsia="Arial" w:hAnsi="Arial"/>
          <w:sz w:val="19"/>
          <w:szCs w:val="19"/>
          <w:u w:val="single" w:color="auto"/>
          <w:color w:val="0000EE"/>
        </w:rPr>
      </w:pPr>
      <w:r>
        <w:rPr>
          <w:rFonts w:ascii="Arial" w:cs="Arial" w:eastAsia="Arial" w:hAnsi="Arial"/>
          <w:sz w:val="19"/>
          <w:szCs w:val="19"/>
          <w:u w:val="single" w:color="auto"/>
          <w:color w:val="auto"/>
        </w:rPr>
        <w:t>No Employment Obligation. Executive understands that this Agreement does not create an obligation on the Company or any other person to continue his employment. Executive acknowledges that, unless otherwise agreed in a formal written employment agreement signed on behalf of the Company by an authorized officer, his employment with the Company is at will and therefore may be terminated by the Company or Executive at any time and for any reason, with or without cause.</w:t>
      </w:r>
    </w:p>
    <w:p>
      <w:pPr>
        <w:spacing w:after="0" w:line="142" w:lineRule="exact"/>
        <w:rPr>
          <w:rFonts w:ascii="Arial" w:cs="Arial" w:eastAsia="Arial" w:hAnsi="Arial"/>
          <w:sz w:val="19"/>
          <w:szCs w:val="19"/>
          <w:u w:val="single" w:color="auto"/>
          <w:color w:val="0000EE"/>
        </w:rPr>
      </w:pPr>
    </w:p>
    <w:p>
      <w:pPr>
        <w:ind w:right="460" w:firstLine="872"/>
        <w:spacing w:after="0" w:line="238" w:lineRule="auto"/>
        <w:tabs>
          <w:tab w:leader="none" w:pos="1782" w:val="left"/>
        </w:tabs>
        <w:numPr>
          <w:ilvl w:val="0"/>
          <w:numId w:val="47"/>
        </w:numPr>
        <w:rPr>
          <w:rFonts w:ascii="Arial" w:cs="Arial" w:eastAsia="Arial" w:hAnsi="Arial"/>
          <w:sz w:val="22"/>
          <w:szCs w:val="22"/>
          <w:u w:val="single" w:color="auto"/>
          <w:color w:val="0000EE"/>
        </w:rPr>
      </w:pPr>
      <w:r>
        <w:rPr>
          <w:rFonts w:ascii="Arial" w:cs="Arial" w:eastAsia="Arial" w:hAnsi="Arial"/>
          <w:sz w:val="22"/>
          <w:szCs w:val="22"/>
          <w:u w:val="single" w:color="auto"/>
          <w:color w:val="auto"/>
        </w:rPr>
        <w:t>Survival and Assignment by the Company. Executive understands that the Continuing Obligations will continue in accordance with his express terms regardless of any changes in Executive’s title, position, duties, salary, compensation or benefits or other terms and conditions of employment. Executive further understands that the Continuing Obligations will</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0000EE"/>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57" w:name="page58"/>
    <w:bookmarkEnd w:id="57"/>
    <w:p>
      <w:pPr>
        <w:ind w:right="100"/>
        <w:spacing w:after="0" w:line="236" w:lineRule="auto"/>
        <w:rPr>
          <w:sz w:val="20"/>
          <w:szCs w:val="20"/>
          <w:color w:val="auto"/>
        </w:rPr>
      </w:pPr>
      <w:r>
        <w:rPr>
          <w:rFonts w:ascii="Arial" w:cs="Arial" w:eastAsia="Arial" w:hAnsi="Arial"/>
          <w:sz w:val="22"/>
          <w:szCs w:val="22"/>
          <w:color w:val="auto"/>
        </w:rPr>
        <w:t>continue following the termination of his employment regardless of the manner of such termination and will be binding upon his heirs, executors and administrators. The Company will have the right to assign this Agreement to its affiliates, successors and assigns. Executive expressly consents to be bound by the provisions of this Agreement for the benefit of the Company or any parent, subsidiary or affiliate to whose employ Executive may be transferred without the necessity that this Agreement be resigned at the time of such transfer.</w:t>
      </w:r>
    </w:p>
    <w:p>
      <w:pPr>
        <w:spacing w:after="0" w:line="187" w:lineRule="exact"/>
        <w:rPr>
          <w:sz w:val="20"/>
          <w:szCs w:val="20"/>
          <w:color w:val="auto"/>
        </w:rPr>
      </w:pPr>
    </w:p>
    <w:p>
      <w:pPr>
        <w:ind w:right="80" w:firstLine="872"/>
        <w:spacing w:after="0" w:line="279" w:lineRule="auto"/>
        <w:tabs>
          <w:tab w:leader="none" w:pos="178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Notice of Resignation</w:t>
      </w:r>
      <w:r>
        <w:rPr>
          <w:rFonts w:ascii="Arial" w:cs="Arial" w:eastAsia="Arial" w:hAnsi="Arial"/>
          <w:sz w:val="19"/>
          <w:szCs w:val="19"/>
          <w:color w:val="auto"/>
        </w:rPr>
        <w:t>. If Executive elects to resign from his employment with the Company, Executive agrees to provide the Company with written notification of his resignation at least thirty (30) days prior to his intended resignation date. Such notice shall include information in reasonable detail about his post-employment job duties and other business activities, including the name and address of any subsequent employer and/or person or entity with whom or which Executive intends to engage in business activities during the Restricted Period and the nature of his job duties and other business activities. The Company may elect to waive all or part of the notice period in its sole discretion.</w:t>
      </w:r>
    </w:p>
    <w:p>
      <w:pPr>
        <w:spacing w:after="0" w:line="150" w:lineRule="exact"/>
        <w:rPr>
          <w:rFonts w:ascii="Arial" w:cs="Arial" w:eastAsia="Arial" w:hAnsi="Arial"/>
          <w:sz w:val="19"/>
          <w:szCs w:val="19"/>
          <w:color w:val="auto"/>
        </w:rPr>
      </w:pPr>
    </w:p>
    <w:p>
      <w:pPr>
        <w:ind w:firstLine="872"/>
        <w:spacing w:after="0"/>
        <w:tabs>
          <w:tab w:leader="none" w:pos="178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Post-Employment Notifications</w:t>
      </w:r>
      <w:r>
        <w:rPr>
          <w:rFonts w:ascii="Arial" w:cs="Arial" w:eastAsia="Arial" w:hAnsi="Arial"/>
          <w:sz w:val="22"/>
          <w:szCs w:val="22"/>
          <w:color w:val="auto"/>
        </w:rPr>
        <w:t>. During the Restricted Period, Executive will notify the Company of any change in his address and of each subsequent employment or business activity, including the name and address of his employer or other post-Company employment plans and the nature of his activities.</w:t>
      </w:r>
    </w:p>
    <w:p>
      <w:pPr>
        <w:spacing w:after="0" w:line="186" w:lineRule="exact"/>
        <w:rPr>
          <w:rFonts w:ascii="Arial" w:cs="Arial" w:eastAsia="Arial" w:hAnsi="Arial"/>
          <w:sz w:val="22"/>
          <w:szCs w:val="22"/>
          <w:color w:val="auto"/>
        </w:rPr>
      </w:pPr>
    </w:p>
    <w:p>
      <w:pPr>
        <w:ind w:right="140" w:firstLine="872"/>
        <w:spacing w:after="0" w:line="238" w:lineRule="auto"/>
        <w:tabs>
          <w:tab w:leader="none" w:pos="178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Disclosures During Restricted Period</w:t>
      </w:r>
      <w:r>
        <w:rPr>
          <w:rFonts w:ascii="Arial" w:cs="Arial" w:eastAsia="Arial" w:hAnsi="Arial"/>
          <w:sz w:val="22"/>
          <w:szCs w:val="22"/>
          <w:color w:val="auto"/>
        </w:rPr>
        <w:t>. Executive will provide a copy of this Agreement with all compensation terms redacted to any person or entity with whom Executive may enter into a business relationship, whether as an employee, consultant, partner, coventurer or otherwise, prior to entering into such business relationship during the Restricted Period only.</w:t>
      </w:r>
    </w:p>
    <w:p>
      <w:pPr>
        <w:spacing w:after="0" w:line="184" w:lineRule="exact"/>
        <w:rPr>
          <w:rFonts w:ascii="Arial" w:cs="Arial" w:eastAsia="Arial" w:hAnsi="Arial"/>
          <w:sz w:val="22"/>
          <w:szCs w:val="22"/>
          <w:color w:val="auto"/>
        </w:rPr>
      </w:pPr>
    </w:p>
    <w:p>
      <w:pPr>
        <w:ind w:right="40" w:firstLine="872"/>
        <w:spacing w:after="0" w:line="279" w:lineRule="auto"/>
        <w:tabs>
          <w:tab w:leader="none" w:pos="178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Company and Executive acknowledge and agree that the Company’s election not to provide Executive with Garden Leave Pay as set forth in Section 8(h)(iii) shall be deemed a waiver of Executive’s noncompetition obligations under Section 8(h)(iii). Otherwise, no waiver of any of Executive’s obligations under this Agreement shall be effective unless made in writing by the Company. The failure of the Company to require Executive’s performance of any term or obligation of this Agreement, or the waiver of any breach of this Agreement, shall not prevent the Company’s subsequent enforcement of such term or obligation or be deemed a waiver of any subsequent breach.</w:t>
      </w:r>
    </w:p>
    <w:p>
      <w:pPr>
        <w:spacing w:after="0" w:line="150" w:lineRule="exact"/>
        <w:rPr>
          <w:rFonts w:ascii="Arial" w:cs="Arial" w:eastAsia="Arial" w:hAnsi="Arial"/>
          <w:sz w:val="19"/>
          <w:szCs w:val="19"/>
          <w:color w:val="auto"/>
        </w:rPr>
      </w:pPr>
    </w:p>
    <w:p>
      <w:pPr>
        <w:ind w:right="20" w:firstLine="872"/>
        <w:spacing w:after="0" w:line="279" w:lineRule="auto"/>
        <w:tabs>
          <w:tab w:leader="none" w:pos="178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provisions (or portions thereof) contained in 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50" w:lineRule="exact"/>
        <w:rPr>
          <w:rFonts w:ascii="Arial" w:cs="Arial" w:eastAsia="Arial" w:hAnsi="Arial"/>
          <w:sz w:val="19"/>
          <w:szCs w:val="19"/>
          <w:color w:val="auto"/>
        </w:rPr>
      </w:pPr>
    </w:p>
    <w:p>
      <w:pPr>
        <w:ind w:right="800" w:firstLine="872"/>
        <w:spacing w:after="0"/>
        <w:tabs>
          <w:tab w:leader="none" w:pos="178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Choice of Law and Jurisdiction</w:t>
      </w:r>
      <w:r>
        <w:rPr>
          <w:rFonts w:ascii="Arial" w:cs="Arial" w:eastAsia="Arial" w:hAnsi="Arial"/>
          <w:sz w:val="22"/>
          <w:szCs w:val="22"/>
          <w:color w:val="auto"/>
        </w:rPr>
        <w:t>. This Agreement will be deemed to be made and entered into in the Commonwealth of Massachusetts, and will in all respects be interpreted, enforced and governed under the laws of the Commonwealth of Massachusetts. Executive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8" w:name="page59"/>
    <w:bookmarkEnd w:id="58"/>
    <w:p>
      <w:pPr>
        <w:ind w:right="200"/>
        <w:spacing w:after="0" w:line="270" w:lineRule="auto"/>
        <w:rPr>
          <w:sz w:val="20"/>
          <w:szCs w:val="20"/>
          <w:color w:val="auto"/>
        </w:rPr>
      </w:pPr>
      <w:r>
        <w:rPr>
          <w:rFonts w:ascii="Arial" w:cs="Arial" w:eastAsia="Arial" w:hAnsi="Arial"/>
          <w:sz w:val="19"/>
          <w:szCs w:val="19"/>
          <w:color w:val="auto"/>
        </w:rPr>
        <w:t xml:space="preserve">hereby consents to personal jurisdiction of the state and federal courts situated within Massachusetts for purposes of enforcing this Agreement, and waive any objection that Executive might have to personal jurisdiction or venue in those courts, provided, however, the Company and Executive agree that all civil actions relating to Section 8 of this Agreement shall be brought in the county of Suffolk and that the superior court or the business litigation session of the superior court shall have exclusive jurisdiction. </w:t>
      </w:r>
      <w:r>
        <w:rPr>
          <w:rFonts w:ascii="Arial" w:cs="Arial" w:eastAsia="Arial" w:hAnsi="Arial"/>
          <w:sz w:val="19"/>
          <w:szCs w:val="19"/>
          <w:b w:val="1"/>
          <w:bCs w:val="1"/>
          <w:color w:val="auto"/>
        </w:rPr>
        <w:t>ANY ACTION, DEMAND, CLAIM OR COUNTERCLAIM ARISING UNDER OR RELATING TO THIS</w:t>
      </w:r>
    </w:p>
    <w:p>
      <w:pPr>
        <w:spacing w:after="0" w:line="4"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b w:val="1"/>
          <w:bCs w:val="1"/>
          <w:color w:val="auto"/>
        </w:rPr>
        <w:t>AGREEMENT OR THE EXECUTIVE’S EMPLOYMENT WITH THE COMPANY, INCLUDING WITHOUT LIMITATION ANY CLAIMS OF DISCRIMINATION ARISING UNDER STATE OR FEDERAL LAW, WILL BE RESOLVED BY A JUDGE ALONE AND EACH OF THE COMPANY AND THE EXECUTIVE WAIVES ANY RIGHT TO A JURY TRIAL THEREOF</w:t>
      </w:r>
      <w:r>
        <w:rPr>
          <w:rFonts w:ascii="Arial" w:cs="Arial" w:eastAsia="Arial" w:hAnsi="Arial"/>
          <w:sz w:val="22"/>
          <w:szCs w:val="22"/>
          <w:color w:val="auto"/>
        </w:rPr>
        <w:t>.</w:t>
      </w:r>
    </w:p>
    <w:p>
      <w:pPr>
        <w:spacing w:after="0" w:line="188" w:lineRule="exact"/>
        <w:rPr>
          <w:sz w:val="20"/>
          <w:szCs w:val="20"/>
          <w:color w:val="auto"/>
        </w:rPr>
      </w:pPr>
    </w:p>
    <w:p>
      <w:pPr>
        <w:ind w:right="60" w:firstLine="872"/>
        <w:spacing w:after="0" w:line="297"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Independence of Obligations</w:t>
      </w:r>
      <w:r>
        <w:rPr>
          <w:rFonts w:ascii="Arial" w:cs="Arial" w:eastAsia="Arial" w:hAnsi="Arial"/>
          <w:sz w:val="19"/>
          <w:szCs w:val="19"/>
          <w:color w:val="auto"/>
        </w:rPr>
        <w:t>. Executive’s obligations under this Agreement are independent of any obligation, contractual or otherwise, the Company has to Executive. The Company’s breach of any such obligation shall not be a defense against the enforcement of this Agreement or otherwise limit Executive’s obligations under this Agreement.</w:t>
      </w:r>
    </w:p>
    <w:p>
      <w:pPr>
        <w:spacing w:after="0" w:line="133" w:lineRule="exact"/>
        <w:rPr>
          <w:rFonts w:ascii="Arial" w:cs="Arial" w:eastAsia="Arial" w:hAnsi="Arial"/>
          <w:sz w:val="19"/>
          <w:szCs w:val="19"/>
          <w:color w:val="auto"/>
        </w:rPr>
      </w:pPr>
    </w:p>
    <w:p>
      <w:pPr>
        <w:ind w:right="20" w:firstLine="872"/>
        <w:spacing w:after="0" w:line="282"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Protected Disclosures</w:t>
      </w:r>
      <w:r>
        <w:rPr>
          <w:rFonts w:ascii="Arial" w:cs="Arial" w:eastAsia="Arial" w:hAnsi="Arial"/>
          <w:sz w:val="19"/>
          <w:szCs w:val="19"/>
          <w:color w:val="auto"/>
        </w:rPr>
        <w:t>. Executive understands that nothing contained in this Agreement limits his ability to communicate with any federal, state or local governmental agency or commission, including to provide documents or other information, without notice to the Company. Executive also understands that nothing in this Agreement limits his ability to share compensation information concerning them or others, except that this does not permit Executive to disclose compensation information concerning others that Executive obtains because his job responsibilities require or allow access to such information.</w:t>
      </w:r>
    </w:p>
    <w:p>
      <w:pPr>
        <w:spacing w:after="0" w:line="147" w:lineRule="exact"/>
        <w:rPr>
          <w:rFonts w:ascii="Arial" w:cs="Arial" w:eastAsia="Arial" w:hAnsi="Arial"/>
          <w:sz w:val="19"/>
          <w:szCs w:val="19"/>
          <w:color w:val="auto"/>
        </w:rPr>
      </w:pPr>
    </w:p>
    <w:p>
      <w:pPr>
        <w:ind w:firstLine="872"/>
        <w:spacing w:after="0" w:line="282"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Defend Trade Secrets Act of 2016</w:t>
      </w:r>
      <w:r>
        <w:rPr>
          <w:rFonts w:ascii="Arial" w:cs="Arial" w:eastAsia="Arial" w:hAnsi="Arial"/>
          <w:sz w:val="19"/>
          <w:szCs w:val="19"/>
          <w:color w:val="auto"/>
        </w:rPr>
        <w:t>. Executive understands that pursuant to the federal Defend Trade Secrets Act of 2016,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47" w:lineRule="exact"/>
        <w:rPr>
          <w:rFonts w:ascii="Arial" w:cs="Arial" w:eastAsia="Arial" w:hAnsi="Arial"/>
          <w:sz w:val="19"/>
          <w:szCs w:val="19"/>
          <w:color w:val="auto"/>
        </w:rPr>
      </w:pPr>
    </w:p>
    <w:p>
      <w:pPr>
        <w:ind w:right="420" w:firstLine="872"/>
        <w:spacing w:after="0" w:line="282"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them under this Agreement, the Company shall continue such payments to the Executive’s beneficiary designated in writing to the Company prior to his death (or to his estate, if the Executive fails to make such designation).</w:t>
      </w:r>
    </w:p>
    <w:p>
      <w:pPr>
        <w:spacing w:after="0" w:line="147" w:lineRule="exact"/>
        <w:rPr>
          <w:rFonts w:ascii="Arial" w:cs="Arial" w:eastAsia="Arial" w:hAnsi="Arial"/>
          <w:sz w:val="19"/>
          <w:szCs w:val="19"/>
          <w:color w:val="auto"/>
        </w:rPr>
      </w:pPr>
    </w:p>
    <w:p>
      <w:pPr>
        <w:ind w:right="80" w:firstLine="872"/>
        <w:spacing w:after="0" w:line="297"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Successor to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9" w:name="page60"/>
    <w:bookmarkEnd w:id="59"/>
    <w:p>
      <w:pPr>
        <w:ind w:right="140"/>
        <w:spacing w:after="0" w:line="250" w:lineRule="auto"/>
        <w:rPr>
          <w:sz w:val="20"/>
          <w:szCs w:val="20"/>
          <w:color w:val="auto"/>
        </w:rPr>
      </w:pPr>
      <w:r>
        <w:rPr>
          <w:rFonts w:ascii="Arial" w:cs="Arial" w:eastAsia="Arial" w:hAnsi="Arial"/>
          <w:sz w:val="22"/>
          <w:szCs w:val="22"/>
          <w:color w:val="auto"/>
        </w:rPr>
        <w:t>place. Failure of the Company to obtain an assumption of this Agreement at or prior to the effectiveness of any succession shall be a material breach of this Agreement.</w:t>
      </w:r>
    </w:p>
    <w:p>
      <w:pPr>
        <w:spacing w:after="0" w:line="175" w:lineRule="exact"/>
        <w:rPr>
          <w:sz w:val="20"/>
          <w:szCs w:val="20"/>
          <w:color w:val="auto"/>
        </w:rPr>
      </w:pPr>
    </w:p>
    <w:p>
      <w:pPr>
        <w:ind w:right="40" w:firstLine="872"/>
        <w:spacing w:after="0" w:line="252" w:lineRule="auto"/>
        <w:tabs>
          <w:tab w:leader="none" w:pos="1782"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3" w:lineRule="exact"/>
        <w:rPr>
          <w:rFonts w:ascii="Arial" w:cs="Arial" w:eastAsia="Arial" w:hAnsi="Arial"/>
          <w:sz w:val="21"/>
          <w:szCs w:val="21"/>
          <w:color w:val="auto"/>
        </w:rPr>
      </w:pPr>
    </w:p>
    <w:p>
      <w:pPr>
        <w:ind w:right="500" w:firstLine="872"/>
        <w:spacing w:after="0"/>
        <w:tabs>
          <w:tab w:leader="none" w:pos="178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86" w:lineRule="exact"/>
        <w:rPr>
          <w:rFonts w:ascii="Arial" w:cs="Arial" w:eastAsia="Arial" w:hAnsi="Arial"/>
          <w:sz w:val="22"/>
          <w:szCs w:val="22"/>
          <w:color w:val="auto"/>
        </w:rPr>
      </w:pPr>
    </w:p>
    <w:p>
      <w:pPr>
        <w:ind w:right="140" w:firstLine="872"/>
        <w:spacing w:after="0" w:line="250" w:lineRule="auto"/>
        <w:tabs>
          <w:tab w:leader="none" w:pos="178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Gender Neutral</w:t>
      </w:r>
      <w:r>
        <w:rPr>
          <w:rFonts w:ascii="Arial" w:cs="Arial" w:eastAsia="Arial" w:hAnsi="Arial"/>
          <w:sz w:val="22"/>
          <w:szCs w:val="22"/>
          <w:color w:val="auto"/>
        </w:rPr>
        <w:t>. Wherever used herein, a pronoun in the masculine gender shall be considered as including the feminine gender unless the context clearly indicates otherwise.</w:t>
      </w:r>
    </w:p>
    <w:p>
      <w:pPr>
        <w:spacing w:after="0" w:line="174" w:lineRule="exact"/>
        <w:rPr>
          <w:rFonts w:ascii="Arial" w:cs="Arial" w:eastAsia="Arial" w:hAnsi="Arial"/>
          <w:sz w:val="22"/>
          <w:szCs w:val="22"/>
          <w:color w:val="auto"/>
        </w:rPr>
      </w:pPr>
    </w:p>
    <w:p>
      <w:pPr>
        <w:ind w:firstLine="872"/>
        <w:spacing w:after="0" w:line="234" w:lineRule="auto"/>
        <w:tabs>
          <w:tab w:leader="none" w:pos="178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Entire Agreement; Amendment</w:t>
      </w:r>
      <w:r>
        <w:rPr>
          <w:rFonts w:ascii="Arial" w:cs="Arial" w:eastAsia="Arial" w:hAnsi="Arial"/>
          <w:sz w:val="22"/>
          <w:szCs w:val="22"/>
          <w:color w:val="auto"/>
        </w:rPr>
        <w:t>. This Agreement constitutes the entire agreement between the Company and Executive with respect to the subject matter hereof, and supersedes all prior agreements or understandings, both written and oral, between the Company and Executive with respect to the subject matter hereof, but does not in any way merge with or supersede any other confidentiality, assignment of inventions or other restrictive covenant agreement or obligation entered into by the Company and Executive, which agreements and obligations shall supplement, and shall not limit or be limited by, this Agreement. This Agreement may be amended only in a written agreement executed by a duly authorized officer of the Company and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IN WITNESS WHEREOF, the parties have executed this Agreement effective on the date and year first above written.</w:t>
      </w:r>
    </w:p>
    <w:p>
      <w:pPr>
        <w:sectPr>
          <w:pgSz w:w="11900" w:h="16838" w:orient="portrait"/>
          <w:cols w:equalWidth="0" w:num="1">
            <w:col w:w="10240"/>
          </w:cols>
          <w:pgMar w:left="1200" w:top="604" w:right="459" w:bottom="1440" w:gutter="0" w:footer="0" w:header="0"/>
        </w:sectPr>
      </w:pPr>
    </w:p>
    <w:p>
      <w:pPr>
        <w:spacing w:after="0" w:line="235"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GEMINI THERAPEUTICS, INC.</w:t>
      </w:r>
    </w:p>
    <w:p>
      <w:pPr>
        <w:spacing w:after="0" w:line="200" w:lineRule="exact"/>
        <w:rPr>
          <w:sz w:val="20"/>
          <w:szCs w:val="20"/>
          <w:color w:val="auto"/>
        </w:rPr>
      </w:pPr>
    </w:p>
    <w:p>
      <w:pPr>
        <w:spacing w:after="0" w:line="336"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Meyenburg</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Jason Meyenburg</w:t>
      </w:r>
    </w:p>
    <w:p>
      <w:pPr>
        <w:spacing w:after="0" w:line="188" w:lineRule="exact"/>
        <w:rPr>
          <w:sz w:val="20"/>
          <w:szCs w:val="20"/>
          <w:color w:val="auto"/>
        </w:rPr>
      </w:pPr>
    </w:p>
    <w:p>
      <w:pPr>
        <w:ind w:left="4320"/>
        <w:spacing w:after="0"/>
        <w:rPr>
          <w:sz w:val="20"/>
          <w:szCs w:val="20"/>
          <w:color w:val="auto"/>
        </w:rPr>
      </w:pPr>
      <w:r>
        <w:rPr>
          <w:rFonts w:ascii="Arial" w:cs="Arial" w:eastAsia="Arial" w:hAnsi="Arial"/>
          <w:sz w:val="19"/>
          <w:szCs w:val="19"/>
          <w:color w:val="auto"/>
        </w:rPr>
        <w:t xml:space="preserve">Its: </w:t>
      </w:r>
      <w:r>
        <w:rPr>
          <w:rFonts w:ascii="Arial" w:cs="Arial" w:eastAsia="Arial" w:hAnsi="Arial"/>
          <w:sz w:val="19"/>
          <w:szCs w:val="19"/>
          <w:u w:val="single" w:color="auto"/>
          <w:color w:val="auto"/>
        </w:rPr>
        <w:t>President and Chief Executive Officer</w:t>
      </w:r>
    </w:p>
    <w:p>
      <w:pPr>
        <w:spacing w:after="0" w:line="200" w:lineRule="exact"/>
        <w:rPr>
          <w:sz w:val="20"/>
          <w:szCs w:val="20"/>
          <w:color w:val="auto"/>
        </w:rPr>
      </w:pPr>
    </w:p>
    <w:p>
      <w:pPr>
        <w:spacing w:after="0" w:line="365" w:lineRule="exact"/>
        <w:rPr>
          <w:sz w:val="20"/>
          <w:szCs w:val="20"/>
          <w:color w:val="auto"/>
        </w:rPr>
      </w:pPr>
    </w:p>
    <w:p>
      <w:pPr>
        <w:ind w:left="4320"/>
        <w:spacing w:after="0"/>
        <w:rPr>
          <w:sz w:val="20"/>
          <w:szCs w:val="20"/>
          <w:color w:val="auto"/>
        </w:rPr>
      </w:pPr>
      <w:r>
        <w:rPr>
          <w:rFonts w:ascii="Arial" w:cs="Arial" w:eastAsia="Arial" w:hAnsi="Arial"/>
          <w:sz w:val="22"/>
          <w:szCs w:val="22"/>
          <w:u w:val="single" w:color="auto"/>
          <w:color w:val="auto"/>
        </w:rPr>
        <w:t>/s/ Sam Barone</w:t>
      </w:r>
    </w:p>
    <w:p>
      <w:pPr>
        <w:spacing w:after="0" w:line="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Dr. Sam Barone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217170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40"/>
          </w:cols>
          <w:pgMar w:left="1200" w:top="604" w:right="459" w:bottom="1440" w:gutter="0" w:footer="0" w:header="0"/>
          <w:type w:val="continuous"/>
        </w:sectPr>
      </w:pPr>
    </w:p>
    <w:bookmarkStart w:id="61" w:name="page62"/>
    <w:bookmarkEnd w:id="61"/>
    <w:p>
      <w:pPr>
        <w:jc w:val="center"/>
        <w:ind w:right="-139"/>
        <w:spacing w:after="0"/>
        <w:rPr>
          <w:sz w:val="20"/>
          <w:szCs w:val="20"/>
          <w:color w:val="auto"/>
        </w:rPr>
      </w:pPr>
      <w:r>
        <w:rPr>
          <w:rFonts w:ascii="Arial" w:cs="Arial" w:eastAsia="Arial" w:hAnsi="Arial"/>
          <w:sz w:val="18"/>
          <w:szCs w:val="18"/>
          <w:b w:val="1"/>
          <w:bCs w:val="1"/>
          <w:color w:val="auto"/>
        </w:rPr>
        <w:t>EXHIBIT A</w:t>
      </w:r>
    </w:p>
    <w:p>
      <w:pPr>
        <w:sectPr>
          <w:pgSz w:w="11900" w:h="16838" w:orient="portrait"/>
          <w:cols w:equalWidth="0" w:num="1">
            <w:col w:w="11120"/>
          </w:cols>
          <w:pgMar w:left="320" w:top="60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GEMINI THERAPEUTICS, INC. (“COMPANY”)</w:t>
      </w:r>
    </w:p>
    <w:p>
      <w:pPr>
        <w:spacing w:after="0" w:line="200" w:lineRule="exact"/>
        <w:rPr>
          <w:sz w:val="20"/>
          <w:szCs w:val="20"/>
          <w:color w:val="auto"/>
        </w:rPr>
      </w:pPr>
    </w:p>
    <w:p>
      <w:pPr>
        <w:sectPr>
          <w:pgSz w:w="11900" w:h="16838" w:orient="portrait"/>
          <w:cols w:equalWidth="0" w:num="2">
            <w:col w:w="240" w:space="620"/>
            <w:col w:w="10260"/>
          </w:cols>
          <w:pgMar w:left="320" w:top="607"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Dr. Sam Barone</w:t>
      </w:r>
    </w:p>
    <w:p>
      <w:pPr>
        <w:spacing w:after="0" w:line="200" w:lineRule="exact"/>
        <w:rPr>
          <w:sz w:val="20"/>
          <w:szCs w:val="20"/>
          <w:color w:val="auto"/>
        </w:rPr>
      </w:pPr>
    </w:p>
    <w:p>
      <w:pPr>
        <w:sectPr>
          <w:pgSz w:w="11900" w:h="16838" w:orient="portrait"/>
          <w:cols w:equalWidth="0" w:num="2">
            <w:col w:w="440" w:space="420"/>
            <w:col w:w="10260"/>
          </w:cols>
          <w:pgMar w:left="320" w:top="607"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1120"/>
          </w:cols>
          <w:pgMar w:left="320" w:top="607" w:right="4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Inventions</w:t>
      </w:r>
    </w:p>
    <w:p>
      <w:pPr>
        <w:spacing w:after="0" w:line="204" w:lineRule="exact"/>
        <w:rPr>
          <w:sz w:val="20"/>
          <w:szCs w:val="20"/>
          <w:color w:val="auto"/>
        </w:rPr>
      </w:pPr>
    </w:p>
    <w:p>
      <w:pPr>
        <w:sectPr>
          <w:pgSz w:w="11900" w:h="16838" w:orient="portrait"/>
          <w:cols w:equalWidth="0" w:num="2">
            <w:col w:w="800" w:space="660"/>
            <w:col w:w="9660"/>
          </w:cols>
          <w:pgMar w:left="320" w:top="607" w:right="459" w:bottom="1440" w:gutter="0" w:footer="0" w:header="0"/>
          <w:type w:val="continuous"/>
        </w:sectPr>
      </w:pPr>
    </w:p>
    <w:p>
      <w:pPr>
        <w:spacing w:after="0" w:line="48" w:lineRule="exact"/>
        <w:rPr>
          <w:sz w:val="20"/>
          <w:szCs w:val="20"/>
          <w:color w:val="auto"/>
        </w:rPr>
      </w:pPr>
    </w:p>
    <w:p>
      <w:pPr>
        <w:ind w:firstLine="864"/>
        <w:spacing w:after="0" w:line="308" w:lineRule="auto"/>
        <w:rPr>
          <w:sz w:val="20"/>
          <w:szCs w:val="20"/>
          <w:color w:val="auto"/>
        </w:rPr>
      </w:pPr>
      <w:r>
        <w:rPr>
          <w:rFonts w:ascii="Arial" w:cs="Arial" w:eastAsia="Arial" w:hAnsi="Arial"/>
          <w:sz w:val="17"/>
          <w:szCs w:val="17"/>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146" w:lineRule="exact"/>
        <w:rPr>
          <w:sz w:val="20"/>
          <w:szCs w:val="20"/>
          <w:color w:val="auto"/>
        </w:rPr>
      </w:pPr>
    </w:p>
    <w:p>
      <w:pPr>
        <w:ind w:left="1620" w:hanging="748"/>
        <w:spacing w:after="0"/>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inventions or improvements</w:t>
      </w:r>
    </w:p>
    <w:p>
      <w:pPr>
        <w:spacing w:after="0" w:line="225" w:lineRule="exact"/>
        <w:rPr>
          <w:rFonts w:ascii="Arial" w:cs="Arial" w:eastAsia="Arial" w:hAnsi="Arial"/>
          <w:sz w:val="18"/>
          <w:szCs w:val="18"/>
          <w:color w:val="auto"/>
        </w:rPr>
      </w:pPr>
    </w:p>
    <w:p>
      <w:pPr>
        <w:ind w:left="1620" w:hanging="748"/>
        <w:spacing w:after="0"/>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See below:</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Additional sheets attached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list of all patents and patent applications in which Executive has been named as an inventor:</w:t>
      </w:r>
    </w:p>
    <w:p>
      <w:pPr>
        <w:spacing w:after="0" w:line="225" w:lineRule="exact"/>
        <w:rPr>
          <w:sz w:val="20"/>
          <w:szCs w:val="20"/>
          <w:color w:val="auto"/>
        </w:rPr>
      </w:pPr>
    </w:p>
    <w:p>
      <w:pPr>
        <w:ind w:left="1620" w:hanging="748"/>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620" w:hanging="748"/>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below:</w:t>
      </w:r>
    </w:p>
    <w:p>
      <w:pPr>
        <w:sectPr>
          <w:pgSz w:w="11900" w:h="16838" w:orient="portrait"/>
          <w:cols w:equalWidth="0" w:num="1">
            <w:col w:w="11120"/>
          </w:cols>
          <w:pgMar w:left="320" w:top="607" w:right="459" w:bottom="1440" w:gutter="0" w:footer="0" w:header="0"/>
          <w:type w:val="continuous"/>
        </w:sectPr>
      </w:pPr>
    </w:p>
    <w:bookmarkStart w:id="62" w:name="page63"/>
    <w:bookmarkEnd w:id="6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RULE 13a-14(a) / RULE 15d-14(a) OF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Jason Meyenburg, certify that:</w:t>
      </w:r>
    </w:p>
    <w:p>
      <w:pPr>
        <w:spacing w:after="0" w:line="225" w:lineRule="exact"/>
        <w:rPr>
          <w:sz w:val="20"/>
          <w:szCs w:val="20"/>
          <w:color w:val="auto"/>
        </w:rPr>
      </w:pPr>
    </w:p>
    <w:p>
      <w:pPr>
        <w:ind w:left="560" w:hanging="552"/>
        <w:spacing w:after="0"/>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Gemini Therapeutics, Inc.;</w:t>
      </w:r>
    </w:p>
    <w:p>
      <w:pPr>
        <w:spacing w:after="0" w:line="117" w:lineRule="exact"/>
        <w:rPr>
          <w:rFonts w:ascii="Arial" w:cs="Arial" w:eastAsia="Arial" w:hAnsi="Arial"/>
          <w:sz w:val="18"/>
          <w:szCs w:val="18"/>
          <w:color w:val="auto"/>
        </w:rPr>
      </w:pPr>
    </w:p>
    <w:p>
      <w:pPr>
        <w:jc w:val="both"/>
        <w:ind w:left="560" w:right="220" w:hanging="552"/>
        <w:spacing w:after="0" w:line="263"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60" w:right="180" w:hanging="552"/>
        <w:spacing w:after="0" w:line="308" w:lineRule="auto"/>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60" w:right="200" w:hanging="552"/>
        <w:spacing w:after="0" w:line="263"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160" w:hanging="561"/>
        <w:spacing w:after="0" w:line="286" w:lineRule="auto"/>
        <w:tabs>
          <w:tab w:leader="none" w:pos="15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00" w:right="220" w:hanging="561"/>
        <w:spacing w:after="0" w:line="263" w:lineRule="auto"/>
        <w:tabs>
          <w:tab w:leader="none" w:pos="1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00" w:right="20" w:hanging="561"/>
        <w:spacing w:after="0" w:line="342" w:lineRule="auto"/>
        <w:tabs>
          <w:tab w:leader="none" w:pos="15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20" w:hanging="561"/>
        <w:spacing w:after="0" w:line="263" w:lineRule="auto"/>
        <w:tabs>
          <w:tab w:leader="none" w:pos="1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60" w:right="180" w:hanging="552"/>
        <w:spacing w:after="0" w:line="342" w:lineRule="auto"/>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00" w:right="260" w:hanging="561"/>
        <w:spacing w:after="0" w:line="342" w:lineRule="auto"/>
        <w:tabs>
          <w:tab w:leader="none" w:pos="15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hanging="561"/>
        <w:spacing w:after="0" w:line="277" w:lineRule="auto"/>
        <w:tabs>
          <w:tab w:leader="none" w:pos="1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12, 2021</w:t>
      </w:r>
    </w:p>
    <w:p>
      <w:pPr>
        <w:spacing w:after="0" w:line="23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3"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Jason Meyenburg</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63" w:name="page64"/>
    <w:bookmarkEnd w:id="6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RULE 13a-14(a) / RULE 15d-14(a) OF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Brian Piekos, certify that:</w:t>
      </w:r>
    </w:p>
    <w:p>
      <w:pPr>
        <w:spacing w:after="0" w:line="225" w:lineRule="exact"/>
        <w:rPr>
          <w:sz w:val="20"/>
          <w:szCs w:val="20"/>
          <w:color w:val="auto"/>
        </w:rPr>
      </w:pPr>
    </w:p>
    <w:p>
      <w:pPr>
        <w:ind w:left="560" w:hanging="552"/>
        <w:spacing w:after="0"/>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Gemini Therapeutics, Inc.;</w:t>
      </w:r>
    </w:p>
    <w:p>
      <w:pPr>
        <w:spacing w:after="0" w:line="117" w:lineRule="exact"/>
        <w:rPr>
          <w:rFonts w:ascii="Arial" w:cs="Arial" w:eastAsia="Arial" w:hAnsi="Arial"/>
          <w:sz w:val="18"/>
          <w:szCs w:val="18"/>
          <w:color w:val="auto"/>
        </w:rPr>
      </w:pPr>
    </w:p>
    <w:p>
      <w:pPr>
        <w:jc w:val="both"/>
        <w:ind w:left="560" w:right="220" w:hanging="552"/>
        <w:spacing w:after="0" w:line="263" w:lineRule="auto"/>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60" w:right="180" w:hanging="552"/>
        <w:spacing w:after="0" w:line="308" w:lineRule="auto"/>
        <w:tabs>
          <w:tab w:leader="none" w:pos="5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60" w:right="200" w:hanging="552"/>
        <w:spacing w:after="0" w:line="263" w:lineRule="auto"/>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160" w:hanging="561"/>
        <w:spacing w:after="0" w:line="286" w:lineRule="auto"/>
        <w:tabs>
          <w:tab w:leader="none" w:pos="15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00" w:right="220" w:hanging="561"/>
        <w:spacing w:after="0" w:line="263" w:lineRule="auto"/>
        <w:tabs>
          <w:tab w:leader="none" w:pos="15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00" w:right="20" w:hanging="561"/>
        <w:spacing w:after="0" w:line="342" w:lineRule="auto"/>
        <w:tabs>
          <w:tab w:leader="none" w:pos="15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20" w:hanging="561"/>
        <w:spacing w:after="0" w:line="263" w:lineRule="auto"/>
        <w:tabs>
          <w:tab w:leader="none" w:pos="15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60" w:right="180" w:hanging="552"/>
        <w:spacing w:after="0" w:line="342" w:lineRule="auto"/>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00" w:right="260" w:hanging="561"/>
        <w:spacing w:after="0" w:line="342" w:lineRule="auto"/>
        <w:tabs>
          <w:tab w:leader="none" w:pos="15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00" w:right="540" w:hanging="561"/>
        <w:spacing w:after="0" w:line="277" w:lineRule="auto"/>
        <w:tabs>
          <w:tab w:leader="none" w:pos="15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12, 2021</w:t>
      </w:r>
    </w:p>
    <w:p>
      <w:pPr>
        <w:spacing w:after="0" w:line="266"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Brian Piekos</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Gemini Therapeutics, Inc. (the “Company”) on Form 10-Q for the period ending June 30, 2021 as filed with the Securities and Exchange Commission on the date hereof (the “Report”), the undersigned officers of the Company hereby certify, pursuant to 18 U.S.C. Section 1350, as adopted pursuant to Section 906 of the Sarbanes-Oxley Act of 2002, to my knowledge, that:</w:t>
      </w:r>
    </w:p>
    <w:p>
      <w:pPr>
        <w:spacing w:after="0" w:line="76" w:lineRule="exact"/>
        <w:rPr>
          <w:sz w:val="20"/>
          <w:szCs w:val="20"/>
          <w:color w:val="auto"/>
        </w:rPr>
      </w:pPr>
    </w:p>
    <w:p>
      <w:pPr>
        <w:ind w:left="740" w:hanging="368"/>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40" w:type="dxa"/>
        <w:tblCellMar>
          <w:top w:w="0" w:type="dxa"/>
          <w:left w:w="0" w:type="dxa"/>
          <w:bottom w:w="0" w:type="dxa"/>
          <w:right w:w="0" w:type="dxa"/>
        </w:tblCellMar>
      </w:tblP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Date: August 12, 2021</w:t>
            </w:r>
          </w:p>
        </w:tc>
        <w:tc>
          <w:tcPr>
            <w:tcW w:w="2680" w:type="dxa"/>
            <w:vAlign w:val="bottom"/>
          </w:tcPr>
          <w:p>
            <w:pPr>
              <w:ind w:left="20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Jason Meyenburg</w:t>
            </w:r>
          </w:p>
        </w:tc>
      </w:tr>
      <w:tr>
        <w:trPr>
          <w:trHeight w:val="191"/>
        </w:trPr>
        <w:tc>
          <w:tcPr>
            <w:tcW w:w="3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Jason Meyenburg</w:t>
            </w:r>
          </w:p>
        </w:tc>
      </w:tr>
      <w:tr>
        <w:trPr>
          <w:trHeight w:val="216"/>
        </w:trPr>
        <w:tc>
          <w:tcPr>
            <w:tcW w:w="3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3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w:t>
            </w:r>
          </w:p>
        </w:tc>
      </w:tr>
      <w:tr>
        <w:trPr>
          <w:trHeight w:val="675"/>
        </w:trPr>
        <w:tc>
          <w:tcPr>
            <w:tcW w:w="3700" w:type="dxa"/>
            <w:vAlign w:val="bottom"/>
          </w:tcPr>
          <w:p>
            <w:pPr>
              <w:spacing w:after="0"/>
              <w:rPr>
                <w:sz w:val="20"/>
                <w:szCs w:val="20"/>
                <w:color w:val="auto"/>
              </w:rPr>
            </w:pPr>
            <w:r>
              <w:rPr>
                <w:rFonts w:ascii="Arial" w:cs="Arial" w:eastAsia="Arial" w:hAnsi="Arial"/>
                <w:sz w:val="18"/>
                <w:szCs w:val="18"/>
                <w:color w:val="auto"/>
              </w:rPr>
              <w:t>Date: August 12, 2021</w:t>
            </w:r>
          </w:p>
        </w:tc>
        <w:tc>
          <w:tcPr>
            <w:tcW w:w="2680" w:type="dxa"/>
            <w:vAlign w:val="bottom"/>
          </w:tcPr>
          <w:p>
            <w:pPr>
              <w:ind w:left="20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Piekos</w:t>
            </w:r>
          </w:p>
        </w:tc>
      </w:tr>
      <w:tr>
        <w:trPr>
          <w:trHeight w:val="191"/>
        </w:trPr>
        <w:tc>
          <w:tcPr>
            <w:tcW w:w="3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Brian Piekos</w:t>
            </w:r>
          </w:p>
        </w:tc>
      </w:tr>
      <w:tr>
        <w:trPr>
          <w:trHeight w:val="216"/>
        </w:trPr>
        <w:tc>
          <w:tcPr>
            <w:tcW w:w="3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officer)</w:t>
            </w:r>
          </w:p>
        </w:tc>
      </w:tr>
    </w:tbl>
    <w:p>
      <w:pPr>
        <w:spacing w:after="0" w:line="202" w:lineRule="exact"/>
        <w:rPr>
          <w:sz w:val="20"/>
          <w:szCs w:val="20"/>
          <w:color w:val="auto"/>
        </w:rPr>
      </w:pPr>
    </w:p>
    <w:p>
      <w:pPr>
        <w:jc w:val="both"/>
        <w:ind w:left="260" w:hanging="252"/>
        <w:spacing w:after="0" w:line="263" w:lineRule="auto"/>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4"/>
    </w:lvl>
  </w:abstractNum>
  <w:abstractNum w:abstractNumId="7">
    <w:nsid w:val="6CEAF087"/>
    <w:multiLevelType w:val="hybridMultilevel"/>
    <w:lvl w:ilvl="0">
      <w:lvlJc w:val="left"/>
      <w:lvlText w:val="%1."/>
      <w:numFmt w:val="decimal"/>
      <w:start w:val="12"/>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lowerRoman"/>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lvl w:ilvl="1">
      <w:lvlJc w:val="left"/>
      <w:lvlText w:val="(%2)"/>
      <w:numFmt w:val="lowerLetter"/>
      <w:start w:val="1"/>
    </w:lvl>
  </w:abstractNum>
  <w:abstractNum w:abstractNumId="21">
    <w:nsid w:val="5E884ADC"/>
    <w:multiLevelType w:val="hybridMultilevel"/>
    <w:lvl w:ilvl="0">
      <w:lvlJc w:val="left"/>
      <w:lvlText w:val="(%1)"/>
      <w:numFmt w:val="lowerLetter"/>
      <w:start w:val="2"/>
    </w:lvl>
  </w:abstractNum>
  <w:abstractNum w:abstractNumId="22">
    <w:nsid w:val="51EAD36B"/>
    <w:multiLevelType w:val="hybridMultilevel"/>
    <w:lvl w:ilvl="0">
      <w:lvlJc w:val="left"/>
      <w:lvlText w:val="%1"/>
      <w:numFmt w:val="decimal"/>
      <w:start w:val="1"/>
    </w:lvl>
    <w:lvl w:ilvl="1">
      <w:lvlJc w:val="left"/>
      <w:lvlText w:val="(%2)"/>
      <w:numFmt w:val="lowerLetter"/>
      <w:start w:val="8"/>
    </w:lvl>
  </w:abstractNum>
  <w:abstractNum w:abstractNumId="23">
    <w:nsid w:val="2D517796"/>
    <w:multiLevelType w:val="hybridMultilevel"/>
    <w:lvl w:ilvl="0">
      <w:lvlJc w:val="left"/>
      <w:lvlText w:val="%1."/>
      <w:numFmt w:val="decimal"/>
      <w:start w:val="3"/>
    </w:lvl>
    <w:lvl w:ilvl="1">
      <w:lvlJc w:val="left"/>
      <w:lvlText w:val="(%2)"/>
      <w:numFmt w:val="lowerLetter"/>
      <w:start w:val="1"/>
    </w:lvl>
  </w:abstractNum>
  <w:abstractNum w:abstractNumId="24">
    <w:nsid w:val="580BD78F"/>
    <w:multiLevelType w:val="hybridMultilevel"/>
    <w:lvl w:ilvl="0">
      <w:lvlJc w:val="left"/>
      <w:lvlText w:val="(%1)"/>
      <w:numFmt w:val="lowerLetter"/>
      <w:start w:val="3"/>
    </w:lvl>
  </w:abstractNum>
  <w:abstractNum w:abstractNumId="25">
    <w:nsid w:val="153EA438"/>
    <w:multiLevelType w:val="hybridMultilevel"/>
    <w:lvl w:ilvl="0">
      <w:lvlJc w:val="left"/>
      <w:lvlText w:val="%1"/>
      <w:numFmt w:val="decimal"/>
      <w:start w:val="1"/>
    </w:lvl>
    <w:lvl w:ilvl="1">
      <w:lvlJc w:val="left"/>
      <w:lvlText w:val="(%2)"/>
      <w:numFmt w:val="lowerLetter"/>
      <w:start w:val="6"/>
    </w:lvl>
  </w:abstractNum>
  <w:abstractNum w:abstractNumId="26">
    <w:nsid w:val="3855585C"/>
    <w:multiLevelType w:val="hybridMultilevel"/>
    <w:lvl w:ilvl="0">
      <w:lvlJc w:val="left"/>
      <w:lvlText w:val="%1."/>
      <w:numFmt w:val="decimal"/>
      <w:start w:val="4"/>
    </w:lvl>
    <w:lvl w:ilvl="1">
      <w:lvlJc w:val="left"/>
      <w:lvlText w:val="%2"/>
      <w:numFmt w:val="lowerLetter"/>
      <w:start w:val="1"/>
    </w:lvl>
  </w:abstractNum>
  <w:abstractNum w:abstractNumId="27">
    <w:nsid w:val="70A64E2A"/>
    <w:multiLevelType w:val="hybridMultilevel"/>
    <w:lvl w:ilvl="0">
      <w:lvlJc w:val="left"/>
      <w:lvlText w:val="(%1)"/>
      <w:numFmt w:val="lowerRoman"/>
      <w:start w:val="1"/>
    </w:lvl>
  </w:abstractNum>
  <w:abstractNum w:abstractNumId="28">
    <w:nsid w:val="6A2342EC"/>
    <w:multiLevelType w:val="hybridMultilevel"/>
    <w:lvl w:ilvl="0">
      <w:lvlJc w:val="left"/>
      <w:lvlText w:val="%1"/>
      <w:numFmt w:val="upperLetter"/>
      <w:start w:val="1"/>
    </w:lvl>
    <w:lvl w:ilvl="1">
      <w:lvlJc w:val="left"/>
      <w:lvlText w:val="(%2)"/>
      <w:numFmt w:val="lowerRoman"/>
      <w:start w:val="2"/>
    </w:lvl>
  </w:abstractNum>
  <w:abstractNum w:abstractNumId="29">
    <w:nsid w:val="2A487CB0"/>
    <w:multiLevelType w:val="hybridMultilevel"/>
    <w:lvl w:ilvl="0">
      <w:lvlJc w:val="left"/>
      <w:lvlText w:val="(%1)"/>
      <w:numFmt w:val="upperLetter"/>
      <w:start w:val="1"/>
    </w:lvl>
    <w:lvl w:ilvl="1">
      <w:lvlJc w:val="left"/>
      <w:lvlText w:val="%2"/>
      <w:numFmt w:val="lowerRoman"/>
      <w:start w:val="1"/>
    </w:lvl>
  </w:abstractNum>
  <w:abstractNum w:abstractNumId="30">
    <w:nsid w:val="1D4ED43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1">
    <w:nsid w:val="725A06FB"/>
    <w:multiLevelType w:val="hybridMultilevel"/>
    <w:lvl w:ilvl="0">
      <w:lvlJc w:val="left"/>
      <w:lvlText w:val="(%1)"/>
      <w:numFmt w:val="lowerRoman"/>
      <w:start w:val="2"/>
    </w:lvl>
  </w:abstractNum>
  <w:abstractNum w:abstractNumId="32">
    <w:nsid w:val="2CD89A32"/>
    <w:multiLevelType w:val="hybridMultilevel"/>
    <w:lvl w:ilvl="0">
      <w:lvlJc w:val="left"/>
      <w:lvlText w:val="(%1)"/>
      <w:numFmt w:val="lowerLetter"/>
      <w:start w:val="2"/>
    </w:lvl>
    <w:lvl w:ilvl="1">
      <w:lvlJc w:val="left"/>
      <w:lvlText w:val="(%2)"/>
      <w:numFmt w:val="lowerLetter"/>
      <w:start w:val="9"/>
    </w:lvl>
  </w:abstractNum>
  <w:abstractNum w:abstractNumId="33">
    <w:nsid w:val="57E4CCAF"/>
    <w:multiLevelType w:val="hybridMultilevel"/>
    <w:lvl w:ilvl="0">
      <w:lvlJc w:val="left"/>
      <w:lvlText w:val="%1"/>
      <w:numFmt w:val="lowerLetter"/>
      <w:start w:val="1"/>
    </w:lvl>
    <w:lvl w:ilvl="1">
      <w:lvlJc w:val="left"/>
      <w:lvlText w:val="(%2)"/>
      <w:numFmt w:val="lowerRoman"/>
      <w:start w:val="2"/>
    </w:lvl>
  </w:abstractNum>
  <w:abstractNum w:abstractNumId="34">
    <w:nsid w:val="7A6D8D3C"/>
    <w:multiLevelType w:val="hybridMultilevel"/>
    <w:lvl w:ilvl="0">
      <w:lvlJc w:val="left"/>
      <w:lvlText w:val="(%1)"/>
      <w:numFmt w:val="lowerLetter"/>
      <w:start w:val="3"/>
    </w:lvl>
    <w:lvl w:ilvl="1">
      <w:lvlJc w:val="left"/>
      <w:lvlText w:val="%2"/>
      <w:numFmt w:val="lowerRoman"/>
      <w:start w:val="1"/>
    </w:lvl>
  </w:abstractNum>
  <w:abstractNum w:abstractNumId="35">
    <w:nsid w:val="4B588F54"/>
    <w:multiLevelType w:val="hybridMultilevel"/>
    <w:lvl w:ilvl="0">
      <w:lvlJc w:val="left"/>
      <w:lvlText w:val="%1."/>
      <w:numFmt w:val="decimal"/>
      <w:start w:val="7"/>
    </w:lvl>
    <w:lvl w:ilvl="1">
      <w:lvlJc w:val="left"/>
      <w:lvlText w:val="(%2)"/>
      <w:numFmt w:val="lowerLetter"/>
      <w:start w:val="1"/>
    </w:lvl>
  </w:abstractNum>
  <w:abstractNum w:abstractNumId="36">
    <w:nsid w:val="542289EC"/>
    <w:multiLevelType w:val="hybridMultilevel"/>
    <w:lvl w:ilvl="0">
      <w:lvlJc w:val="left"/>
      <w:lvlText w:val="(%1)"/>
      <w:numFmt w:val="upperLetter"/>
      <w:start w:val="2"/>
    </w:lvl>
    <w:lvl w:ilvl="1">
      <w:lvlJc w:val="left"/>
      <w:lvlText w:val="%2."/>
      <w:numFmt w:val="decimal"/>
      <w:start w:val="7"/>
    </w:lvl>
    <w:lvl w:ilvl="2">
      <w:lvlJc w:val="left"/>
      <w:lvlText w:val="(%3)"/>
      <w:numFmt w:val="lowerLetter"/>
      <w:start w:val="2"/>
    </w:lvl>
  </w:abstractNum>
  <w:abstractNum w:abstractNumId="37">
    <w:nsid w:val="6DE91B1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8">
    <w:nsid w:val="38437FDB"/>
    <w:multiLevelType w:val="hybridMultilevel"/>
    <w:lvl w:ilvl="0">
      <w:lvlJc w:val="left"/>
      <w:lvlText w:val="(%1)"/>
      <w:numFmt w:val="lowerLetter"/>
      <w:start w:val="2"/>
    </w:lvl>
  </w:abstractNum>
  <w:abstractNum w:abstractNumId="39">
    <w:nsid w:val="7644A45C"/>
    <w:multiLevelType w:val="hybridMultilevel"/>
    <w:lvl w:ilvl="0">
      <w:lvlJc w:val="left"/>
      <w:lvlText w:val="%1"/>
      <w:numFmt w:val="lowerLetter"/>
      <w:start w:val="1"/>
    </w:lvl>
    <w:lvl w:ilvl="1">
      <w:lvlJc w:val="left"/>
      <w:lvlText w:val="(%2)"/>
      <w:numFmt w:val="lowerLetter"/>
      <w:start w:val="5"/>
    </w:lvl>
  </w:abstractNum>
  <w:abstractNum w:abstractNumId="40">
    <w:nsid w:val="32FFF902"/>
    <w:multiLevelType w:val="hybridMultilevel"/>
    <w:lvl w:ilvl="0">
      <w:lvlJc w:val="left"/>
      <w:lvlText w:val="(%1)"/>
      <w:numFmt w:val="lowerLetter"/>
      <w:start w:val="1"/>
    </w:lvl>
    <w:lvl w:ilvl="1">
      <w:lvlJc w:val="left"/>
      <w:lvlText w:val="%2"/>
      <w:numFmt w:val="lowerLetter"/>
      <w:start w:val="1"/>
    </w:lvl>
  </w:abstractNum>
  <w:abstractNum w:abstractNumId="41">
    <w:nsid w:val="684A481A"/>
    <w:multiLevelType w:val="hybridMultilevel"/>
    <w:lvl w:ilvl="0">
      <w:lvlJc w:val="left"/>
      <w:lvlText w:val="(%1)"/>
      <w:numFmt w:val="lowerLetter"/>
      <w:start w:val="6"/>
    </w:lvl>
  </w:abstractNum>
  <w:abstractNum w:abstractNumId="42">
    <w:nsid w:val="579478FE"/>
    <w:multiLevelType w:val="hybridMultilevel"/>
    <w:lvl w:ilvl="0">
      <w:lvlJc w:val="left"/>
      <w:lvlText w:val="(%1)"/>
      <w:numFmt w:val="lowerLetter"/>
      <w:start w:val="7"/>
    </w:lvl>
  </w:abstractNum>
  <w:abstractNum w:abstractNumId="43">
    <w:nsid w:val="749ABB43"/>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9"/>
    </w:lvl>
  </w:abstractNum>
  <w:abstractNum w:abstractNumId="44">
    <w:nsid w:val="3DC240FB"/>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45">
    <w:nsid w:val="1BA026FA"/>
    <w:multiLevelType w:val="hybridMultilevel"/>
    <w:lvl w:ilvl="0">
      <w:lvlJc w:val="left"/>
      <w:lvlText w:val="%1."/>
      <w:numFmt w:val="decimal"/>
      <w:start w:val="9"/>
    </w:lvl>
  </w:abstractNum>
  <w:abstractNum w:abstractNumId="46">
    <w:nsid w:val="79A1DEAA"/>
    <w:multiLevelType w:val="hybridMultilevel"/>
    <w:lvl w:ilvl="0">
      <w:lvlJc w:val="left"/>
      <w:lvlText w:val="%1."/>
      <w:numFmt w:val="decimal"/>
      <w:start w:val="11"/>
    </w:lvl>
  </w:abstractNum>
  <w:abstractNum w:abstractNumId="47">
    <w:nsid w:val="75C6C33A"/>
    <w:multiLevelType w:val="hybridMultilevel"/>
    <w:lvl w:ilvl="0">
      <w:lvlJc w:val="left"/>
      <w:lvlText w:val="%1."/>
      <w:numFmt w:val="decimal"/>
      <w:start w:val="16"/>
    </w:lvl>
  </w:abstractNum>
  <w:abstractNum w:abstractNumId="48">
    <w:nsid w:val="12E685FB"/>
    <w:multiLevelType w:val="hybridMultilevel"/>
    <w:lvl w:ilvl="0">
      <w:lvlJc w:val="left"/>
      <w:lvlText w:val="%1."/>
      <w:numFmt w:val="decimal"/>
      <w:start w:val="22"/>
    </w:lvl>
  </w:abstractNum>
  <w:abstractNum w:abstractNumId="49">
    <w:nsid w:val="70C6A529"/>
    <w:multiLevelType w:val="hybridMultilevel"/>
    <w:lvl w:ilvl="0">
      <w:lvlJc w:val="left"/>
      <w:lvlText w:val="%1."/>
      <w:numFmt w:val="decimal"/>
      <w:start w:val="27"/>
    </w:lvl>
  </w:abstractNum>
  <w:abstractNum w:abstractNumId="50">
    <w:nsid w:val="520EEDD1"/>
    <w:multiLevelType w:val="hybridMultilevel"/>
    <w:lvl w:ilvl="0">
      <w:lvlJc w:val="left"/>
      <w:lvlText w:val="□"/>
      <w:numFmt w:val="bullet"/>
      <w:start w:val="1"/>
    </w:lvl>
    <w:lvl w:ilvl="1">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75" Type="http://schemas.openxmlformats.org/officeDocument/2006/relationships/hyperlink" Target="http://www.sec.gov/Archives/edgar/data/1816736/000121390021002636/fs42021a5_fsdevelopment.htm" TargetMode="External"/><Relationship Id="rId76" Type="http://schemas.openxmlformats.org/officeDocument/2006/relationships/hyperlink" Target="http://www.sec.gov/Archives/edgar/data/1816736/000121390021002636/fs42021a5ex4-1_fsdevelo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2021-08-12T09:37:32Z</dcterms:created>
  <dcterms:modified xsi:type="dcterms:W3CDTF">2021-08-12T09:37:32Z</dcterms:modified>
</cp:coreProperties>
</file>