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March 10,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333- 253175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POST-EFFECTIVE AMENDMENT NO. 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TO FORM S-1 ON</w:t>
      </w:r>
    </w:p>
    <w:p>
      <w:pPr>
        <w:jc w:val="center"/>
        <w:ind w:right="-119"/>
        <w:spacing w:after="0" w:line="237" w:lineRule="auto"/>
        <w:rPr>
          <w:sz w:val="20"/>
          <w:szCs w:val="20"/>
          <w:color w:val="auto"/>
        </w:rPr>
      </w:pPr>
      <w:r>
        <w:rPr>
          <w:rFonts w:ascii="Arial" w:cs="Arial" w:eastAsia="Arial" w:hAnsi="Arial"/>
          <w:sz w:val="32"/>
          <w:szCs w:val="32"/>
          <w:b w:val="1"/>
          <w:bCs w:val="1"/>
          <w:color w:val="auto"/>
        </w:rPr>
        <w:t>FORM S-3</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85-1612845</w:t>
            </w:r>
          </w:p>
        </w:tc>
      </w:tr>
      <w:tr>
        <w:trPr>
          <w:trHeight w:val="149"/>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Georges Gemayel, Ph.D.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Chair, Interim President and Chief Executive Officer</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Not Applicable</w:t>
      </w:r>
      <w:r>
        <w:rPr>
          <w:rFonts w:ascii="Arial" w:cs="Arial" w:eastAsia="Arial" w:hAnsi="Arial"/>
          <w:sz w:val="15"/>
          <w:szCs w:val="15"/>
          <w:b w:val="1"/>
          <w:bCs w:val="1"/>
          <w:color w:val="auto"/>
        </w:rPr>
        <w:t>1</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401-4400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State Street, 30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509-4000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Benjamin K. Marsh,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on or after the effective date of this registration statement.</w:t>
      </w:r>
    </w:p>
    <w:p>
      <w:pPr>
        <w:spacing w:after="0" w:line="252" w:lineRule="exact"/>
        <w:rPr>
          <w:sz w:val="24"/>
          <w:szCs w:val="24"/>
          <w:color w:val="auto"/>
        </w:rPr>
      </w:pPr>
    </w:p>
    <w:p>
      <w:pPr>
        <w:ind w:left="120"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ectPr>
          <w:pgSz w:w="11900" w:h="16909" w:orient="portrait"/>
          <w:cols w:equalWidth="0" w:num="1">
            <w:col w:w="11140"/>
          </w:cols>
          <w:pgMar w:left="320" w:top="230" w:right="439" w:bottom="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left="4"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ind w:left="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196"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3"/>
          <w:szCs w:val="13"/>
          <w:color w:val="auto"/>
        </w:rPr>
      </w:pPr>
      <w:r>
        <w:rPr>
          <w:rFonts w:ascii="Arial" w:cs="Arial" w:eastAsia="Arial" w:hAnsi="Arial"/>
          <w:sz w:val="16"/>
          <w:szCs w:val="16"/>
          <w:color w:val="auto"/>
        </w:rPr>
        <w:t>In January 2022, the Company became a remote-first company. Accordingly, the Company does not currently maintain a physical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3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 February 17, 2021, Gemini Therapeutics, Inc. filed a registration statement with the Securities and Exchange Commission (the “SEC”) on Form S-1 (File No. 333-253175), which was amended on March 29, 2021 on Form S-1 (as amended, the “Registration Statement”). The Registration Statement was declared effective by the SEC on April 28, 2021, and relates to the issuance by us of up to 29,368,920 shares of our Common Stock, par value $0.0001 per share (“Common Stock”).</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Gemini Therapeutics, Inc. is filing this Post-Effective Amendment No. 1 to Form S-1 on Form S-3 (“Post-Effective Amendment No. 1”) to (i) convert the Registration Statement on Form S-1 into a registration statement on Form S-3 and (ii) to update certain information regarding the securities being offered pursuant to the prospectus contained herein. This Post-Effective Amendment No. 1 does not register any additional securities and relates solely to securities registered previously. All filing fees payable in connection with the registration of the securities were previously paid in connection with the filing of the Registration Statement.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DATED MARCH 10,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171450</wp:posOffset>
            </wp:positionV>
            <wp:extent cx="1071245"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22,832,920 Shares of Common Stock</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relates to the resale, from time to time, by the selling securityholders named in this prospectus (the “Selling Securityholders”), or any of their pledgees, donees, assignees and successors-in-interest (“permitted transferees”), of up to an aggregate of 22,832,920 shares of our Common Stock, par value $0.0001 per share (“Common Stock”) that were issued to certain investors (collectively, the “PIPE Investors”) in a private placement in connection with the closing of the Business Combination (as defined below) and to certain of our stockholders as consideration in connection with the Business Combination (as defined below). This prospectus also covers any additional securities that may become issuable by reason of share splits, share dividends or other similar transactions.</w:t>
      </w:r>
    </w:p>
    <w:p>
      <w:pPr>
        <w:spacing w:after="0" w:line="19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are registering the offer and sale of the securities described above to satisfy certain registration rights we have granted. Our registration of the securities covered by this prospectus does not mean that the Selling Securityholders will offer or sell any of the securities. The Selling Securityholders and any of their permitted transferees may offer and sell the securities covered by this prospectus in a number of different ways and at varying prices. We will not receive any proceeds from the sale of these securities. Additional information on the Selling Securityholders, and the times and manner in which they may offer and sell the securities under this prospectus, is provided under “</w:t>
      </w:r>
      <w:r>
        <w:rPr>
          <w:rFonts w:ascii="Arial" w:cs="Arial" w:eastAsia="Arial" w:hAnsi="Arial"/>
          <w:sz w:val="18"/>
          <w:szCs w:val="18"/>
          <w:i w:val="1"/>
          <w:iCs w:val="1"/>
          <w:color w:val="auto"/>
        </w:rPr>
        <w:t>Selling Securityholders</w:t>
      </w:r>
      <w:r>
        <w:rPr>
          <w:rFonts w:ascii="Arial" w:cs="Arial" w:eastAsia="Arial" w:hAnsi="Arial"/>
          <w:sz w:val="18"/>
          <w:szCs w:val="18"/>
          <w:color w:val="auto"/>
        </w:rPr>
        <w:t>” and “</w:t>
      </w:r>
      <w:r>
        <w:rPr>
          <w:rFonts w:ascii="Arial" w:cs="Arial" w:eastAsia="Arial" w:hAnsi="Arial"/>
          <w:sz w:val="18"/>
          <w:szCs w:val="18"/>
          <w:i w:val="1"/>
          <w:iCs w:val="1"/>
          <w:color w:val="auto"/>
        </w:rPr>
        <w:t>Plan of Distribution</w:t>
      </w:r>
      <w:r>
        <w:rPr>
          <w:rFonts w:ascii="Arial" w:cs="Arial" w:eastAsia="Arial" w:hAnsi="Arial"/>
          <w:sz w:val="18"/>
          <w:szCs w:val="18"/>
          <w:color w:val="auto"/>
        </w:rPr>
        <w:t>” in this prospectus.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March 8, 2022, the closing price of our Common Stock was $1.46 per share.</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are subject to certain reduced public company reporting requirements.</w:t>
      </w:r>
    </w:p>
    <w:p>
      <w:pPr>
        <w:spacing w:after="0" w:line="166" w:lineRule="exact"/>
        <w:rPr>
          <w:sz w:val="20"/>
          <w:szCs w:val="20"/>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risks that are described in the “</w:t>
      </w:r>
      <w:hyperlink w:anchor="page13">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section beginning on page 12 of this prospectus.</w:t>
      </w:r>
    </w:p>
    <w:p>
      <w:pPr>
        <w:spacing w:after="0" w:line="237"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March 10, 2022.</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2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0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39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7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FREQUENTLY USED TERMS</w:t>
              </w:r>
            </w:hyperlink>
          </w:p>
        </w:tc>
        <w:tc>
          <w:tcPr>
            <w:tcW w:w="1580" w:type="dxa"/>
            <w:vAlign w:val="bottom"/>
            <w:gridSpan w:val="5"/>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SUMMARY</w:t>
              </w:r>
            </w:hyperlink>
          </w:p>
        </w:tc>
        <w:tc>
          <w:tcPr>
            <w:tcW w:w="2000" w:type="dxa"/>
            <w:vAlign w:val="bottom"/>
            <w:tcBorders>
              <w:top w:val="single" w:sz="8" w:color="0000EE"/>
            </w:tcBorders>
            <w:gridSpan w:val="10"/>
          </w:tcPr>
          <w:p>
            <w:pPr>
              <w:spacing w:after="0"/>
              <w:rPr>
                <w:sz w:val="17"/>
                <w:szCs w:val="17"/>
                <w:color w:val="auto"/>
              </w:rPr>
            </w:pPr>
          </w:p>
        </w:tc>
        <w:tc>
          <w:tcPr>
            <w:tcW w:w="980" w:type="dxa"/>
            <w:vAlign w:val="bottom"/>
            <w:gridSpan w:val="2"/>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2620" w:type="dxa"/>
            <w:vAlign w:val="bottom"/>
            <w:gridSpan w:val="10"/>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USE OF PROCEEDS</w:t>
              </w:r>
            </w:hyperlink>
          </w:p>
        </w:tc>
        <w:tc>
          <w:tcPr>
            <w:tcW w:w="2320" w:type="dxa"/>
            <w:vAlign w:val="bottom"/>
            <w:gridSpan w:val="8"/>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CAPITAL STOCK</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SELLING SECURITYHOLDERS</w:t>
              </w:r>
            </w:hyperlink>
          </w:p>
        </w:tc>
        <w:tc>
          <w:tcPr>
            <w:tcW w:w="360" w:type="dxa"/>
            <w:vAlign w:val="bottom"/>
            <w:tcBorders>
              <w:top w:val="single" w:sz="8" w:color="0000EE"/>
            </w:tcBorders>
          </w:tcPr>
          <w:p>
            <w:pPr>
              <w:spacing w:after="0"/>
              <w:rPr>
                <w:sz w:val="17"/>
                <w:szCs w:val="17"/>
                <w:color w:val="auto"/>
              </w:rPr>
            </w:pPr>
          </w:p>
        </w:tc>
        <w:tc>
          <w:tcPr>
            <w:tcW w:w="1040" w:type="dxa"/>
            <w:vAlign w:val="bottom"/>
            <w:gridSpan w:val="3"/>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1860" w:type="dxa"/>
            <w:vAlign w:val="bottom"/>
            <w:gridSpan w:val="7"/>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WHERE YOU CAN FIND MORE INFORMATION</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3800" w:type="dxa"/>
            <w:vAlign w:val="bottom"/>
            <w:gridSpan w:val="1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DOCUMENTS INCORPORATED BY REFERENCE</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73" w:lineRule="auto"/>
        <w:rPr>
          <w:sz w:val="20"/>
          <w:szCs w:val="20"/>
          <w:color w:val="auto"/>
        </w:rPr>
      </w:pPr>
      <w:r>
        <w:rPr>
          <w:rFonts w:ascii="Arial" w:cs="Arial" w:eastAsia="Arial" w:hAnsi="Arial"/>
          <w:sz w:val="17"/>
          <w:szCs w:val="17"/>
          <w:color w:val="auto"/>
        </w:rPr>
        <w:t>You should rely only on the information provided in this prospectus, as well as the information incorporated by reference into this prospectus and any applicable prospectus supplement or free writing prospectus. We have not authorized anyone to provide you with different information. No offers of these securities will be made in any jurisdiction where the offer is not permitted. You should not assume that the information in this prospectus, any applicable prospectus supplement or free writing prospectus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 using a “shelf” registration process. Under this shelf registration process, the Selling Securityholders and their permitted transferees may, from time to time, offer and sell the securities described in this prospectus in one or more offerings. The Selling Securityholders may use the shelf registration statement to sell up to an aggregate of 22,832,920 shares of our Common Stock that were issued to the PIPE Investors in a private placement in connection with the closing of the Business Combination (as defined below) and to certain of our stockholders as consideration in connection with the Business Combination. The Selling Securityholders and their permitted transferees may use the shelf registration statement to sell such securities from time to time through any means described in the section entitled “P</w:t>
      </w:r>
      <w:r>
        <w:rPr>
          <w:rFonts w:ascii="Arial" w:cs="Arial" w:eastAsia="Arial" w:hAnsi="Arial"/>
          <w:sz w:val="18"/>
          <w:szCs w:val="18"/>
          <w:i w:val="1"/>
          <w:iCs w:val="1"/>
          <w:color w:val="auto"/>
        </w:rPr>
        <w:t>lan of Distribution</w:t>
      </w:r>
      <w:r>
        <w:rPr>
          <w:rFonts w:ascii="Arial" w:cs="Arial" w:eastAsia="Arial" w:hAnsi="Arial"/>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Common Stock being offered and the terms of the offering.</w:t>
      </w:r>
    </w:p>
    <w:p>
      <w:pPr>
        <w:spacing w:after="0" w:line="19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post-effective amendment or any related free writing prospectus. See “</w:t>
      </w:r>
      <w:r>
        <w:rPr>
          <w:rFonts w:ascii="Arial" w:cs="Arial" w:eastAsia="Arial" w:hAnsi="Arial"/>
          <w:sz w:val="18"/>
          <w:szCs w:val="18"/>
          <w:i w:val="1"/>
          <w:iCs w:val="1"/>
          <w:color w:val="auto"/>
        </w:rPr>
        <w:t>Where You Can Find More Informatio</w:t>
      </w:r>
      <w:r>
        <w:rPr>
          <w:rFonts w:ascii="Arial" w:cs="Arial" w:eastAsia="Arial" w:hAnsi="Arial"/>
          <w:sz w:val="18"/>
          <w:szCs w:val="18"/>
          <w:color w:val="auto"/>
        </w:rPr>
        <w:t>n.”</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Unless the context indicates otherwise references to “Gemini,” “we,” “us,” “our” and other similar terms refer to Gemini Therapeutics, Inc. and its consolidated subsidiaries after giving effect to the Business Combination (as defined herein) with FS Development Corporation (as defined herein) and to Old Gemini. as it existed prior to the Business Combination.</w:t>
      </w:r>
    </w:p>
    <w:p>
      <w:pPr>
        <w:spacing w:after="0" w:line="180" w:lineRule="exact"/>
        <w:rPr>
          <w:sz w:val="20"/>
          <w:szCs w:val="20"/>
          <w:color w:val="auto"/>
        </w:rPr>
      </w:pPr>
    </w:p>
    <w:p>
      <w:pPr>
        <w:ind w:left="120" w:right="240"/>
        <w:spacing w:after="0" w:line="277" w:lineRule="auto"/>
        <w:rPr>
          <w:sz w:val="20"/>
          <w:szCs w:val="20"/>
          <w:color w:val="auto"/>
        </w:rPr>
      </w:pPr>
      <w:r>
        <w:rPr>
          <w:rFonts w:ascii="Arial" w:cs="Arial" w:eastAsia="Arial" w:hAnsi="Arial"/>
          <w:sz w:val="17"/>
          <w:szCs w:val="17"/>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context indicates otherwise, the following terms have the following meanings when used in this prospectus: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business combination pursuant to the Merger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amended and restated bylaws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w:t>
      </w:r>
      <w:r>
        <w:rPr>
          <w:rFonts w:ascii="Arial" w:cs="Arial" w:eastAsia="Arial" w:hAnsi="Arial"/>
          <w:sz w:val="16"/>
          <w:szCs w:val="16"/>
          <w:color w:val="auto"/>
        </w:rPr>
        <w:t>” or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means the second amended and restated certificate of incorporation of Gemini dated February 5, 2021.</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w:t>
      </w:r>
      <w:r>
        <w:rPr>
          <w:rFonts w:ascii="Arial" w:cs="Arial" w:eastAsia="Arial" w:hAnsi="Arial"/>
          <w:sz w:val="18"/>
          <w:szCs w:val="18"/>
          <w:color w:val="auto"/>
        </w:rPr>
        <w:t>” means FS Development Corp., our predecessor.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 Investors</w:t>
      </w:r>
      <w:r>
        <w:rPr>
          <w:rFonts w:ascii="Arial" w:cs="Arial" w:eastAsia="Arial" w:hAnsi="Arial"/>
          <w:sz w:val="18"/>
          <w:szCs w:val="18"/>
          <w:color w:val="auto"/>
        </w:rPr>
        <w:t>” means the Sponsor, Robert Carey, Daniel Dubin and Deepka Pakianathan.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w:t>
      </w:r>
      <w:r>
        <w:rPr>
          <w:rFonts w:ascii="Arial" w:cs="Arial" w:eastAsia="Arial" w:hAnsi="Arial"/>
          <w:sz w:val="18"/>
          <w:szCs w:val="18"/>
          <w:color w:val="auto"/>
        </w:rPr>
        <w:t>” means Gemini Therapeutics, Inc. (f/k/a FS Development Corp.) following the Closing.</w:t>
      </w:r>
    </w:p>
    <w:p>
      <w:pPr>
        <w:spacing w:after="0" w:line="22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Gemini Investors</w:t>
      </w:r>
      <w:r>
        <w:rPr>
          <w:rFonts w:ascii="Arial" w:cs="Arial" w:eastAsia="Arial" w:hAnsi="Arial"/>
          <w:sz w:val="18"/>
          <w:szCs w:val="18"/>
          <w:color w:val="auto"/>
        </w:rPr>
        <w:t>” means Atlas Venture Fund X, L.P., Atlas Venture Opportunity Fund I, L.P., Lightstone Singapore L.P., Lightstone Ventures (A), L.P., Lightstone Ventures, L.P., OrbiMed Private Investments VI, LP and Wu Capital Investment LLC.</w:t>
      </w:r>
    </w:p>
    <w:p>
      <w:pPr>
        <w:spacing w:after="0" w:line="162" w:lineRule="exact"/>
        <w:rPr>
          <w:sz w:val="20"/>
          <w:szCs w:val="20"/>
          <w:color w:val="auto"/>
        </w:rPr>
      </w:pPr>
    </w:p>
    <w:p>
      <w:pPr>
        <w:ind w:left="120"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Merger Agreement, dated as of October 15, 2020, by and among FSDC, Merger Sub, Old Gemini and the Shareholders Representative.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FSG Merger Sub, Inc., a Delaware corporation and a wholly-owned subsidiary of FSDC.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Gemini</w:t>
      </w:r>
      <w:r>
        <w:rPr>
          <w:rFonts w:ascii="Arial" w:cs="Arial" w:eastAsia="Arial" w:hAnsi="Arial"/>
          <w:sz w:val="18"/>
          <w:szCs w:val="18"/>
          <w:color w:val="auto"/>
        </w:rPr>
        <w:t>” means Gemini Therapeutics Inc. prior to the Closing.</w:t>
      </w:r>
    </w:p>
    <w:p>
      <w:pPr>
        <w:spacing w:after="0" w:line="225" w:lineRule="exact"/>
        <w:rPr>
          <w:sz w:val="20"/>
          <w:szCs w:val="20"/>
          <w:color w:val="auto"/>
        </w:rPr>
      </w:pPr>
    </w:p>
    <w:p>
      <w:pPr>
        <w:ind w:left="120"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Financing</w:t>
      </w:r>
      <w:r>
        <w:rPr>
          <w:rFonts w:ascii="Arial" w:cs="Arial" w:eastAsia="Arial" w:hAnsi="Arial"/>
          <w:sz w:val="18"/>
          <w:szCs w:val="18"/>
          <w:color w:val="auto"/>
        </w:rPr>
        <w:t>” refers to the sale of 9,506,000 newly issued shares of Common Stock in a private placement concurrent with the Business Combination.</w:t>
      </w:r>
    </w:p>
    <w:p>
      <w:pPr>
        <w:spacing w:after="0" w:line="16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dated February 5, 2021 by and among Gemini, Old Gemini, the FSDC Investors and the Major Gemini Investors.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 or any successor organization.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Representative</w:t>
      </w:r>
      <w:r>
        <w:rPr>
          <w:rFonts w:ascii="Arial" w:cs="Arial" w:eastAsia="Arial" w:hAnsi="Arial"/>
          <w:sz w:val="18"/>
          <w:szCs w:val="18"/>
          <w:color w:val="auto"/>
        </w:rPr>
        <w:t>” means Shareholder Representative Services LLC.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FS Development Holdings, LLC.</w:t>
      </w:r>
    </w:p>
    <w:p>
      <w:pPr>
        <w:spacing w:after="0" w:line="225"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means the Subscription Agreement, dated October 15, 2020 by and among the investors named therein providing for the issuance by FSDC through the PIPE Financing.</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Our forward-looking statements include, but are not limited to, statements regarding our or our management team’s expectations, hopes, beliefs, intentions or strategies regarding the future financial performance, business strategies or expectations for our business. 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Specifically, forward-looking statements may include, but are not limited to, statements relating to or about:</w:t>
      </w:r>
    </w:p>
    <w:p>
      <w:pPr>
        <w:spacing w:after="0" w:line="84" w:lineRule="exact"/>
        <w:rPr>
          <w:sz w:val="20"/>
          <w:szCs w:val="20"/>
          <w:color w:val="auto"/>
        </w:rPr>
      </w:pPr>
    </w:p>
    <w:p>
      <w:pPr>
        <w:ind w:left="1080" w:right="5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and expectations regarding our strategic alternative review process and the timing and success of such process regarding a potential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of and costs associated with our restructuring, and the savings benefits we except to receive from the restructuring;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 in retaining, or changes required in, our officers, key employees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clinical trials and any available data therefrom to demonstrate acceptable safety and efficacy of our product candidates, including GEM103, our lead product candidate.</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progress and results of any clinical trials for GEM103 and our other product candidates, to the extent relevant, including statements regarding the timing of initiation and completion of studies or trials and related preparatory work,</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if any, will become available, and our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marketing approvals of our product candidates and to meet existing or future regulatory standards or comply with post-approval requirements, to the extent relevant;</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laws and government regulations;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industry;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financial and strategic alternatives teams;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profitability and, to the extent we continue to operate our business, the need for additional capital;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Other statements preceded by, followed by or that include the words “may,” “can,” “should,” “will,” “estimate,” “plan,” “project,” “forecast,” “intend,” “expect,” “anticipate,” “believe,” “seek,” “target” or similar expressions, or the negative of these terms, are intended to identify forward-looking statements, although not all forward-looking statements contain these identifying words.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Any or all forward-looking statements may turn out to be incorrect.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any strategic alternative process disrupts current plans and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any strategic alternative process or a potential strategic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strategic alternative process or a potential strategic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loss of key employees disrupts our operations and our ability achieve our plans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geopolitical, business, and/or competitive factors;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prospectus, including those under “</w:t>
      </w:r>
      <w:r>
        <w:rPr>
          <w:rFonts w:ascii="Arial" w:cs="Arial" w:eastAsia="Arial" w:hAnsi="Arial"/>
          <w:sz w:val="18"/>
          <w:szCs w:val="18"/>
          <w:i w:val="1"/>
          <w:iCs w:val="1"/>
          <w:color w:val="auto"/>
        </w:rPr>
        <w:t>Risk Factors</w:t>
      </w:r>
      <w:r>
        <w:rPr>
          <w:rFonts w:ascii="Arial" w:cs="Arial" w:eastAsia="Arial" w:hAnsi="Arial"/>
          <w:sz w:val="18"/>
          <w:szCs w:val="18"/>
          <w:color w:val="auto"/>
        </w:rPr>
        <w:t>” herein, and other filings that have been made or will be made with the SEC.</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Gemini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Gemini has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These risks and uncertainties include, but are not limited to, those factors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and the documents incorporated herein by reference.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or incorporated by reference in this prospectus. Before making your investment decision with respect to our securities, you should carefully read this entire prospectus, any applicable prospectus supplement or free writing prospectus and the documents referred to in the sections of this prospectus entitled “Where You Can Find More Information” and “Documents Incorporated by Reference”.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a clinical-stage precision medicine company that has to date been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7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February 2022, we announced a corporate restructuring and that we have initiated a process to evaluate strategic alternatives. We expect to devote substantial time and resources to exploring strategic alternatives that our Board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GEM103 has been evaluated in a single ascending dose Phase 1 clinical trial of CFH-variant related dry AMD patients. The findings in the Phase 1 clinical trial enabled the initiation of a Phase 2a trial evaluating multiple ascending doses in a genetically enriched patient population carrying mutation(s) in the gene for CFH and suffering from dry AMD. Based on initial data available from the ReGatta Phase 2a study and the Add-On to Anti-VEGF Therapy for the Treatment of Wet-AMD study, GEM103 continues to be generally well-tolerated in 510 intravitreal administrations and such preliminary data indicated rapid and sustained increased levels of CFH, supporting GEM103’s biological activity to regulate complement in GA patients as indicated by a reduction in complement biomarkers elevated in patients with AMD. In January 2022, we announced that we discontinued the ReGAtta study and the GEM103 as an Add-On to Anti-VEGF Therapy for the Treatment of Wet-AMD study.</w:t>
      </w:r>
    </w:p>
    <w:p>
      <w:pPr>
        <w:spacing w:after="0" w:line="17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are also working to advance a potentiating antibody for CFH, GEM307, that could be effective for treatment of systemic diseases, towards an investigational new drug filing.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To the extent we continue to pursue clinical development of GEM103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the FSDC initial public offering, (b) in which we have total annual gross revenue of at least $1.07 billion, or (c) in which we are deemed to be a “large accelerated filer” under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are also a “smaller reporting company” as defined in Rule 12b-2 of the Exchange Act.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comparison of our financial statements with other public companies difficult or impossible.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January 2022, the Company became a remote-first company. Accordingly, the Company does not currently maintain a physical headquarters. Our website address is https://geminitherapeutics.com/.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Shares of Common Stock offered by the Selling Securityholders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Ticker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-659130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22,832,920 shares</w:t>
      </w:r>
    </w:p>
    <w:p>
      <w:pPr>
        <w:spacing w:after="0" w:line="3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Common Stock: “GMTX”</w:t>
      </w:r>
    </w:p>
    <w:p>
      <w:pPr>
        <w:spacing w:after="0" w:line="15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3560" w:space="420"/>
            <w:col w:w="6880"/>
          </w:cols>
          <w:pgMar w:left="320" w:top="459"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An investment in our securities involves risks and uncertainties. Before making an investment decision, you should carefully consider these risks as well as other information we include or incorporate by reference in this prospectus. In particular, you should carefully consider the information under the heading “Risk Factors,” as well as the factors listed under the heading “Forward-Looking Statements,” in each case contained in our Annual Report on Form 10-K for our most recent fiscal year, in any Quarterly Reports on Form 10-Q that have been filed since our most recent Annual Report on Form 10-K and in any other documents that we file (not furnish) with the SEC under the Exchange Act, each of which is incorporated by reference in this prospectus. Any of the risks described could significantly and negatively affect our business, financial condition, results of operations, cash flows and prospects and the trading price of our securities. The risks and uncertainties identified are not the only risks and uncertainties we face. If any of the material risks or uncertainties that we face were to occur, you could lose part or all of your investment.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320" w:top="459" w:right="7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following summary of certain provisions of our securities does not purport to be complete and is subject to the Charter, the Bylaws and the provisions of applicable law. Copies of the Charter and the Bylaws are incorporated by reference to this prospectus as Exhibits 3.1 and 3.2,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Charter authorizes the issuance of 260,000,000 shares, consisting of 250,000,000 shares of Common Stock, $0.0001 par value per share, and 10,000,000 shares of preferred stock, $0.0001 par value. As of February 28, 2022, 43,208,159 shares of Common Stock and no shares of preferred stock are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Gemini’s directors and all other matters requiring stockholder action. Holders of Common Stock are entitled to one vote per share on matters to be voted on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Holders of Common Stock will be entitled to receive such dividends, if any, as may be declared from time to time by the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event of Gemini’s voluntary or involuntary liquidation, dissolution, distribution of assets or winding-up, the holders of the Common Stock will be entitled to receive an equal amount per share of all of Gemini’s assets of whatever kind available for distribution to stockholders, after the rights of the holders of the preferred stock have been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Gemini, diluting the voting power of the Common Stock, impairing the liquidation rights of the capital stock of Gemini, or delaying or preventing a change in control of Gemini.</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Subject to the rights of the holders of any series of preferred stock to elect additional directors under specified circumstances and the terms and conditions of the Voting Agreement, dated February 5, 2021, by and among us and the other parties thereto (the “Voting Agreement”), the number of directors of the Board shall be fixed solely and exclusively by resolution duly adopted from time to time by the Board.</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Under the Bylaws, at all meetings of stockholders called for the election of directors, a plurality of the votes properly cast is sufficient to elect such directors to the Board.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Except as the DGCL or the Voting Agreement may otherwise require and subject to the rights, if any, of the holders of any series of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Board,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 Subject to the rights, if any, of any series of preferred stock, any director may be removed from office only with cause and only by the affirmative vote of the holders of not less than two-thirds of the outstanding voting stock (as defined below) of Gemini then entitled to vote at an election of directors. Any such director proposed to be removed from office is entitled to advance written notice as described in the Certificate of Incorporation. Subject to the terms and conditions of the Voting Agreement, in case the Board or any one or more directors should be so removed, new directors may be elected at the same time for the unexpired portion of the full term of the director or directors so removed.</w:t>
      </w:r>
    </w:p>
    <w:p>
      <w:pPr>
        <w:spacing w:after="0" w:line="18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empowered to exercise all such powers and do all such acts and things as may be exercised or done by Gemini,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the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 things, the Charter and Bylaws:</w:t>
      </w:r>
    </w:p>
    <w:p>
      <w:pPr>
        <w:spacing w:after="0" w:line="131" w:lineRule="exact"/>
        <w:rPr>
          <w:sz w:val="20"/>
          <w:szCs w:val="20"/>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permit the Board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130"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w:t>
      </w:r>
      <w:r>
        <w:rPr>
          <w:rFonts w:ascii="Arial" w:cs="Arial" w:eastAsia="Arial" w:hAnsi="Arial"/>
          <w:sz w:val="13"/>
          <w:szCs w:val="13"/>
          <w:color w:val="auto"/>
        </w:rPr>
        <w:t>2/3</w:t>
      </w:r>
      <w:r>
        <w:rPr>
          <w:rFonts w:ascii="Arial" w:cs="Arial" w:eastAsia="Arial" w:hAnsi="Arial"/>
          <w:sz w:val="16"/>
          <w:szCs w:val="16"/>
          <w:color w:val="auto"/>
        </w:rPr>
        <w:t>% of all of our then-outstanding shares of the capital stock entitled to vote generally at an election of directors;</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Special Meetings of Gemini’s stockholders may be called by the Board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the Board is divided into three classes of directors, with the classes to be as nearly equal as possible, and with the directors serving three-year terms, therefore making it more difficult for stockholders to change the composition of our Board; and</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combination of these provisions will make it more difficult for the existing stockholders to replace the Board as well as for another party to obtain control of Gemini by replacing the Board. Because the Board has the power to retain and discharge its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our control.</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Gemini’s vulnerability to hostile takeovers and to discourage certain tactics that may be used in proxy fights. However, such provisions could have the effect of discouraging others from making tender offers for Gemini’s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have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Bylaws require, to the fullest extent permitted by law, unless Gemini consents in writing to the selection of an alternative forum, that derivative actions brought in the name of Gemini,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Gemini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Gemini by providing increased consistency in the application of Delaware law in the types of lawsuits to which it applies, the provision may have the effect of discouraging lawsuits against our directors and officers.</w:t>
      </w:r>
    </w:p>
    <w:p>
      <w:pPr>
        <w:spacing w:after="0" w:line="192"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In addition, the Bylaws require that, unless Gemini consents in writing to the selection of an alternative forum, the United States District Court for the District of Massachusetts shall be the sole and exclusive forum for resolving any action asserting a claim arising under the Securities Act. Gemini has chosen the United States District Court for the District of Massachusetts as the exclusive forum for such Securities Act causes of action.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Pursuant to Rule 144 of the Securities Act (“Rule 144”), a person who has beneficially owned restricted shares of our Common Stock for at least six months would be entitled to sell their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person is not deemed to have been one of our “affiliates” at the time of, or at any time during the three months preceding, a sale, (ii) we are subject to the Exchange Act periodic reporting requirements for at least 90 days before the sale and (iii) we have filed all required reports under Section 13 or 15(d) of the Exchange Act during the 12 months (or such shorter period as we were required to file reports) preceding the sale. After a one-year holding period, assuming we remain subject to the Exchange Act reporting requirements, such a person may sell their securities without regard to clause (iii) in the prior sentence.</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percent (1%) of the total number of shares of Common Stock then outstanding;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8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4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date of this prospectus, we believe the foregoing conditions have been met.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February 28, 2022:</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Gemini’s outstanding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Gemini’s current executive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executive officers and directors of Gemini as a group.</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of February 28, 2022. Unless otherwise indicated, Gemini believes that all persons named in the table have sole voting and investment power with respect to all Common Stock beneficially owned by them. The percentage of shares beneficially owned if based on 43,208,159 shares of Common Stock outstanding as of February 28, 2022.</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3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40" w:type="dxa"/>
            <w:vAlign w:val="bottom"/>
            <w:gridSpan w:val="2"/>
            <w:vMerge w:val="continue"/>
          </w:tcPr>
          <w:p>
            <w:pPr>
              <w:spacing w:after="0"/>
              <w:rPr>
                <w:sz w:val="15"/>
                <w:szCs w:val="15"/>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Shares</w:t>
            </w:r>
          </w:p>
        </w:tc>
        <w:tc>
          <w:tcPr>
            <w:tcW w:w="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and Officers:</w:t>
            </w:r>
          </w:p>
        </w:tc>
        <w:tc>
          <w:tcPr>
            <w:tcW w:w="45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Georges Gemayel(2)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11,367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Piekos(1)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138,407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Samuel Barone(2)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63,803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Gordon</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David Lubner(2)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52,676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Tuyen Ong(2)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Tananbaum(3)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4,870,250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(8 individuals)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5,182,484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FS Development Holdings, LLC(3)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4,870,250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5,826,224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Atlas Ventures(5)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5,254,365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Lightstone Ventures(6)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4,836,106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Fidelity(7)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2,789,500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Franklin Resources, Inc.(8)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2,512,773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Suvretta Capital Management, LLC(9)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2,372,267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3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shares currently held and shares of Common Stock that are currently exercisable or exercisable within 60 days of February 28, 2022.</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of Common Stock that are currently exercisable or exercisable within 60 days of February 28, 2022.</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FS Development Holdings, LLC is the record holder of 4,870,250 shares reported herein.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1"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5,189,187 shares held by OrbiMed Private Investments VI, LP.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w:t>
      </w:r>
    </w:p>
    <w:p>
      <w:pPr>
        <w:spacing w:after="0" w:line="2" w:lineRule="exact"/>
        <w:rPr>
          <w:rFonts w:ascii="Arial" w:cs="Arial" w:eastAsia="Arial" w:hAnsi="Arial"/>
          <w:sz w:val="18"/>
          <w:szCs w:val="18"/>
          <w:color w:val="auto"/>
        </w:rPr>
      </w:pPr>
    </w:p>
    <w:p>
      <w:pPr>
        <w:ind w:left="540" w:right="20" w:hanging="424"/>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3,533,927 shares held by Atlas Venture Fund X, L.P. (“Atlas Fund X”), 641,926 shares held by Atlas Venture Opportunity Fund I, L.P. (“Atlas Fund I”), and 510,000 shares held by Atlas Venture Fund XII, L.P. (“Atlas Fund XII”). Atlas Venture Associates X, L.P. is the general partner of Atlas Fund X, and Atlas Venture Associates X, LLC is the general partner of</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7" w:lineRule="exact"/>
        <w:rPr>
          <w:sz w:val="20"/>
          <w:szCs w:val="20"/>
          <w:color w:val="auto"/>
        </w:rPr>
      </w:pPr>
    </w:p>
    <w:p>
      <w:pPr>
        <w:ind w:left="540" w:hanging="424"/>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shares are owned as follows: (i) 2,422,995 by Lightstone Ventures, L.P. (“LV LP”), (ii) 336,099 by Lightstone Ventures (A), L.P. (“LV(A) LP”), and (iii) 1,501,438 by Lighstone Singapore, L.P. (“LV Singapore”).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ind w:left="540" w:right="20" w:hanging="424"/>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2" w:lineRule="exact"/>
        <w:rPr>
          <w:rFonts w:ascii="Arial" w:cs="Arial" w:eastAsia="Arial" w:hAnsi="Arial"/>
          <w:sz w:val="17"/>
          <w:szCs w:val="17"/>
          <w:color w:val="auto"/>
        </w:rPr>
      </w:pPr>
    </w:p>
    <w:p>
      <w:pPr>
        <w:ind w:left="540" w:right="120" w:hanging="424"/>
        <w:spacing w:after="0" w:line="28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the information included in the Schedule 13G filed by Franklin Resources, Inc (“Franklin”) on December 31, 2021, Charles B. Johnson (“Mr. Johnson”), Rupert H. Johnson, Jr. (“Mr. Johnson Jr.”), and Franklin Advisors, Inc. (“Franklin Advisors”). The address of Franklin,</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Johnson, Mr. Johnson Jr., and Franklin Advisors is One Franklin Parkway, San Mateo, California 94403.</w:t>
      </w:r>
    </w:p>
    <w:p>
      <w:pPr>
        <w:spacing w:after="0" w:line="9" w:lineRule="exact"/>
        <w:rPr>
          <w:rFonts w:ascii="Arial" w:cs="Arial" w:eastAsia="Arial" w:hAnsi="Arial"/>
          <w:sz w:val="16"/>
          <w:szCs w:val="16"/>
          <w:color w:val="auto"/>
        </w:rPr>
      </w:pPr>
    </w:p>
    <w:p>
      <w:pPr>
        <w:ind w:left="540" w:right="160" w:hanging="424"/>
        <w:spacing w:after="0" w:line="273"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the information included in the Schedule 13G filed by Suvretta Capital Management, LLC (“Suvretta”) on December 31, 2021, Averill Master Fund, Ltd. (“Averill”) and Aaron Cowen. The address of the principal business office of Suvretta and Mr. Cowen is c/o Suvretta Capital Management, LLC, 540 Madison Avenue, 7th Floor, New York, New York 10022. The address of the principal business office of Averill is c/o Maples Corporate Services Limited, P.O. Box 309, Ugland House, Grand Cayman KY1-1104, Cayman Islands.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relates to the resale by the Selling Securityholders from time to time of up to an aggregate of 22,832,920 shares of Common Stock that were issued to the PIPE Investors in the PIPE Financing and to certain of our stockholders as consideration in connection with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43,208,159 shares of Common Stock outstanding as of February 28, 2022.</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65" w:lineRule="exact"/>
        <w:rPr>
          <w:sz w:val="20"/>
          <w:szCs w:val="20"/>
          <w:color w:val="auto"/>
        </w:rPr>
      </w:pPr>
    </w:p>
    <w:p>
      <w:pPr>
        <w:ind w:left="120" w:right="560"/>
        <w:spacing w:after="0" w:line="279"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description of our relationships with certain of the Selling Securityholders and their affiliates set forth in the section of our Registration Statement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is incorporated by reference herein.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Being</w:t>
            </w:r>
          </w:p>
        </w:tc>
        <w:tc>
          <w:tcPr>
            <w:tcW w:w="18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Securities Beneficially</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Offered</w:t>
            </w: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 the</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 the</w:t>
            </w:r>
          </w:p>
        </w:tc>
        <w:tc>
          <w:tcPr>
            <w:tcW w:w="18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Owned After the Offered</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Offering</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Offering</w:t>
            </w:r>
          </w:p>
        </w:tc>
        <w:tc>
          <w:tcPr>
            <w:tcW w:w="1820" w:type="dxa"/>
            <w:vAlign w:val="bottom"/>
            <w:gridSpan w:val="4"/>
          </w:tcPr>
          <w:p>
            <w:pPr>
              <w:ind w:left="320"/>
              <w:spacing w:after="0"/>
              <w:rPr>
                <w:sz w:val="20"/>
                <w:szCs w:val="20"/>
                <w:color w:val="auto"/>
              </w:rPr>
            </w:pPr>
            <w:r>
              <w:rPr>
                <w:rFonts w:ascii="Arial" w:cs="Arial" w:eastAsia="Arial" w:hAnsi="Arial"/>
                <w:sz w:val="14"/>
                <w:szCs w:val="14"/>
                <w:b w:val="1"/>
                <w:bCs w:val="1"/>
                <w:color w:val="auto"/>
              </w:rPr>
              <w:t>Securities are Sold</w:t>
            </w: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Shares of</w:t>
            </w:r>
          </w:p>
        </w:tc>
        <w:tc>
          <w:tcPr>
            <w:tcW w:w="4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Shares of</w:t>
            </w:r>
          </w:p>
        </w:tc>
        <w:tc>
          <w:tcPr>
            <w:tcW w:w="420" w:type="dxa"/>
            <w:vAlign w:val="bottom"/>
          </w:tcPr>
          <w:p>
            <w:pPr>
              <w:spacing w:after="0"/>
              <w:rPr>
                <w:sz w:val="10"/>
                <w:szCs w:val="10"/>
                <w:color w:val="auto"/>
              </w:rPr>
            </w:pPr>
          </w:p>
        </w:tc>
        <w:tc>
          <w:tcPr>
            <w:tcW w:w="12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Shares of</w:t>
            </w: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Securityholder</w:t>
            </w:r>
          </w:p>
        </w:tc>
        <w:tc>
          <w:tcPr>
            <w:tcW w:w="12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Common</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Common</w:t>
            </w:r>
          </w:p>
        </w:tc>
        <w:tc>
          <w:tcPr>
            <w:tcW w:w="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Funds associated with Atlas Venture (1)</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5,254,365</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5,254,365</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FS Development Holdings, LLC (2)</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4,870,250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4,870,250</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associated with Lightstone Ventures (3)</w:t>
            </w: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4,836,106</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4,836,106</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OrbiMed Private Investments VI, L.P. (4)</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5,826,224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5,826,224</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Wu Capital Investment LLC (5)</w:t>
            </w: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2,045,975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2,045,975</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0" w:hanging="424"/>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4,015,045 shares held of record by Atlas Venture Fund X, L.P., (ii) 729,320 shares held of record by Atlas Venture Opportunity Fund I, L.P. and (iii) 510,000 shares of common stock purchased in the PIPE Financing held by Atlas Venture Fund XII, L.P. The address of funds associated with Atlas Venture is 300 Technology Sq., 8</w:t>
      </w:r>
      <w:r>
        <w:rPr>
          <w:rFonts w:ascii="Arial" w:cs="Arial" w:eastAsia="Arial" w:hAnsi="Arial"/>
          <w:sz w:val="15"/>
          <w:szCs w:val="15"/>
          <w:color w:val="auto"/>
        </w:rPr>
        <w:t>th</w:t>
      </w:r>
      <w:r>
        <w:rPr>
          <w:rFonts w:ascii="Arial" w:cs="Arial" w:eastAsia="Arial" w:hAnsi="Arial"/>
          <w:sz w:val="18"/>
          <w:szCs w:val="18"/>
          <w:color w:val="auto"/>
        </w:rPr>
        <w:t xml:space="preserve"> Floor, Cambridge, MA 02139.</w:t>
      </w:r>
    </w:p>
    <w:p>
      <w:pPr>
        <w:spacing w:after="0" w:line="2"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3,370,250 shares held of record and (ii) 1,500,000 shares of common stock purchased in the PIPE Financing. The address of FS Development Holdings, LLC is 600 Montgomery Street, Suite 4500, San Francisco, CA 94111.</w:t>
      </w:r>
    </w:p>
    <w:p>
      <w:pPr>
        <w:ind w:left="540" w:right="140" w:hanging="424"/>
        <w:spacing w:after="0" w:line="265"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(i) 2,752,868 shares held of record by Lightstone Ventures, L.P., (ii) 375,040 shares held of record by Lightstone Ventures (A), L.P., (iii) 1,308,198 shares held of record by Lightstone Singapore, L.P., (iv) 44,000 shares of common stock purchased in the PIPE Financing held by Lightstone Ventures, L.P., (v) 6,000 shares of common stock purchased in the PIPE Financing held by Lightstone Ventures (A), L.P. and (vi) 350,000 shares of common stock purchased in the PIPE Financing held by Lightstone Singapore, L.P. The address of funds associated with Lightstone Ventures is 500 Boylston St., Suite 1380, Boston, MA 02116.</w:t>
      </w:r>
    </w:p>
    <w:p>
      <w:pPr>
        <w:ind w:left="54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5,316,224 shares held of record and (ii) 510,000 shares of common stock purchased in the PIPE Financing. The address of OrbiMed Private Investments VI, L.P. is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540" w:right="400" w:hanging="424"/>
        <w:spacing w:after="0" w:line="26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1,905,975 shares held of record and (ii) 140,000 shares of common stock purchased in the PIPE Financing. The address of Wu Capital Investment LLC is 1065 East Hillsdale Blvd., Suite 245, Foster City, CA 94404.</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22,832,920 shares of our Common Stock that were issued to PIPE Investors in a private placement in connection with the Closing and to certain of our stockholders as consideration in connection with the Business Combination. We are also registering any additional securities that may become issuable by reason of share splits, share dividends or other similar transactions.</w:t>
      </w:r>
    </w:p>
    <w:p>
      <w:pPr>
        <w:spacing w:after="0" w:line="18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Subject to the limitations set forth the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Nasdaq under the symbol “GMTX”.</w:t>
      </w:r>
    </w:p>
    <w:p>
      <w:pPr>
        <w:spacing w:after="0" w:line="22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4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87"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have agreed to use our commercially reasonable efforts to maintain the effectiveness of this registration statement (a) until the earlier of (i) the tenth anniversary of the date of the Registration Rights Agreement, (ii) the date as of which (A) all of the securities have been sold pursuant to the registration statement or (B) the holders of all securities subject to the Registration Rights Agreement are permitted to sell the securities under Rule 144 (or any similar provision) under the Securities Act without limitation on the amount of securities sold or the manner of sale; provided that with respect to any investor party to the Registration Rights Agreement, such investor will have no rights under the Registration Rights Agreement upon the earlier of</w:t>
      </w:r>
    </w:p>
    <w:p>
      <w:pPr>
        <w:spacing w:after="0" w:line="2" w:lineRule="exact"/>
        <w:rPr>
          <w:sz w:val="20"/>
          <w:szCs w:val="20"/>
          <w:color w:val="auto"/>
        </w:rPr>
      </w:pPr>
    </w:p>
    <w:p>
      <w:pPr>
        <w:ind w:left="120" w:right="100" w:hanging="4"/>
        <w:spacing w:after="0" w:line="252"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such investor ceases to hold at least 1% of the securities pursuant to such Registration Rights Agreement or (y) if such investor is an individual and such investor is a director or an executive officer of Gemini as of immediately prior to the consummation of the Business Combination, the date when such investor is permitted to sell the securities under Rule 144 (or any similar provision) under the Securities Act without limitation on the amount of securities sold or the manner of sale and (b) with respect to the PIPE Investors, until the earliest of (i) the third anniversary of the closing of the Subscription Agreement, (ii) the date on which the investor ceases to hold any shares issued pursuant to the Subscription Agreement, or (iii) on the first date on which the investor can sell all of its shares issued pursuant to the Subscription Agreement under Rule 144 of the Securities Act without limitations.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The validity of the Common Stock to be issued in connection with this prospectus has been passed upon by Goodwin Procter LLP, Boston, Massachusetts.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of Gemini Therapeutics, Inc. appearing in Gemini Therapeutics, Inc.’s Annual Report (Form 10-K) for the year ended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internet at a website maintained by the SEC located at http://www.sec.gov.</w:t>
      </w:r>
    </w:p>
    <w:p>
      <w:pPr>
        <w:spacing w:after="0" w:line="170"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We also maintain a website at https://geminitherapeutics.com/.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that we file with the SEC, which means that we can disclose important information to you by referring you to those documents. The information incorporated by reference is considered to be part of this prospectus. We incorporate by reference into this prospectus the following documents, each for SEC File Number 333-253175, and in each case, excluding the portions of any document not deemed to be “filed” with the SEC:</w:t>
      </w:r>
    </w:p>
    <w:p>
      <w:pPr>
        <w:spacing w:after="0" w:line="92"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2021, filed with the SEC on </w:t>
      </w:r>
      <w:hyperlink r:id="rId43">
        <w:r>
          <w:rPr>
            <w:rFonts w:ascii="Arial" w:cs="Arial" w:eastAsia="Arial" w:hAnsi="Arial"/>
            <w:sz w:val="18"/>
            <w:szCs w:val="18"/>
            <w:u w:val="single" w:color="auto"/>
            <w:color w:val="0000EE"/>
          </w:rPr>
          <w:t>March 10, 2022</w:t>
        </w:r>
      </w:hyperlink>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4">
        <w:r>
          <w:rPr>
            <w:rFonts w:ascii="Arial" w:cs="Arial" w:eastAsia="Arial" w:hAnsi="Arial"/>
            <w:sz w:val="18"/>
            <w:szCs w:val="18"/>
            <w:u w:val="single" w:color="auto"/>
            <w:color w:val="0000EE"/>
          </w:rPr>
          <w:t>January 10, 2022</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January 14, 2022</w:t>
        </w:r>
      </w:hyperlink>
      <w:r>
        <w:rPr>
          <w:rFonts w:ascii="Arial" w:cs="Arial" w:eastAsia="Arial" w:hAnsi="Arial"/>
          <w:sz w:val="18"/>
          <w:szCs w:val="18"/>
          <w:color w:val="auto"/>
        </w:rPr>
        <w:t xml:space="preserve">, and </w:t>
      </w:r>
      <w:hyperlink r:id="rId46">
        <w:r>
          <w:rPr>
            <w:rFonts w:ascii="Arial" w:cs="Arial" w:eastAsia="Arial" w:hAnsi="Arial"/>
            <w:sz w:val="18"/>
            <w:szCs w:val="18"/>
            <w:u w:val="single" w:color="auto"/>
            <w:color w:val="0000EE"/>
          </w:rPr>
          <w:t>February 28, 2022</w:t>
        </w:r>
      </w:hyperlink>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47">
        <w:r>
          <w:rPr>
            <w:rFonts w:ascii="Arial" w:cs="Arial" w:eastAsia="Arial" w:hAnsi="Arial"/>
            <w:sz w:val="16"/>
            <w:szCs w:val="16"/>
            <w:u w:val="single" w:color="auto"/>
            <w:color w:val="0000EE"/>
          </w:rPr>
          <w:t>Form 8-A/A</w:t>
        </w:r>
      </w:hyperlink>
      <w:r>
        <w:rPr>
          <w:rFonts w:ascii="Arial" w:cs="Arial" w:eastAsia="Arial" w:hAnsi="Arial"/>
          <w:sz w:val="16"/>
          <w:szCs w:val="16"/>
          <w:color w:val="auto"/>
        </w:rPr>
        <w:t>, as filed with the SEC on February 5, 2021.</w:t>
      </w:r>
    </w:p>
    <w:p>
      <w:pPr>
        <w:spacing w:after="0" w:line="248" w:lineRule="exact"/>
        <w:rPr>
          <w:rFonts w:ascii="Arial" w:cs="Arial" w:eastAsia="Arial" w:hAnsi="Arial"/>
          <w:sz w:val="18"/>
          <w:szCs w:val="18"/>
          <w:color w:val="auto"/>
        </w:rPr>
      </w:pPr>
    </w:p>
    <w:p>
      <w:pPr>
        <w:ind w:left="120"/>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to constitute a part of this prospectus, except as so modified or superseded.</w:t>
      </w:r>
    </w:p>
    <w:p>
      <w:pPr>
        <w:spacing w:after="0" w:line="19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obtain copies of these documents, at no cost to you, from our website (https://geminitherapeutics.com/).</w:t>
      </w:r>
    </w:p>
    <w:p>
      <w:pPr>
        <w:spacing w:after="0" w:line="158" w:lineRule="exact"/>
        <w:rPr>
          <w:rFonts w:ascii="Arial" w:cs="Arial" w:eastAsia="Arial" w:hAnsi="Arial"/>
          <w:sz w:val="18"/>
          <w:szCs w:val="18"/>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205740</wp:posOffset>
            </wp:positionV>
            <wp:extent cx="1791335" cy="1114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7913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22,832,920 Shares of Common Stock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10, 2022</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You should rely only on the information contained in this prospectus. We have not authorized anyone to provide</w:t>
      </w:r>
    </w:p>
    <w:p>
      <w:pPr>
        <w:spacing w:after="0" w:line="23" w:lineRule="exact"/>
        <w:rPr>
          <w:sz w:val="20"/>
          <w:szCs w:val="20"/>
          <w:color w:val="auto"/>
        </w:rPr>
      </w:pPr>
    </w:p>
    <w:p>
      <w:pPr>
        <w:jc w:val="center"/>
        <w:ind w:left="440" w:right="1400"/>
        <w:spacing w:after="0" w:line="255" w:lineRule="auto"/>
        <w:rPr>
          <w:sz w:val="20"/>
          <w:szCs w:val="20"/>
          <w:color w:val="auto"/>
        </w:rPr>
      </w:pPr>
      <w:r>
        <w:rPr>
          <w:rFonts w:ascii="Arial" w:cs="Arial" w:eastAsia="Arial" w:hAnsi="Arial"/>
          <w:sz w:val="18"/>
          <w:szCs w:val="18"/>
          <w:b w:val="1"/>
          <w:bCs w:val="1"/>
          <w:i w:val="1"/>
          <w:iCs w:val="1"/>
          <w:color w:val="auto"/>
        </w:rPr>
        <w:t>you with different information. You should not assume that the information contained in this prospectus is accurate as of any date other than the date of this prospectus. We are not making an offer of these securities in any state where the offer is not permitted.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2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The expenses payable by Gemini in connection with the distribution of the securities being registered (other than underwriting discounts and commissions, if any) are set forth below. Each item listed is estimated, except for the SEC registration fee.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74,000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paid.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Certificate of Incorporation, which became effective upon completion of the Business Combination, provides that no director of ours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the DGCL is amended to authorize the further elimination or limitation of the liability of directors, then the liability of a director of ours shall be eliminated or limited to the fullest extent permitted by the DGCL, as so amended.</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Indemnitees in connection with a legal proceeding, subject to limited exceptions.</w:t>
      </w:r>
    </w:p>
    <w:p>
      <w:pPr>
        <w:spacing w:after="0" w:line="16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our Bylaws.</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will also maintain a general liability insurance policy, which will cover certain liabilities of directors and officers of ours arising out of claims based on acts or omissions in their capacities as directors or officers.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Exhibits</w:t>
      </w:r>
      <w:r>
        <w:rPr>
          <w:rFonts w:ascii="Arial" w:cs="Arial" w:eastAsia="Arial" w:hAnsi="Arial"/>
          <w:sz w:val="16"/>
          <w:szCs w:val="16"/>
          <w:b w:val="1"/>
          <w:b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Index to Exhibits immediately following this registration statement is hereby incorporated by reference.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hanging="532"/>
        <w:spacing w:after="0" w:line="254"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21" w:lineRule="exact"/>
        <w:rPr>
          <w:rFonts w:ascii="Arial" w:cs="Arial" w:eastAsia="Arial" w:hAnsi="Arial"/>
          <w:sz w:val="18"/>
          <w:szCs w:val="18"/>
          <w:color w:val="auto"/>
        </w:rPr>
      </w:pPr>
    </w:p>
    <w:p>
      <w:pPr>
        <w:ind w:left="1080" w:right="300" w:hanging="532"/>
        <w:spacing w:after="0" w:line="277"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080" w:hanging="532"/>
        <w:spacing w:after="0" w:line="269" w:lineRule="auto"/>
        <w:tabs>
          <w:tab w:leader="none" w:pos="10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5" w:lineRule="exact"/>
        <w:rPr>
          <w:sz w:val="20"/>
          <w:szCs w:val="20"/>
          <w:color w:val="auto"/>
        </w:rPr>
      </w:pPr>
    </w:p>
    <w:p>
      <w:pPr>
        <w:ind w:left="5540" w:right="220" w:hanging="4992"/>
        <w:spacing w:after="0" w:line="449" w:lineRule="auto"/>
        <w:tabs>
          <w:tab w:leader="none" w:pos="10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30</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rFonts w:ascii="Arial" w:cs="Arial" w:eastAsia="Arial" w:hAnsi="Arial"/>
          <w:sz w:val="18"/>
          <w:szCs w:val="18"/>
          <w:color w:val="auto"/>
        </w:rPr>
      </w:pPr>
    </w:p>
    <w:p>
      <w:pPr>
        <w:ind w:left="540" w:right="20" w:hanging="424"/>
        <w:spacing w:after="0" w:line="30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exhibits are included or incorporated by reference in this registration statement on Form S-3 (certain documents have been previously filed with the SEC pursuant to the Exchange Act by Gemini (Commission File Number 333-253175)):</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40" w:type="dxa"/>
            <w:vAlign w:val="bottom"/>
            <w:gridSpan w:val="8"/>
            <w:vMerge w:val="restart"/>
          </w:tcPr>
          <w:p>
            <w:pPr>
              <w:ind w:left="10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1.1*</w:t>
            </w:r>
          </w:p>
        </w:tc>
        <w:tc>
          <w:tcPr>
            <w:tcW w:w="998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Second Amended and Restated Articles of Incorporation of Gemini Therapeutics, Inc. (incorporated by reference to Exhibit 3.1 to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5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Report on Form 8-K filed on February 11, 2021).</w:t>
              </w:r>
            </w:hyperlink>
          </w:p>
        </w:tc>
        <w:tc>
          <w:tcPr>
            <w:tcW w:w="6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9940" w:type="dxa"/>
            <w:vAlign w:val="bottom"/>
            <w:tcBorders>
              <w:bottom w:val="single" w:sz="8" w:color="0000EE"/>
            </w:tcBorders>
            <w:gridSpan w:val="9"/>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Amended and Restated Bylaws of Gemini Therapeutics, Inc. (incorporated by reference to Annex C to the Proxy Statement/Prospectus 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Form S-4 (Registration No. 333-249785)).</w:t>
              </w:r>
            </w:hyperlink>
          </w:p>
        </w:tc>
        <w:tc>
          <w:tcPr>
            <w:tcW w:w="6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9560" w:type="dxa"/>
            <w:vAlign w:val="bottom"/>
            <w:tcBorders>
              <w:bottom w:val="single" w:sz="8" w:color="0000EE"/>
            </w:tcBorders>
            <w:gridSpan w:val="8"/>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Registration Rights Agreement, dated February 5, 2021, by and among Gemini Therapeutics, Inc. and the stockholders party thereto</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(incorporated by reference to Exhibit 10.1 on Form 8-A12B/A filed on February 5, 2021).</w:t>
              </w:r>
            </w:hyperlink>
          </w:p>
        </w:tc>
        <w:tc>
          <w:tcPr>
            <w:tcW w:w="3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998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998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Consent of Ernst &amp; Young LLP, independent registered accounting firm for Gemini Therapeutics, Inc.</w:t>
              </w:r>
            </w:hyperlink>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734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Consent of Goodwin Procter LLP (include as part of Exhibit 5.1).</w:t>
              </w:r>
            </w:hyperlink>
          </w:p>
        </w:tc>
        <w:tc>
          <w:tcPr>
            <w:tcW w:w="2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998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Power of Attorney (included on signature page of this Registration Statement).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340" w:right="120" w:hanging="224"/>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Pursuant to the requirements of the Securities Act of 1933, Gemini Therapeutics, Inc. certifies that it has reasonable grounds to believe that it meets all of the requirements for filing on Form S-3 and has duly caused this registration statement to be signed on its behalf by the undersigned, thereunto duly authorized, in March on 10, 2022.</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Georges Gemayel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Each of the undersigned, whose signature appears below, hereby constitutes and appoints Dr. Georges Gemayel, and each of them, his or her true and lawful attorney-in-fact and agent, with full power of substitution and resubstitution, for him or her and in his or her name, place and stead, in any and all capacities, to sign any or all amendments, including post-effective amendments and any registration statement for the same offering that is to be effective under Rule 462(b) of the Securities Act of 1933, as amended,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this registration statement or any amendments hereto in the premises, as fully to all intents and purposes as he or she might or could do in person, hereby ratifying and confirming all that said attorneys-in-fact and agents, or any of them, or his or their substitute or substitutes, may lawfully do or cause to be done by virtue thereof. This power of attorney shall be governed by and construed with the laws of the State of Delaware and applicable federal securities laws.</w:t>
      </w:r>
    </w:p>
    <w:p>
      <w:pPr>
        <w:spacing w:after="0" w:line="16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Georges Gemayel</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Chair, Interim Principal</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Georges Gemayel</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Piekos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 Financial and Principal</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Brian Piekos</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Jim Tananbaum</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Gordon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Carl Gordon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Lubner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Lubner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Tuyen Ong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Tuyen Ong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Rhodes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Jason Rhodes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4"/>
        </w:trPr>
        <w:tc>
          <w:tcPr>
            <w:tcW w:w="4180" w:type="dxa"/>
            <w:vAlign w:val="bottom"/>
          </w:tcPr>
          <w:p>
            <w:pPr>
              <w:spacing w:after="0"/>
              <w:rPr>
                <w:sz w:val="24"/>
                <w:szCs w:val="24"/>
                <w:color w:val="auto"/>
              </w:rPr>
            </w:pPr>
          </w:p>
        </w:tc>
        <w:tc>
          <w:tcPr>
            <w:tcW w:w="4960" w:type="dxa"/>
            <w:vAlign w:val="bottom"/>
            <w:gridSpan w:val="2"/>
          </w:tcPr>
          <w:p>
            <w:pPr>
              <w:jc w:val="right"/>
              <w:ind w:right="345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5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you in connection with your filing of a Registration Statement on Form S-3 (as amended or supplemented,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offer and sale from time to time of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22,832,920 shares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Gemini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$0.0001 par value per share, which includes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22,832,920 shares of Common Stock (the “</w:t>
      </w:r>
      <w:r>
        <w:rPr>
          <w:rFonts w:ascii="Arial" w:cs="Arial" w:eastAsia="Arial" w:hAnsi="Arial"/>
          <w:sz w:val="16"/>
          <w:szCs w:val="16"/>
          <w:u w:val="single" w:color="auto"/>
          <w:color w:val="auto"/>
        </w:rPr>
        <w:t>Selling Securityholder Shares</w:t>
      </w:r>
      <w:r>
        <w:rPr>
          <w:rFonts w:ascii="Arial" w:cs="Arial" w:eastAsia="Arial" w:hAnsi="Arial"/>
          <w:sz w:val="16"/>
          <w:szCs w:val="16"/>
          <w:color w:val="auto"/>
        </w:rPr>
        <w:t>”) to be sold by the selling securityholders listed in the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“Selling Securityholders” (the “</w:t>
      </w:r>
      <w:r>
        <w:rPr>
          <w:rFonts w:ascii="Arial" w:cs="Arial" w:eastAsia="Arial" w:hAnsi="Arial"/>
          <w:sz w:val="18"/>
          <w:szCs w:val="18"/>
          <w:u w:val="single" w:color="auto"/>
          <w:color w:val="auto"/>
        </w:rPr>
        <w:t>Selling Securityholders</w:t>
      </w:r>
      <w:r>
        <w:rPr>
          <w:rFonts w:ascii="Arial" w:cs="Arial" w:eastAsia="Arial" w:hAnsi="Arial"/>
          <w:sz w:val="18"/>
          <w:szCs w:val="18"/>
          <w:color w:val="auto"/>
        </w:rPr>
        <w:t>”).</w:t>
      </w:r>
    </w:p>
    <w:p>
      <w:pPr>
        <w:spacing w:after="0" w:line="21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Based on the foregoing, we are of the opinion that the Selling Securityholder Shares have been duly authorized and validly issued and are fully paid and non-assessable.</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Gemini Therapeutics, Inc. and to the incorporation by reference therein of our report dated March 10, 2022, with respect to the consolidated financial statements of Gemini Therapeutics, Inc. included in its Annual Report (Form 10-K) for the year ended December 31, 2021,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6"/>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Roman"/>
      <w:start w:val="10"/>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upperLetter"/>
      <w:start w:val="1"/>
    </w:lvl>
    <w:lvl w:ilvl="1">
      <w:lvlJc w:val="left"/>
      <w:lvlText w:val="(%2)"/>
      <w:numFmt w:val="lowerRoman"/>
      <w:start w:val="1"/>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upperLetter"/>
      <w:start w:val="1"/>
    </w:lvl>
    <w:lvl w:ilvl="1">
      <w:lvlJc w:val="left"/>
      <w:lvlText w:val="(%2)"/>
      <w:numFmt w:val="lowerRoman"/>
      <w:start w:val="2"/>
    </w:lvl>
  </w:abstractNum>
  <w:abstractNum w:abstractNumId="21">
    <w:nsid w:val="2443A858"/>
    <w:multiLevelType w:val="hybridMultilevel"/>
    <w:lvl w:ilvl="0">
      <w:lvlJc w:val="left"/>
      <w:lvlText w:val="%1."/>
      <w:numFmt w:val="upperLetter"/>
      <w:start w:val="6"/>
    </w:lvl>
    <w:lvl w:ilvl="1">
      <w:lvlJc w:val="left"/>
      <w:lvlText w:val="%2"/>
      <w:numFmt w:val="lowerRoman"/>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jpe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43" Type="http://schemas.openxmlformats.org/officeDocument/2006/relationships/hyperlink" Target="http://www.sec.gov/ix?doc=/Archives/edgar/data/1816736/000095017022003288/gmtx-20211231.htm" TargetMode="External"/><Relationship Id="rId44" Type="http://schemas.openxmlformats.org/officeDocument/2006/relationships/hyperlink" Target="http://www.sec.gov/ix?doc=/Archives/edgar/data/1816736/000119312522005115/d291571d8k.htm" TargetMode="External"/><Relationship Id="rId45" Type="http://schemas.openxmlformats.org/officeDocument/2006/relationships/hyperlink" Target="http://www.sec.gov/ix?doc=/Archives/edgar/data/1816736/000119312522009374/d237658d8k.htm" TargetMode="External"/><Relationship Id="rId46" Type="http://schemas.openxmlformats.org/officeDocument/2006/relationships/hyperlink" Target="http://www.sec.gov/ix?doc=/Archives/edgar/data/1816736/000119312522055899/d29362d8k.htm" TargetMode="External"/><Relationship Id="rId47" Type="http://schemas.openxmlformats.org/officeDocument/2006/relationships/hyperlink" Target="http://www.sec.gov/Archives/edgar/data/1816736/000121390021007091/ea134758-8a12ba1_gemini.htm" TargetMode="External"/><Relationship Id="rId54" Type="http://schemas.openxmlformats.org/officeDocument/2006/relationships/hyperlink" Target="http://www.sec.gov/Archives/edgar/data/1816736/000121390021008478/ea135023ex3-1_gemini.htm" TargetMode="External"/><Relationship Id="rId55" Type="http://schemas.openxmlformats.org/officeDocument/2006/relationships/hyperlink" Target="http://www.sec.gov/Archives/edgar/data/1816736/000121390020034347/fs42020_geminifsdevcorp.htm#T53" TargetMode="External"/><Relationship Id="rId56"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2022-03-10T06:33:16Z</dcterms:created>
  <dcterms:modified xsi:type="dcterms:W3CDTF">2022-03-10T06:33:16Z</dcterms:modified>
</cp:coreProperties>
</file>