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As filed with the Securities and Exchange Commission on January 17, 2023</w:t>
      </w:r>
    </w:p>
    <w:p>
      <w:pPr>
        <w:spacing w:after="0" w:line="10" w:lineRule="exact"/>
        <w:rPr>
          <w:sz w:val="24"/>
          <w:szCs w:val="24"/>
          <w:color w:val="auto"/>
        </w:rPr>
      </w:pPr>
    </w:p>
    <w:p>
      <w:pPr>
        <w:ind w:left="9140"/>
        <w:spacing w:after="0"/>
        <w:rPr>
          <w:sz w:val="20"/>
          <w:szCs w:val="20"/>
          <w:color w:val="auto"/>
        </w:rPr>
      </w:pPr>
      <w:r>
        <w:rPr>
          <w:rFonts w:ascii="Times New Roman" w:cs="Times New Roman" w:eastAsia="Times New Roman" w:hAnsi="Times New Roman"/>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36830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Form S-3</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DISC MEDICINE, INC.</w:t>
      </w:r>
    </w:p>
    <w:p>
      <w:pPr>
        <w:spacing w:after="0" w:line="4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88265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1" w:lineRule="exact"/>
        <w:rPr>
          <w:sz w:val="24"/>
          <w:szCs w:val="24"/>
          <w:color w:val="auto"/>
        </w:rPr>
      </w:pPr>
    </w:p>
    <w:tbl>
      <w:tblPr>
        <w:tblLayout w:type="fixed"/>
        <w:tblInd w:w="2080" w:type="dxa"/>
        <w:tblCellMar>
          <w:top w:w="0" w:type="dxa"/>
          <w:left w:w="0" w:type="dxa"/>
          <w:bottom w:w="0" w:type="dxa"/>
          <w:right w:w="0" w:type="dxa"/>
        </w:tblCellMar>
      </w:tblPr>
      <w:tr>
        <w:trPr>
          <w:trHeight w:val="161"/>
        </w:trPr>
        <w:tc>
          <w:tcPr>
            <w:tcW w:w="3700" w:type="dxa"/>
            <w:vAlign w:val="bottom"/>
          </w:tcPr>
          <w:p>
            <w:pPr>
              <w:jc w:val="center"/>
              <w:ind w:right="2014"/>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300" w:type="dxa"/>
            <w:vAlign w:val="bottom"/>
          </w:tcPr>
          <w:p>
            <w:pPr>
              <w:jc w:val="center"/>
              <w:ind w:left="1994"/>
              <w:spacing w:after="0"/>
              <w:rPr>
                <w:sz w:val="20"/>
                <w:szCs w:val="20"/>
                <w:color w:val="auto"/>
              </w:rPr>
            </w:pPr>
            <w:r>
              <w:rPr>
                <w:rFonts w:ascii="Times New Roman" w:cs="Times New Roman" w:eastAsia="Times New Roman" w:hAnsi="Times New Roman"/>
                <w:sz w:val="14"/>
                <w:szCs w:val="14"/>
                <w:b w:val="1"/>
                <w:bCs w:val="1"/>
                <w:color w:val="auto"/>
              </w:rPr>
              <w:t>82-3220679</w:t>
            </w:r>
          </w:p>
        </w:tc>
      </w:tr>
      <w:tr>
        <w:trPr>
          <w:trHeight w:val="135"/>
        </w:trPr>
        <w:tc>
          <w:tcPr>
            <w:tcW w:w="3700" w:type="dxa"/>
            <w:vAlign w:val="bottom"/>
          </w:tcPr>
          <w:p>
            <w:pPr>
              <w:jc w:val="center"/>
              <w:ind w:right="1994"/>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3300" w:type="dxa"/>
            <w:vAlign w:val="bottom"/>
          </w:tcPr>
          <w:p>
            <w:pPr>
              <w:jc w:val="center"/>
              <w:ind w:left="1994"/>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3700" w:type="dxa"/>
            <w:vAlign w:val="bottom"/>
          </w:tcPr>
          <w:p>
            <w:pPr>
              <w:jc w:val="center"/>
              <w:ind w:right="199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300" w:type="dxa"/>
            <w:vAlign w:val="bottom"/>
          </w:tcPr>
          <w:p>
            <w:pPr>
              <w:jc w:val="center"/>
              <w:ind w:left="1994"/>
              <w:spacing w:after="0"/>
              <w:rPr>
                <w:sz w:val="20"/>
                <w:szCs w:val="20"/>
                <w:color w:val="auto"/>
              </w:rPr>
            </w:pPr>
            <w:r>
              <w:rPr>
                <w:rFonts w:ascii="Times New Roman" w:cs="Times New Roman" w:eastAsia="Times New Roman" w:hAnsi="Times New Roman"/>
                <w:sz w:val="13"/>
                <w:szCs w:val="13"/>
                <w:b w:val="1"/>
                <w:bCs w:val="1"/>
                <w:color w:val="auto"/>
                <w:w w:val="96"/>
              </w:rPr>
              <w:t>Identification Number)</w:t>
            </w:r>
          </w:p>
        </w:tc>
      </w:tr>
    </w:tbl>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321 Arsenal Street, Suite 101</w:t>
      </w:r>
    </w:p>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Watertown, MA 02472</w:t>
      </w:r>
    </w:p>
    <w:p>
      <w:pPr>
        <w:jc w:val="center"/>
        <w:ind w:right="-179"/>
        <w:spacing w:after="0" w:line="221" w:lineRule="auto"/>
        <w:rPr>
          <w:sz w:val="20"/>
          <w:szCs w:val="20"/>
          <w:color w:val="auto"/>
        </w:rPr>
      </w:pPr>
      <w:r>
        <w:rPr>
          <w:rFonts w:ascii="Times New Roman" w:cs="Times New Roman" w:eastAsia="Times New Roman" w:hAnsi="Times New Roman"/>
          <w:sz w:val="15"/>
          <w:szCs w:val="15"/>
          <w:b w:val="1"/>
          <w:bCs w:val="1"/>
          <w:color w:val="auto"/>
        </w:rPr>
        <w:t>(617) 674-9274</w:t>
      </w:r>
    </w:p>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87630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John Quisel, J.D., Ph.D.</w:t>
      </w:r>
    </w:p>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Chief Executive Officer</w:t>
      </w:r>
    </w:p>
    <w:p>
      <w:pPr>
        <w:jc w:val="center"/>
        <w:ind w:right="-179"/>
        <w:spacing w:after="0" w:line="225" w:lineRule="auto"/>
        <w:rPr>
          <w:sz w:val="20"/>
          <w:szCs w:val="20"/>
          <w:color w:val="auto"/>
        </w:rPr>
      </w:pPr>
      <w:r>
        <w:rPr>
          <w:rFonts w:ascii="Times New Roman" w:cs="Times New Roman" w:eastAsia="Times New Roman" w:hAnsi="Times New Roman"/>
          <w:sz w:val="15"/>
          <w:szCs w:val="15"/>
          <w:b w:val="1"/>
          <w:bCs w:val="1"/>
          <w:color w:val="auto"/>
        </w:rPr>
        <w:t>Disc Medicine, Inc.</w:t>
      </w:r>
    </w:p>
    <w:p>
      <w:pPr>
        <w:jc w:val="center"/>
        <w:ind w:right="-179"/>
        <w:spacing w:after="0" w:line="225" w:lineRule="auto"/>
        <w:rPr>
          <w:sz w:val="20"/>
          <w:szCs w:val="20"/>
          <w:color w:val="auto"/>
        </w:rPr>
      </w:pPr>
      <w:r>
        <w:rPr>
          <w:rFonts w:ascii="Times New Roman" w:cs="Times New Roman" w:eastAsia="Times New Roman" w:hAnsi="Times New Roman"/>
          <w:sz w:val="15"/>
          <w:szCs w:val="15"/>
          <w:b w:val="1"/>
          <w:bCs w:val="1"/>
          <w:color w:val="auto"/>
        </w:rPr>
        <w:t>321 Arsenal Street, Suite 101</w:t>
      </w:r>
    </w:p>
    <w:p>
      <w:pPr>
        <w:jc w:val="center"/>
        <w:ind w:right="-179"/>
        <w:spacing w:after="0" w:line="226" w:lineRule="auto"/>
        <w:rPr>
          <w:sz w:val="20"/>
          <w:szCs w:val="20"/>
          <w:color w:val="auto"/>
        </w:rPr>
      </w:pPr>
      <w:r>
        <w:rPr>
          <w:rFonts w:ascii="Times New Roman" w:cs="Times New Roman" w:eastAsia="Times New Roman" w:hAnsi="Times New Roman"/>
          <w:sz w:val="15"/>
          <w:szCs w:val="15"/>
          <w:b w:val="1"/>
          <w:bCs w:val="1"/>
          <w:color w:val="auto"/>
        </w:rPr>
        <w:t>Watertown, MA 02472</w:t>
      </w:r>
    </w:p>
    <w:p>
      <w:pPr>
        <w:jc w:val="center"/>
        <w:ind w:right="-179"/>
        <w:spacing w:after="0" w:line="221" w:lineRule="auto"/>
        <w:rPr>
          <w:sz w:val="20"/>
          <w:szCs w:val="20"/>
          <w:color w:val="auto"/>
        </w:rPr>
      </w:pPr>
      <w:r>
        <w:rPr>
          <w:rFonts w:ascii="Times New Roman" w:cs="Times New Roman" w:eastAsia="Times New Roman" w:hAnsi="Times New Roman"/>
          <w:sz w:val="15"/>
          <w:szCs w:val="15"/>
          <w:b w:val="1"/>
          <w:bCs w:val="1"/>
          <w:color w:val="auto"/>
        </w:rPr>
        <w:t>(617) 674-9274</w:t>
      </w:r>
    </w:p>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96520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6" w:lineRule="exact"/>
        <w:rPr>
          <w:sz w:val="24"/>
          <w:szCs w:val="24"/>
          <w:color w:val="auto"/>
        </w:rPr>
      </w:pPr>
    </w:p>
    <w:tbl>
      <w:tblPr>
        <w:tblLayout w:type="fixed"/>
        <w:tblInd w:w="2060" w:type="dxa"/>
        <w:tblCellMar>
          <w:top w:w="0" w:type="dxa"/>
          <w:left w:w="0" w:type="dxa"/>
          <w:bottom w:w="0" w:type="dxa"/>
          <w:right w:w="0" w:type="dxa"/>
        </w:tblCellMar>
      </w:tblPr>
      <w:tr>
        <w:trPr>
          <w:trHeight w:val="192"/>
        </w:trPr>
        <w:tc>
          <w:tcPr>
            <w:tcW w:w="2480" w:type="dxa"/>
            <w:vAlign w:val="bottom"/>
          </w:tcPr>
          <w:p>
            <w:pPr>
              <w:spacing w:after="0"/>
              <w:rPr>
                <w:sz w:val="16"/>
                <w:szCs w:val="16"/>
                <w:color w:val="auto"/>
              </w:rPr>
            </w:pPr>
          </w:p>
        </w:tc>
        <w:tc>
          <w:tcPr>
            <w:tcW w:w="4860" w:type="dxa"/>
            <w:vAlign w:val="bottom"/>
          </w:tcPr>
          <w:p>
            <w:pPr>
              <w:ind w:left="78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r>
      <w:tr>
        <w:trPr>
          <w:trHeight w:val="164"/>
        </w:trPr>
        <w:tc>
          <w:tcPr>
            <w:tcW w:w="2480" w:type="dxa"/>
            <w:vAlign w:val="bottom"/>
          </w:tcPr>
          <w:p>
            <w:pPr>
              <w:jc w:val="center"/>
              <w:ind w:right="724"/>
              <w:spacing w:after="0" w:line="164" w:lineRule="exact"/>
              <w:rPr>
                <w:sz w:val="20"/>
                <w:szCs w:val="20"/>
                <w:color w:val="auto"/>
              </w:rPr>
            </w:pPr>
            <w:r>
              <w:rPr>
                <w:rFonts w:ascii="Times New Roman" w:cs="Times New Roman" w:eastAsia="Times New Roman" w:hAnsi="Times New Roman"/>
                <w:sz w:val="15"/>
                <w:szCs w:val="15"/>
                <w:b w:val="1"/>
                <w:bCs w:val="1"/>
                <w:color w:val="auto"/>
              </w:rPr>
              <w:t>William D. Collins, Esq.</w:t>
            </w:r>
          </w:p>
        </w:tc>
        <w:tc>
          <w:tcPr>
            <w:tcW w:w="4860" w:type="dxa"/>
            <w:vAlign w:val="bottom"/>
          </w:tcPr>
          <w:p>
            <w:pPr>
              <w:jc w:val="center"/>
              <w:ind w:left="2904"/>
              <w:spacing w:after="0" w:line="164" w:lineRule="exact"/>
              <w:rPr>
                <w:sz w:val="20"/>
                <w:szCs w:val="20"/>
                <w:color w:val="auto"/>
              </w:rPr>
            </w:pPr>
            <w:r>
              <w:rPr>
                <w:rFonts w:ascii="Times New Roman" w:cs="Times New Roman" w:eastAsia="Times New Roman" w:hAnsi="Times New Roman"/>
                <w:sz w:val="15"/>
                <w:szCs w:val="15"/>
                <w:b w:val="1"/>
                <w:bCs w:val="1"/>
                <w:color w:val="auto"/>
              </w:rPr>
              <w:t>Rahul Khara</w:t>
            </w:r>
          </w:p>
        </w:tc>
      </w:tr>
      <w:tr>
        <w:trPr>
          <w:trHeight w:val="162"/>
        </w:trPr>
        <w:tc>
          <w:tcPr>
            <w:tcW w:w="2480" w:type="dxa"/>
            <w:vAlign w:val="bottom"/>
          </w:tcPr>
          <w:p>
            <w:pPr>
              <w:jc w:val="center"/>
              <w:ind w:right="724"/>
              <w:spacing w:after="0" w:line="162" w:lineRule="exact"/>
              <w:rPr>
                <w:sz w:val="20"/>
                <w:szCs w:val="20"/>
                <w:color w:val="auto"/>
              </w:rPr>
            </w:pPr>
            <w:r>
              <w:rPr>
                <w:rFonts w:ascii="Times New Roman" w:cs="Times New Roman" w:eastAsia="Times New Roman" w:hAnsi="Times New Roman"/>
                <w:sz w:val="15"/>
                <w:szCs w:val="15"/>
                <w:b w:val="1"/>
                <w:bCs w:val="1"/>
                <w:color w:val="auto"/>
              </w:rPr>
              <w:t>Stephanie Richards, Esq.</w:t>
            </w:r>
          </w:p>
        </w:tc>
        <w:tc>
          <w:tcPr>
            <w:tcW w:w="4860" w:type="dxa"/>
            <w:vAlign w:val="bottom"/>
          </w:tcPr>
          <w:p>
            <w:pPr>
              <w:jc w:val="center"/>
              <w:ind w:left="2904"/>
              <w:spacing w:after="0" w:line="162" w:lineRule="exact"/>
              <w:rPr>
                <w:sz w:val="20"/>
                <w:szCs w:val="20"/>
                <w:color w:val="auto"/>
              </w:rPr>
            </w:pPr>
            <w:r>
              <w:rPr>
                <w:rFonts w:ascii="Times New Roman" w:cs="Times New Roman" w:eastAsia="Times New Roman" w:hAnsi="Times New Roman"/>
                <w:sz w:val="15"/>
                <w:szCs w:val="15"/>
                <w:b w:val="1"/>
                <w:bCs w:val="1"/>
                <w:color w:val="auto"/>
              </w:rPr>
              <w:t>General Counsel</w:t>
            </w:r>
          </w:p>
        </w:tc>
      </w:tr>
      <w:tr>
        <w:trPr>
          <w:trHeight w:val="162"/>
        </w:trPr>
        <w:tc>
          <w:tcPr>
            <w:tcW w:w="2480" w:type="dxa"/>
            <w:vAlign w:val="bottom"/>
          </w:tcPr>
          <w:p>
            <w:pPr>
              <w:jc w:val="center"/>
              <w:ind w:right="724"/>
              <w:spacing w:after="0" w:line="162" w:lineRule="exact"/>
              <w:rPr>
                <w:sz w:val="20"/>
                <w:szCs w:val="20"/>
                <w:color w:val="auto"/>
              </w:rPr>
            </w:pPr>
            <w:r>
              <w:rPr>
                <w:rFonts w:ascii="Times New Roman" w:cs="Times New Roman" w:eastAsia="Times New Roman" w:hAnsi="Times New Roman"/>
                <w:sz w:val="15"/>
                <w:szCs w:val="15"/>
                <w:b w:val="1"/>
                <w:bCs w:val="1"/>
                <w:color w:val="auto"/>
              </w:rPr>
              <w:t>Alicia M. Tschirhart, Esq.</w:t>
            </w:r>
          </w:p>
        </w:tc>
        <w:tc>
          <w:tcPr>
            <w:tcW w:w="4860" w:type="dxa"/>
            <w:vAlign w:val="bottom"/>
          </w:tcPr>
          <w:p>
            <w:pPr>
              <w:jc w:val="center"/>
              <w:ind w:left="2904"/>
              <w:spacing w:after="0" w:line="162" w:lineRule="exact"/>
              <w:rPr>
                <w:sz w:val="20"/>
                <w:szCs w:val="20"/>
                <w:color w:val="auto"/>
              </w:rPr>
            </w:pPr>
            <w:r>
              <w:rPr>
                <w:rFonts w:ascii="Times New Roman" w:cs="Times New Roman" w:eastAsia="Times New Roman" w:hAnsi="Times New Roman"/>
                <w:sz w:val="15"/>
                <w:szCs w:val="15"/>
                <w:b w:val="1"/>
                <w:bCs w:val="1"/>
                <w:color w:val="auto"/>
              </w:rPr>
              <w:t>Disc Medicine, Inc.</w:t>
            </w:r>
          </w:p>
        </w:tc>
      </w:tr>
      <w:tr>
        <w:trPr>
          <w:trHeight w:val="162"/>
        </w:trPr>
        <w:tc>
          <w:tcPr>
            <w:tcW w:w="2480" w:type="dxa"/>
            <w:vAlign w:val="bottom"/>
          </w:tcPr>
          <w:p>
            <w:pPr>
              <w:jc w:val="center"/>
              <w:ind w:right="744"/>
              <w:spacing w:after="0" w:line="162" w:lineRule="exact"/>
              <w:rPr>
                <w:sz w:val="20"/>
                <w:szCs w:val="20"/>
                <w:color w:val="auto"/>
              </w:rPr>
            </w:pPr>
            <w:r>
              <w:rPr>
                <w:rFonts w:ascii="Times New Roman" w:cs="Times New Roman" w:eastAsia="Times New Roman" w:hAnsi="Times New Roman"/>
                <w:sz w:val="15"/>
                <w:szCs w:val="15"/>
                <w:b w:val="1"/>
                <w:bCs w:val="1"/>
                <w:color w:val="auto"/>
              </w:rPr>
              <w:t>Goodwin Procter LLP</w:t>
            </w:r>
          </w:p>
        </w:tc>
        <w:tc>
          <w:tcPr>
            <w:tcW w:w="4860" w:type="dxa"/>
            <w:vAlign w:val="bottom"/>
          </w:tcPr>
          <w:p>
            <w:pPr>
              <w:jc w:val="center"/>
              <w:ind w:left="2904"/>
              <w:spacing w:after="0" w:line="162" w:lineRule="exact"/>
              <w:rPr>
                <w:sz w:val="20"/>
                <w:szCs w:val="20"/>
                <w:color w:val="auto"/>
              </w:rPr>
            </w:pPr>
            <w:r>
              <w:rPr>
                <w:rFonts w:ascii="Times New Roman" w:cs="Times New Roman" w:eastAsia="Times New Roman" w:hAnsi="Times New Roman"/>
                <w:sz w:val="15"/>
                <w:szCs w:val="15"/>
                <w:b w:val="1"/>
                <w:bCs w:val="1"/>
                <w:color w:val="auto"/>
              </w:rPr>
              <w:t>321 Arsenal Street, Suite 101</w:t>
            </w:r>
          </w:p>
        </w:tc>
      </w:tr>
      <w:tr>
        <w:trPr>
          <w:trHeight w:val="162"/>
        </w:trPr>
        <w:tc>
          <w:tcPr>
            <w:tcW w:w="2480" w:type="dxa"/>
            <w:vAlign w:val="bottom"/>
          </w:tcPr>
          <w:p>
            <w:pPr>
              <w:jc w:val="center"/>
              <w:ind w:right="724"/>
              <w:spacing w:after="0" w:line="162" w:lineRule="exact"/>
              <w:rPr>
                <w:sz w:val="20"/>
                <w:szCs w:val="20"/>
                <w:color w:val="auto"/>
              </w:rPr>
            </w:pPr>
            <w:r>
              <w:rPr>
                <w:rFonts w:ascii="Times New Roman" w:cs="Times New Roman" w:eastAsia="Times New Roman" w:hAnsi="Times New Roman"/>
                <w:sz w:val="15"/>
                <w:szCs w:val="15"/>
                <w:b w:val="1"/>
                <w:bCs w:val="1"/>
                <w:color w:val="auto"/>
              </w:rPr>
              <w:t>100 Northern Avenue</w:t>
            </w:r>
          </w:p>
        </w:tc>
        <w:tc>
          <w:tcPr>
            <w:tcW w:w="4860" w:type="dxa"/>
            <w:vAlign w:val="bottom"/>
          </w:tcPr>
          <w:p>
            <w:pPr>
              <w:jc w:val="center"/>
              <w:ind w:left="2904"/>
              <w:spacing w:after="0" w:line="162" w:lineRule="exact"/>
              <w:rPr>
                <w:sz w:val="20"/>
                <w:szCs w:val="20"/>
                <w:color w:val="auto"/>
              </w:rPr>
            </w:pPr>
            <w:r>
              <w:rPr>
                <w:rFonts w:ascii="Times New Roman" w:cs="Times New Roman" w:eastAsia="Times New Roman" w:hAnsi="Times New Roman"/>
                <w:sz w:val="15"/>
                <w:szCs w:val="15"/>
                <w:b w:val="1"/>
                <w:bCs w:val="1"/>
                <w:color w:val="auto"/>
              </w:rPr>
              <w:t>Watertown, MA 02472</w:t>
            </w:r>
          </w:p>
        </w:tc>
      </w:tr>
      <w:tr>
        <w:trPr>
          <w:trHeight w:val="162"/>
        </w:trPr>
        <w:tc>
          <w:tcPr>
            <w:tcW w:w="2480" w:type="dxa"/>
            <w:vAlign w:val="bottom"/>
          </w:tcPr>
          <w:p>
            <w:pPr>
              <w:jc w:val="center"/>
              <w:ind w:right="724"/>
              <w:spacing w:after="0" w:line="162" w:lineRule="exact"/>
              <w:rPr>
                <w:sz w:val="20"/>
                <w:szCs w:val="20"/>
                <w:color w:val="auto"/>
              </w:rPr>
            </w:pPr>
            <w:r>
              <w:rPr>
                <w:rFonts w:ascii="Times New Roman" w:cs="Times New Roman" w:eastAsia="Times New Roman" w:hAnsi="Times New Roman"/>
                <w:sz w:val="15"/>
                <w:szCs w:val="15"/>
                <w:b w:val="1"/>
                <w:bCs w:val="1"/>
                <w:color w:val="auto"/>
              </w:rPr>
              <w:t>Boston, MA 02210</w:t>
            </w:r>
          </w:p>
        </w:tc>
        <w:tc>
          <w:tcPr>
            <w:tcW w:w="4860" w:type="dxa"/>
            <w:vAlign w:val="bottom"/>
          </w:tcPr>
          <w:p>
            <w:pPr>
              <w:jc w:val="center"/>
              <w:ind w:left="2904"/>
              <w:spacing w:after="0" w:line="162" w:lineRule="exact"/>
              <w:rPr>
                <w:sz w:val="20"/>
                <w:szCs w:val="20"/>
                <w:color w:val="auto"/>
              </w:rPr>
            </w:pPr>
            <w:r>
              <w:rPr>
                <w:rFonts w:ascii="Times New Roman" w:cs="Times New Roman" w:eastAsia="Times New Roman" w:hAnsi="Times New Roman"/>
                <w:sz w:val="15"/>
                <w:szCs w:val="15"/>
                <w:b w:val="1"/>
                <w:bCs w:val="1"/>
                <w:color w:val="auto"/>
              </w:rPr>
              <w:t>(617) 674-9274</w:t>
            </w:r>
          </w:p>
        </w:tc>
      </w:tr>
      <w:tr>
        <w:trPr>
          <w:trHeight w:val="202"/>
        </w:trPr>
        <w:tc>
          <w:tcPr>
            <w:tcW w:w="2480" w:type="dxa"/>
            <w:vAlign w:val="bottom"/>
          </w:tcPr>
          <w:p>
            <w:pPr>
              <w:jc w:val="center"/>
              <w:ind w:right="724"/>
              <w:spacing w:after="0"/>
              <w:rPr>
                <w:sz w:val="20"/>
                <w:szCs w:val="20"/>
                <w:color w:val="auto"/>
              </w:rPr>
            </w:pPr>
            <w:r>
              <w:rPr>
                <w:rFonts w:ascii="Times New Roman" w:cs="Times New Roman" w:eastAsia="Times New Roman" w:hAnsi="Times New Roman"/>
                <w:sz w:val="15"/>
                <w:szCs w:val="15"/>
                <w:b w:val="1"/>
                <w:bCs w:val="1"/>
                <w:color w:val="auto"/>
              </w:rPr>
              <w:t>(617) 570-1000</w:t>
            </w:r>
          </w:p>
        </w:tc>
        <w:tc>
          <w:tcPr>
            <w:tcW w:w="48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99695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6" w:lineRule="exact"/>
        <w:rPr>
          <w:sz w:val="24"/>
          <w:szCs w:val="24"/>
          <w:color w:val="auto"/>
        </w:rPr>
      </w:pPr>
    </w:p>
    <w:p>
      <w:pPr>
        <w:ind w:left="120" w:right="460"/>
        <w:spacing w:after="0" w:line="218" w:lineRule="exact"/>
        <w:rPr>
          <w:sz w:val="20"/>
          <w:szCs w:val="20"/>
          <w:color w:val="auto"/>
        </w:rPr>
      </w:pPr>
      <w:r>
        <w:rPr>
          <w:rFonts w:ascii="Times New Roman" w:cs="Times New Roman" w:eastAsia="Times New Roman" w:hAnsi="Times New Roman"/>
          <w:sz w:val="15"/>
          <w:szCs w:val="15"/>
          <w:b w:val="1"/>
          <w:bCs w:val="1"/>
          <w:color w:val="auto"/>
        </w:rPr>
        <w:t xml:space="preserve">APPROXIMATE DATE OF COMMENCEMENT OF PROPOSED SALE TO THE PUBLIC: </w:t>
      </w:r>
      <w:r>
        <w:rPr>
          <w:rFonts w:ascii="Times New Roman" w:cs="Times New Roman" w:eastAsia="Times New Roman" w:hAnsi="Times New Roman"/>
          <w:sz w:val="15"/>
          <w:szCs w:val="15"/>
          <w:color w:val="auto"/>
        </w:rPr>
        <w:t>From time to time after the effective date of this registration statement.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2" w:lineRule="exact"/>
        <w:rPr>
          <w:sz w:val="24"/>
          <w:szCs w:val="24"/>
          <w:color w:val="auto"/>
        </w:rPr>
      </w:pPr>
    </w:p>
    <w:p>
      <w:pPr>
        <w:ind w:left="120" w:right="40"/>
        <w:spacing w:after="0" w:line="195"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ind w:left="120" w:right="340"/>
        <w:spacing w:after="0" w:line="189"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3" w:lineRule="exact"/>
        <w:rPr>
          <w:sz w:val="24"/>
          <w:szCs w:val="24"/>
          <w:color w:val="auto"/>
        </w:rPr>
      </w:pPr>
    </w:p>
    <w:p>
      <w:pPr>
        <w:ind w:left="120"/>
        <w:spacing w:after="0" w:line="195"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 w:lineRule="exact"/>
        <w:rPr>
          <w:sz w:val="24"/>
          <w:szCs w:val="24"/>
          <w:color w:val="auto"/>
        </w:rPr>
      </w:pPr>
    </w:p>
    <w:p>
      <w:pPr>
        <w:ind w:left="120" w:right="300"/>
        <w:spacing w:after="0" w:line="195" w:lineRule="exact"/>
        <w:rPr>
          <w:sz w:val="20"/>
          <w:szCs w:val="20"/>
          <w:color w:val="auto"/>
        </w:rPr>
      </w:pPr>
      <w:r>
        <w:rPr>
          <w:rFonts w:ascii="Times New Roman" w:cs="Times New Roman" w:eastAsia="Times New Roman" w:hAnsi="Times New Roman"/>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ind w:left="120" w:right="520"/>
        <w:spacing w:after="0" w:line="189"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220"/>
              <w:spacing w:after="0"/>
              <w:rPr>
                <w:sz w:val="20"/>
                <w:szCs w:val="20"/>
                <w:color w:val="auto"/>
              </w:rPr>
            </w:pPr>
            <w:r>
              <w:rPr>
                <w:rFonts w:ascii="Times New Roman" w:cs="Times New Roman" w:eastAsia="Times New Roman" w:hAnsi="Times New Roman"/>
                <w:sz w:val="14"/>
                <w:szCs w:val="14"/>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2"/>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160" w:type="dxa"/>
            <w:vAlign w:val="bottom"/>
          </w:tcPr>
          <w:p>
            <w:pPr>
              <w:ind w:left="3220"/>
              <w:spacing w:after="0"/>
              <w:rPr>
                <w:sz w:val="20"/>
                <w:szCs w:val="20"/>
                <w:color w:val="auto"/>
              </w:rPr>
            </w:pPr>
            <w:r>
              <w:rPr>
                <w:rFonts w:ascii="Times New Roman" w:cs="Times New Roman" w:eastAsia="Times New Roman" w:hAnsi="Times New Roman"/>
                <w:sz w:val="14"/>
                <w:szCs w:val="14"/>
                <w:color w:val="auto"/>
              </w:rPr>
              <w:t>Emerging growth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 w:lineRule="exact"/>
        <w:rPr>
          <w:sz w:val="24"/>
          <w:szCs w:val="24"/>
          <w:color w:val="auto"/>
        </w:rPr>
      </w:pPr>
    </w:p>
    <w:p>
      <w:pPr>
        <w:ind w:left="120" w:right="340"/>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80645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0" w:lineRule="exact"/>
        <w:rPr>
          <w:sz w:val="24"/>
          <w:szCs w:val="24"/>
          <w:color w:val="auto"/>
        </w:rPr>
      </w:pPr>
    </w:p>
    <w:p>
      <w:pPr>
        <w:ind w:left="120" w:right="220"/>
        <w:spacing w:after="0" w:line="246" w:lineRule="auto"/>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113665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80"/>
          </w:cols>
          <w:pgMar w:left="320" w:top="226"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contained in this prospectus is not complete and may be changed. The selling stockholders named in this prospectus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FF4338"/>
        </w:rPr>
        <w:t>Subject to Completion, Dated January 17, 2023</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173990</wp:posOffset>
            </wp:positionV>
            <wp:extent cx="3728720" cy="574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2872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24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5"/>
          <w:szCs w:val="25"/>
          <w:b w:val="1"/>
          <w:bCs w:val="1"/>
          <w:color w:val="auto"/>
        </w:rPr>
        <w:t>12,635,956 Shares of Common Stock</w:t>
      </w:r>
    </w:p>
    <w:p>
      <w:pPr>
        <w:spacing w:after="0" w:line="4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Offered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This prospectus relates to the proposed resale or other disposition by the selling stockholders identified in this prospectus of up to an aggregate of 12,635,956 shares of common stock, par value $0.0001 per share, of Disc Medicine, Inc.</w:t>
      </w:r>
    </w:p>
    <w:p>
      <w:pPr>
        <w:spacing w:after="0" w:line="162"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registration of the shares of common stock covered by this prospectus does not mean that the selling stockholders will offer or sell all or any of the shares. Common stock offered hereby by the selling stockholders, or its pledgees, donees, transferees or other successors in interest, may be sold from time to time directly or indirectly through one or more underwriters, broker-dealers or agents, and in one or more public or private transactions.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If the shares of common stock are sold through underwriters, broker-dealers or agents, the selling stockholders will be responsible for underwriting discounts or commissions. The timing and amount of any sale is within the sole discretion of the selling stockholders, subject to certain restrictions. See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more information.</w:t>
      </w:r>
    </w:p>
    <w:p>
      <w:pPr>
        <w:spacing w:after="0" w:line="192"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any sale of common stock by the selling stockholders. We have agreed to bear the expenses in connection with the registration of the shares of common stock to be offered by this prospectus by the selling stockholders other than any underwriting discounts and commissions or transfer taxes relating to the sale of common stock, which will be borne by the selling stockholders.</w:t>
      </w:r>
    </w:p>
    <w:p>
      <w:pPr>
        <w:spacing w:after="0" w:line="176"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or Nasdaq, under the symbol “IRON.” On January 13, 2023, the closing price for our common stock, as reported on Nasdaq, was $19.25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Before making an investment decision, please read the information under the heading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7 of this prospectus and in the documents incorporated by reference into this prospectus.</w:t>
      </w:r>
    </w:p>
    <w:p>
      <w:pPr>
        <w:spacing w:after="0" w:line="15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tbl>
      <w:tblPr>
        <w:tblLayout w:type="fixed"/>
        <w:tblInd w:w="400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2023.</w:t>
            </w:r>
          </w:p>
        </w:tc>
      </w:tr>
    </w:tbl>
    <w:p>
      <w:pPr>
        <w:sectPr>
          <w:pgSz w:w="11900" w:h="16838" w:orient="portrait"/>
          <w:cols w:equalWidth="0" w:num="1">
            <w:col w:w="11100"/>
          </w:cols>
          <w:pgMar w:left="320" w:top="455" w:right="47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8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2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6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2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67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4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3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7"/>
              </w:rPr>
              <w:t>CAUTIONARY STATEMENT REGARDING FORWARD-LOOKING STATEMENTS</w:t>
            </w:r>
          </w:p>
        </w:tc>
        <w:tc>
          <w:tcPr>
            <w:tcW w:w="380" w:type="dxa"/>
            <w:vAlign w:val="bottom"/>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13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COMPANY</w:t>
            </w:r>
          </w:p>
        </w:tc>
        <w:tc>
          <w:tcPr>
            <w:tcW w:w="5420" w:type="dxa"/>
            <w:vAlign w:val="bottom"/>
            <w:gridSpan w:val="8"/>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5440" w:type="dxa"/>
            <w:vAlign w:val="bottom"/>
            <w:gridSpan w:val="9"/>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6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SELECTED FINANCIAL DATA</w:t>
            </w: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40" w:type="dxa"/>
            <w:vAlign w:val="bottom"/>
            <w:tcBorders>
              <w:top w:val="single" w:sz="8" w:color="0000EE"/>
            </w:tcBorders>
            <w:gridSpan w:val="3"/>
          </w:tcPr>
          <w:p>
            <w:pPr>
              <w:spacing w:after="0"/>
              <w:rPr>
                <w:sz w:val="17"/>
                <w:szCs w:val="17"/>
                <w:color w:val="auto"/>
              </w:rPr>
            </w:pPr>
          </w:p>
        </w:tc>
        <w:tc>
          <w:tcPr>
            <w:tcW w:w="4300" w:type="dxa"/>
            <w:vAlign w:val="bottom"/>
            <w:gridSpan w:val="3"/>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6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28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3860" w:type="dxa"/>
            <w:vAlign w:val="bottom"/>
            <w:gridSpan w:val="2"/>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500" w:type="dxa"/>
            <w:vAlign w:val="bottom"/>
            <w:gridSpan w:val="4"/>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4680" w:type="dxa"/>
            <w:vAlign w:val="bottom"/>
            <w:gridSpan w:val="5"/>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6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960" w:type="dxa"/>
            <w:vAlign w:val="bottom"/>
            <w:gridSpan w:val="11"/>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7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WHERE YOU CAN FIND MORE INFORMATION; INCORPORATION BY REFERENCE</w:t>
            </w: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bl>
    <w:p>
      <w:pPr>
        <w:spacing w:after="0" w:line="221"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On December 29, 2022, we acquired Disc Medicine Opco, Inc. (formerly Disc Medicine, Inc.), or Private Disc, pursuant to an agreement and plan of merger, or the Merger, and we changed our name to Disc Medicine, Inc. on December 29, 2022. As used in this prospectus,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w:t>
      </w:r>
    </w:p>
    <w:p>
      <w:pPr>
        <w:sectPr>
          <w:pgSz w:w="11900" w:h="16838" w:orient="portrait"/>
          <w:cols w:equalWidth="0" w:num="1">
            <w:col w:w="11100"/>
          </w:cols>
          <w:pgMar w:left="320" w:top="446"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or the SEC, utilizing a “shelf” registration process. Under this shelf registration process, the selling stockholders may, from time to time, sell the shares of common stock described in this prospectus in one or more offerings.</w:t>
      </w:r>
    </w:p>
    <w:p>
      <w:pPr>
        <w:spacing w:after="0" w:line="176"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Neither we, nor the selling stockholders, have authorized anyone to give any information or to make any representation other than those contained or incorporated by reference in this prospectus. You must not rely upon any information or representation not contained or incorporated by reference in this prospectus. The selling stockholders are offering to sell, and seeking offers to buy, shares of our common stock only in jurisdictions where it is lawful to do so. This prospectus does not constitute an offer to sell or the solicitation of an offer to buy any shares other than the registered shares to which it relates, nor does this prospectus constitute an offer to sell or the solicitation of an offer to buy shares in any jurisdiction to any person to whom it is unlawful to make such offer or solicitation in such jurisdiction. You should not assume that the information contained in this prospectus is accurate on any date subsequent to the date set forth on the front of the document or that any information we have incorporated by reference is correct on any date subsequent to the date of the document incorporated by reference, even though this prospectus is delivered or shares are sold on a later date. Our business, financial condition, results of operations and prospects may have changed since those dates. This prospectus incorporates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may involve estimates, assumptions and other risks and uncertainties and are subject to change based on various factors, including those discussed under the heading “Risk Factors” contained in this prospectus, and under similar headings in other documents that are incorporated by reference into this prospectus. Accordingly, investors should not place undue reliance on this information.</w:t>
      </w:r>
    </w:p>
    <w:p>
      <w:pPr>
        <w:spacing w:after="0" w:line="196"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A prospectus supplement may add to, update or change the information contained in this prospectus. You should read both this prospectus and any applicable prospectus supplement together with additional information described below under the heading “Where You Can Find Additional Information.”</w:t>
      </w:r>
    </w:p>
    <w:p>
      <w:pPr>
        <w:spacing w:after="0" w:line="176" w:lineRule="exact"/>
        <w:rPr>
          <w:sz w:val="20"/>
          <w:szCs w:val="20"/>
          <w:color w:val="auto"/>
        </w:rPr>
      </w:pPr>
    </w:p>
    <w:p>
      <w:pPr>
        <w:ind w:left="120" w:right="260"/>
        <w:spacing w:after="0" w:line="230" w:lineRule="auto"/>
        <w:rPr>
          <w:sz w:val="20"/>
          <w:szCs w:val="20"/>
          <w:color w:val="auto"/>
        </w:rPr>
      </w:pPr>
      <w:r>
        <w:rPr>
          <w:rFonts w:ascii="Times New Roman" w:cs="Times New Roman" w:eastAsia="Times New Roman" w:hAnsi="Times New Roman"/>
          <w:sz w:val="18"/>
          <w:szCs w:val="18"/>
          <w:color w:val="auto"/>
        </w:rPr>
        <w:t xml:space="preserve">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Unless the context otherwise indicates, the term “securities” refers to the shares of our common stock offered by this prospectus.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This prospectus contains and/or incorporates by reference statements that are not historical facts and are considered forward-looking within the meaning of Section 27A of the Securities Act of 1933, as amended, or the Securities Act, and Section 21E of the Securities Exchange Act of 1934, as amended, or the Exchange Act.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may include, for example, statements about:</w:t>
      </w:r>
    </w:p>
    <w:p>
      <w:pPr>
        <w:spacing w:after="0" w:line="97" w:lineRule="exact"/>
        <w:rPr>
          <w:sz w:val="20"/>
          <w:szCs w:val="20"/>
          <w:color w:val="auto"/>
        </w:rPr>
      </w:pPr>
    </w:p>
    <w:p>
      <w:pPr>
        <w:ind w:left="1080" w:right="6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benefits of the previously announced merger pursuant to the terms of the Agreement and Plan of Merger, dated August 9, 2022, by and among Gemini Therapeutics, Inc. (“Gemini”), Gemstone Merger Sub, Inc. and Disc Medicine Opco, Inc. (f/k/a Disc Medicine, Inc.);</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discover and develop product candidates;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successfully manufacture our drug substances and product candidates for preclinical use, for clinical trials and on a larger scale for commercial use, if approved;</w:t>
      </w:r>
    </w:p>
    <w:p>
      <w:pPr>
        <w:spacing w:after="0" w:line="67"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30" w:lineRule="exact"/>
        <w:rPr>
          <w:rFonts w:ascii="Times New Roman" w:cs="Times New Roman" w:eastAsia="Times New Roman" w:hAnsi="Times New Roman"/>
          <w:sz w:val="18"/>
          <w:szCs w:val="18"/>
          <w:color w:val="auto"/>
        </w:rPr>
      </w:pPr>
    </w:p>
    <w:p>
      <w:pPr>
        <w:jc w:val="both"/>
        <w:ind w:left="1080" w:right="24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capital market disruptions, the current conflict in Ukraine, economic sanctions and economic slowdowns or recessions that may result from such developments which could harm our research and development efforts as well as the value of our common stock and our ability to access capital markets;</w:t>
      </w:r>
    </w:p>
    <w:p>
      <w:pPr>
        <w:spacing w:after="0" w:line="81" w:lineRule="exact"/>
        <w:rPr>
          <w:rFonts w:ascii="Times New Roman" w:cs="Times New Roman" w:eastAsia="Times New Roman" w:hAnsi="Times New Roman"/>
          <w:sz w:val="18"/>
          <w:szCs w:val="18"/>
          <w:color w:val="auto"/>
        </w:rPr>
      </w:pPr>
    </w:p>
    <w:p>
      <w:pPr>
        <w:ind w:left="1080" w:right="40" w:hanging="424"/>
        <w:spacing w:after="0" w:line="312" w:lineRule="auto"/>
        <w:tabs>
          <w:tab w:leader="none" w:pos="10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the ongoing COVID-19 pandemic, including mitigation efforts and economic effects, on any of the foregoing or other aspects of our business operations, including but not limited to our preclinical studies and clinical trials and any future studies or trials; and</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25" w:lineRule="exact"/>
        <w:rPr>
          <w:sz w:val="20"/>
          <w:szCs w:val="20"/>
          <w:color w:val="auto"/>
        </w:rPr>
      </w:pPr>
    </w:p>
    <w:p>
      <w:pPr>
        <w:ind w:left="120" w:right="38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to us at the time of this prospectus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81"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our common stock on Nasdaq;</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securities may be volatile due to a variety of factors, including the volatility in capital markets, changes in the competitive and highly regulated industries in which we operate, variations in performance across competitors, changes in laws and regulations affecting our business and changes in our capital structure;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downturns in the economy and the possibility of rapid change in the highly competitive industry in which we operate;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will need to raise additional capital to execute our business plan, which may not be available on acceptable terms or at all;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experience difficulties in managing our growth and expanding operations.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55"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16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5162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20"/>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including erythropoietic protoporphyria (“EPP”) and X-linked protoporphyria (“XLP”); and DISC-0974 for the treatment of anemia of myelofibrosis (“MF”) and anemia of chronic kidney disease (“CKD”). In addition, we have two programs in preclinical development: DISC-0998 for the treatment of anemia associated with inflammatory diseases; and a Matriptase-2 inhibitor for the treatment of polycythemia vera (“PV”) and diseases of iron overload. Our approach to product candidate development leverages well understood molecular mechanisms that have been validated in humans. We believe that each of our product candidates, if approved, has the potential to improve the lives of patients suffering from hematologic diseases.</w:t>
      </w:r>
    </w:p>
    <w:p>
      <w:pPr>
        <w:spacing w:after="0" w:line="188"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Bitopertin is the lead product candidate in our heme biosynthesis modulation portfolio. Bitopertin was previously evaluated by Hoffmann-La Roche Inc. in a comprehensive clinical program in over 4,000 individuals in other indications which demonstrated the activity of bitopertin as a glycine transporter 1 (“GlyT1”) inhibitor and its effect on heme biosynthesis. We are planning to initially develop bitopertin for the treatment of erythropoietic porphyrias, including EPP and XLP. In July 2022, we received clearance of our investigational new drug application (“IND”) for “A Randomized, Double-blind, Placebo-Controlled Study of Bitopertin to Evaluate the Safety, Tolerability, Efficacy, and Protoporphyrin IX (“PPIX”) Concentrations in Participants with Erythropoietic Protoporphyria (“EPP”)” from the Food and Drug Administration. In July 2022, we initiated BEACON, a Phase 2 open-label, parallel-dose clinical trial designed to evaluate the safety, tolerability and effectiveness of bitopertin in EPP and XLP patients that is being conducted at sites in Australia. Separately, in October 2022, we initiated AURORA, a Phase 2, randomized, double-blind, placebo-controlled clinical trial designed to evaluate the safety, tolerability and efficacy of bitopertin in EPP patients that is being conducted at sites in the United States. We expect interim data from these two trials in 2023. We are planning additional studies in Diamond-Blackfan Anemia (“DBA”) and other indications.</w:t>
      </w:r>
    </w:p>
    <w:p>
      <w:pPr>
        <w:spacing w:after="0" w:line="192" w:lineRule="exact"/>
        <w:rPr>
          <w:sz w:val="20"/>
          <w:szCs w:val="20"/>
          <w:color w:val="auto"/>
        </w:rPr>
      </w:pPr>
    </w:p>
    <w:p>
      <w:pPr>
        <w:ind w:left="300" w:right="40"/>
        <w:spacing w:after="0" w:line="271" w:lineRule="auto"/>
        <w:rPr>
          <w:sz w:val="20"/>
          <w:szCs w:val="20"/>
          <w:color w:val="auto"/>
        </w:rPr>
      </w:pPr>
      <w:r>
        <w:rPr>
          <w:rFonts w:ascii="Times New Roman" w:cs="Times New Roman" w:eastAsia="Times New Roman" w:hAnsi="Times New Roman"/>
          <w:sz w:val="17"/>
          <w:szCs w:val="17"/>
          <w:color w:val="auto"/>
        </w:rPr>
        <w:t>DISC-0974 is the lead product candidate in our iron homeostasis portfolio. DISC-0974 is a monoclonal antibody that is designed to suppress hepcidin production and increase serum iron levels by inhibiting hemojuvelin (“HJV”). We submitted an IND for DISC-0974 in June 2021, received clearance in July 2021, and participants completed a Phase 1 clinical trial in healthy volunteers in the U.S. in June 2022 with results showing evidence of target engagement, iron mobilization and erythropoiesis. We initiated a Phase 1b/2 clinical trial in June 2022 to evaluate the safety, tolerability, pharmacokinetics and pharmacodynamics of DISC-0974 in patients with anemia of MF, and plan to initiate a separate Phase 1b/2 clinical trial in the first half of 2023 in patients with anemia of CKD. We expect interim data from these two trials in 2023. In addition, we are developing a preclinical anti- HJV monoclonal antibody, DISC-0998, which is designed to target hepcidin suppression and was in-licensed from AbbVie Deutschland GmbH &amp; Co. KG. DISC-0998 is designed to increase serum iron levels and has an extended serum half-life as compared to DISC-0974. We believe this profile may be desirable in certain subsets of patients with anemia associated with inflammatory diseases.</w:t>
      </w:r>
    </w:p>
    <w:p>
      <w:pPr>
        <w:spacing w:after="0" w:line="173" w:lineRule="exact"/>
        <w:rPr>
          <w:sz w:val="20"/>
          <w:szCs w:val="20"/>
          <w:color w:val="auto"/>
        </w:rPr>
      </w:pPr>
    </w:p>
    <w:p>
      <w:pPr>
        <w:ind w:left="300" w:right="60"/>
        <w:spacing w:after="0" w:line="289" w:lineRule="auto"/>
        <w:rPr>
          <w:sz w:val="20"/>
          <w:szCs w:val="20"/>
          <w:color w:val="auto"/>
        </w:rPr>
      </w:pPr>
      <w:r>
        <w:rPr>
          <w:rFonts w:ascii="Times New Roman" w:cs="Times New Roman" w:eastAsia="Times New Roman" w:hAnsi="Times New Roman"/>
          <w:sz w:val="17"/>
          <w:szCs w:val="17"/>
          <w:color w:val="auto"/>
        </w:rPr>
        <w:t>Lastly, we are developing a Matriptase-2 inhibitor as part of our iron homeostasis portfolio, which is designed to induce hepcidin production and reduce serum iron levels. Preclinical data has demonstrated positive results, and we are in the process of identifying and optimizing a development candidate in our Matriptase-2 inhibitor program. If successful, we expect to designate a lead candidate and commence IND-enabling studies.</w:t>
      </w:r>
    </w:p>
    <w:p>
      <w:pPr>
        <w:spacing w:after="0" w:line="26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704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2704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100"/>
        <w:spacing w:after="0" w:line="255" w:lineRule="auto"/>
        <w:rPr>
          <w:sz w:val="20"/>
          <w:szCs w:val="20"/>
          <w:color w:val="auto"/>
        </w:rPr>
      </w:pPr>
      <w:r>
        <w:rPr>
          <w:rFonts w:ascii="Times New Roman" w:cs="Times New Roman" w:eastAsia="Times New Roman" w:hAnsi="Times New Roman"/>
          <w:sz w:val="18"/>
          <w:szCs w:val="18"/>
          <w:color w:val="auto"/>
        </w:rPr>
        <w:t>Disc Medicine, Inc. was originally incorporated under the laws of the state of Delaware in October 2017, and changed its name to Disc Medicine Opco, Inc. (“Disc Opco”), in December 2022. On December 29, 2022, we completed our business combination with Gemini Therapeutics, Inc. (“Gemini”) in accordance with the terms of the Agreement and Plan of Merger and Reorganization, dated as of August 9, 2022 (the “Merger Agreement”), by and among Gemini, us and Gemstone Merger Sub, Inc., a Delaware corporation and a wholly owned subsidiary of Gemini (“Merger Sub”), pursuant to which, among other matters, Merger Sub merged with and into Disc Opco, with Disc Opco continuing as a wholly owned subsidiary of us and the surviving corporation of the merger (the “Merger”). In connection with the closing of the Merger, Gemini changed its name to Disc Medicine, Inc.</w:t>
      </w:r>
    </w:p>
    <w:p>
      <w:pPr>
        <w:spacing w:after="0" w:line="81"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321 Arsenal Street, Suite 101, Watertown, MA 02472, and our telephone number is (617) 674-9274. Our website address is www.discmedicine.com. We do not incorporate the information on or accessible through our website into this prospectus, and you should not consider any information on, or that can be accessed through, our website as part of this prospectus. Our common stock is listed on Nasdaq under the symbol “IRON.”</w:t>
      </w:r>
    </w:p>
    <w:p>
      <w:pPr>
        <w:spacing w:after="0" w:line="180" w:lineRule="exact"/>
        <w:rPr>
          <w:sz w:val="20"/>
          <w:szCs w:val="20"/>
          <w:color w:val="auto"/>
        </w:rPr>
      </w:pPr>
    </w:p>
    <w:p>
      <w:pPr>
        <w:ind w:left="300" w:right="160"/>
        <w:spacing w:after="0" w:line="230" w:lineRule="auto"/>
        <w:rPr>
          <w:sz w:val="20"/>
          <w:szCs w:val="20"/>
          <w:color w:val="auto"/>
        </w:rPr>
      </w:pPr>
      <w:r>
        <w:rPr>
          <w:rFonts w:ascii="Times New Roman" w:cs="Times New Roman" w:eastAsia="Times New Roman" w:hAnsi="Times New Roman"/>
          <w:sz w:val="18"/>
          <w:szCs w:val="18"/>
          <w:color w:val="auto"/>
        </w:rPr>
        <w:t xml:space="preserve">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3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55"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360" w:type="dxa"/>
            <w:vAlign w:val="bottom"/>
            <w:tcBorders>
              <w:top w:val="single" w:sz="8" w:color="auto"/>
              <w:left w:val="single" w:sz="8" w:color="auto"/>
            </w:tcBorders>
          </w:tcPr>
          <w:p>
            <w:pPr>
              <w:spacing w:after="0"/>
              <w:rPr>
                <w:sz w:val="24"/>
                <w:szCs w:val="24"/>
                <w:color w:val="auto"/>
              </w:rPr>
            </w:pPr>
          </w:p>
        </w:tc>
        <w:tc>
          <w:tcPr>
            <w:tcW w:w="666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59"/>
        </w:trPr>
        <w:tc>
          <w:tcPr>
            <w:tcW w:w="43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Common stock Offered by the Selling Stockholders</w:t>
            </w:r>
          </w:p>
        </w:tc>
        <w:tc>
          <w:tcPr>
            <w:tcW w:w="66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12,635,956 shares of common stock</w:t>
            </w:r>
          </w:p>
        </w:tc>
      </w:tr>
      <w:tr>
        <w:trPr>
          <w:trHeight w:val="306"/>
        </w:trPr>
        <w:tc>
          <w:tcPr>
            <w:tcW w:w="43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66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We will not receive any proceeds from the sale of the shares of</w:t>
            </w:r>
          </w:p>
        </w:tc>
      </w:tr>
      <w:tr>
        <w:trPr>
          <w:trHeight w:val="234"/>
        </w:trPr>
        <w:tc>
          <w:tcPr>
            <w:tcW w:w="4360" w:type="dxa"/>
            <w:vAlign w:val="bottom"/>
            <w:tcBorders>
              <w:left w:val="single" w:sz="8" w:color="auto"/>
            </w:tcBorders>
          </w:tcPr>
          <w:p>
            <w:pPr>
              <w:spacing w:after="0"/>
              <w:rPr>
                <w:sz w:val="20"/>
                <w:szCs w:val="20"/>
                <w:color w:val="auto"/>
              </w:rPr>
            </w:pPr>
          </w:p>
        </w:tc>
        <w:tc>
          <w:tcPr>
            <w:tcW w:w="66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common stock covered by this prospectus.</w:t>
            </w:r>
          </w:p>
        </w:tc>
      </w:tr>
      <w:tr>
        <w:trPr>
          <w:trHeight w:val="324"/>
        </w:trPr>
        <w:tc>
          <w:tcPr>
            <w:tcW w:w="43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Nasdaq Symbol</w:t>
            </w:r>
          </w:p>
        </w:tc>
        <w:tc>
          <w:tcPr>
            <w:tcW w:w="66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IRON</w:t>
            </w:r>
          </w:p>
        </w:tc>
      </w:tr>
      <w:tr>
        <w:trPr>
          <w:trHeight w:val="306"/>
        </w:trPr>
        <w:tc>
          <w:tcPr>
            <w:tcW w:w="43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Offering Price</w:t>
            </w:r>
          </w:p>
        </w:tc>
        <w:tc>
          <w:tcPr>
            <w:tcW w:w="66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The selling stockholders will offer the shares of common stock</w:t>
            </w:r>
          </w:p>
        </w:tc>
      </w:tr>
      <w:tr>
        <w:trPr>
          <w:trHeight w:val="216"/>
        </w:trPr>
        <w:tc>
          <w:tcPr>
            <w:tcW w:w="4360" w:type="dxa"/>
            <w:vAlign w:val="bottom"/>
            <w:tcBorders>
              <w:left w:val="single" w:sz="8" w:color="auto"/>
            </w:tcBorders>
          </w:tcPr>
          <w:p>
            <w:pPr>
              <w:spacing w:after="0"/>
              <w:rPr>
                <w:sz w:val="18"/>
                <w:szCs w:val="18"/>
                <w:color w:val="auto"/>
              </w:rPr>
            </w:pPr>
          </w:p>
        </w:tc>
        <w:tc>
          <w:tcPr>
            <w:tcW w:w="66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offered by this prospectus at the prevailing market prices or at</w:t>
            </w:r>
          </w:p>
        </w:tc>
      </w:tr>
      <w:tr>
        <w:trPr>
          <w:trHeight w:val="234"/>
        </w:trPr>
        <w:tc>
          <w:tcPr>
            <w:tcW w:w="4360" w:type="dxa"/>
            <w:vAlign w:val="bottom"/>
            <w:tcBorders>
              <w:left w:val="single" w:sz="8" w:color="auto"/>
            </w:tcBorders>
          </w:tcPr>
          <w:p>
            <w:pPr>
              <w:spacing w:after="0"/>
              <w:rPr>
                <w:sz w:val="20"/>
                <w:szCs w:val="20"/>
                <w:color w:val="auto"/>
              </w:rPr>
            </w:pPr>
          </w:p>
        </w:tc>
        <w:tc>
          <w:tcPr>
            <w:tcW w:w="66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privately negotiated prices.</w:t>
            </w:r>
          </w:p>
        </w:tc>
      </w:tr>
      <w:tr>
        <w:trPr>
          <w:trHeight w:val="306"/>
        </w:trPr>
        <w:tc>
          <w:tcPr>
            <w:tcW w:w="43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66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You should read the “Risk Factors” section of this prospectus for a</w:t>
            </w:r>
          </w:p>
        </w:tc>
      </w:tr>
      <w:tr>
        <w:trPr>
          <w:trHeight w:val="216"/>
        </w:trPr>
        <w:tc>
          <w:tcPr>
            <w:tcW w:w="4360" w:type="dxa"/>
            <w:vAlign w:val="bottom"/>
            <w:tcBorders>
              <w:left w:val="single" w:sz="8" w:color="auto"/>
            </w:tcBorders>
          </w:tcPr>
          <w:p>
            <w:pPr>
              <w:spacing w:after="0"/>
              <w:rPr>
                <w:sz w:val="18"/>
                <w:szCs w:val="18"/>
                <w:color w:val="auto"/>
              </w:rPr>
            </w:pPr>
          </w:p>
        </w:tc>
        <w:tc>
          <w:tcPr>
            <w:tcW w:w="66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discussion of factors to consider carefully before deciding to invest</w:t>
            </w:r>
          </w:p>
        </w:tc>
      </w:tr>
      <w:tr>
        <w:trPr>
          <w:trHeight w:val="234"/>
        </w:trPr>
        <w:tc>
          <w:tcPr>
            <w:tcW w:w="4360" w:type="dxa"/>
            <w:vAlign w:val="bottom"/>
            <w:tcBorders>
              <w:left w:val="single" w:sz="8" w:color="auto"/>
            </w:tcBorders>
          </w:tcPr>
          <w:p>
            <w:pPr>
              <w:spacing w:after="0"/>
              <w:rPr>
                <w:sz w:val="20"/>
                <w:szCs w:val="20"/>
                <w:color w:val="auto"/>
              </w:rPr>
            </w:pPr>
          </w:p>
        </w:tc>
        <w:tc>
          <w:tcPr>
            <w:tcW w:w="66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in shares of our common stock.</w:t>
            </w:r>
          </w:p>
        </w:tc>
      </w:tr>
      <w:tr>
        <w:trPr>
          <w:trHeight w:val="159"/>
        </w:trPr>
        <w:tc>
          <w:tcPr>
            <w:tcW w:w="4360" w:type="dxa"/>
            <w:vAlign w:val="bottom"/>
            <w:tcBorders>
              <w:left w:val="single" w:sz="8" w:color="auto"/>
              <w:bottom w:val="single" w:sz="8" w:color="auto"/>
            </w:tcBorders>
          </w:tcPr>
          <w:p>
            <w:pPr>
              <w:spacing w:after="0"/>
              <w:rPr>
                <w:sz w:val="13"/>
                <w:szCs w:val="13"/>
                <w:color w:val="auto"/>
              </w:rPr>
            </w:pPr>
          </w:p>
        </w:tc>
        <w:tc>
          <w:tcPr>
            <w:tcW w:w="6660" w:type="dxa"/>
            <w:vAlign w:val="bottom"/>
            <w:tcBorders>
              <w:bottom w:val="single" w:sz="8" w:color="auto"/>
              <w:right w:val="single" w:sz="8" w:color="auto"/>
            </w:tcBorders>
          </w:tcPr>
          <w:p>
            <w:pPr>
              <w:spacing w:after="0"/>
              <w:rPr>
                <w:sz w:val="13"/>
                <w:szCs w:val="13"/>
                <w:color w:val="auto"/>
              </w:rPr>
            </w:pPr>
          </w:p>
        </w:tc>
      </w:tr>
      <w:tr>
        <w:trPr>
          <w:trHeight w:val="361"/>
        </w:trPr>
        <w:tc>
          <w:tcPr>
            <w:tcW w:w="4360" w:type="dxa"/>
            <w:vAlign w:val="bottom"/>
          </w:tcPr>
          <w:p>
            <w:pPr>
              <w:spacing w:after="0"/>
              <w:rPr>
                <w:sz w:val="24"/>
                <w:szCs w:val="24"/>
                <w:color w:val="auto"/>
              </w:rPr>
            </w:pPr>
          </w:p>
        </w:tc>
        <w:tc>
          <w:tcPr>
            <w:tcW w:w="66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risks and uncertainties. You should carefully consider the risk factors incorporated by reference to our Current Report on Form 8-K filed on December 29, 2022, and all other information contained or incorporated by reference into this prospectus, as updated by our subsequent filings under the Exchange Act, and the risk factors and other information contained in any applicable prospectus supplement before making an investment decision. The risks described in these documents are not the only ones we face. Additional risks and uncertainties not presently known to us or that we currently deem immaterial also may impair our business operations.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materially adversely affected. This could cause the trading price of our securities to decline, resulting in a loss of all or part of your investment. Please also carefully read the section titled “</w:t>
      </w:r>
      <w:r>
        <w:rPr>
          <w:rFonts w:ascii="Times New Roman" w:cs="Times New Roman" w:eastAsia="Times New Roman" w:hAnsi="Times New Roman"/>
          <w:sz w:val="18"/>
          <w:szCs w:val="18"/>
          <w:i w:val="1"/>
          <w:iCs w:val="1"/>
          <w:color w:val="auto"/>
        </w:rPr>
        <w:t>Cautionary Note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Forward-Looking Statement</w:t>
      </w:r>
      <w:r>
        <w:rPr>
          <w:rFonts w:ascii="Times New Roman" w:cs="Times New Roman" w:eastAsia="Times New Roman" w:hAnsi="Times New Roman"/>
          <w:sz w:val="18"/>
          <w:szCs w:val="18"/>
          <w:color w:val="auto"/>
        </w:rPr>
        <w: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December 29, 2022, we effected a 1-for-10 reverse stock split of our common stock. The total number of authorized shares of capital stock was amended from 260,000,000 to 110,000,000. The par value per common share remained unchanged. The audited consolidated financial statements of Gemini Therapeutics, Inc. included in the Annual Report on Form 10-K for the year ended December 31, 2021, and the unaudited condensed consolidated financial statements included in our Quarterly Reports on Form 10-Q for the periods ended March 31, 2022, June 30, 2022, and September 30, 2022, that are incorporated by reference into this prospectus are presented without giving effect to the reverse stock split. Except where the context otherwise requires, share numbers in this prospectus reflect the 1-for-10 reverse stock split of our common stock.</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following selected financial data has been derived from our audited consolidated financial statements included in our Annual Report on Form 10-K filed with the SEC on March 10, 2022, and our unaudited condensed consolidated financial statements included in our Quarterly Reports on Form 10-Q filed with the SEC on May 6, 2022, August 11, 2022, and November 10, 2022, as adjusted to reflect the reverse stock split for all periods presented. Our historical results are not indicative of the results that may be expected in the future and results of interim periods are not indicative of the results for the entire year. In addition, the below presented historical results do not present the pro forma impact of the reverse merger, as presented in the unaudited pro forma financial statements and accompanying notes for the nine months ended September 30, 2022, and the fiscal year ended December 31, 2021, contained in the Company’s Proxy Statement/Prospectus on Form S-4/A and incorporated herein by reference.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REPORTED (in thousands, except per share amounts):</w:t>
      </w:r>
    </w:p>
    <w:p>
      <w:pPr>
        <w:spacing w:after="0" w:line="250"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4"/>
          <w:szCs w:val="14"/>
          <w:b w:val="1"/>
          <w:bCs w:val="1"/>
          <w:color w:val="auto"/>
        </w:rPr>
        <w:t>Years Ended</w:t>
      </w:r>
    </w:p>
    <w:p>
      <w:pPr>
        <w:spacing w:after="0" w:line="6"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56"/>
        </w:trPr>
        <w:tc>
          <w:tcPr>
            <w:tcW w:w="58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5"/>
              <w:spacing w:after="0" w:line="156"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4"/>
              <w:spacing w:after="0" w:line="156"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(71,869)</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40,362,303</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15,115,129</w:t>
            </w: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year end</w:t>
            </w: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43,208,159</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15,565,380</w:t>
            </w:r>
          </w:p>
        </w:tc>
        <w:tc>
          <w:tcPr>
            <w:tcW w:w="0" w:type="dxa"/>
            <w:vAlign w:val="bottom"/>
          </w:tcPr>
          <w:p>
            <w:pPr>
              <w:spacing w:after="0"/>
              <w:rPr>
                <w:sz w:val="1"/>
                <w:szCs w:val="1"/>
                <w:color w:val="auto"/>
              </w:rPr>
            </w:pPr>
          </w:p>
        </w:tc>
      </w:tr>
      <w:tr>
        <w:trPr>
          <w:trHeight w:val="321"/>
        </w:trPr>
        <w:tc>
          <w:tcPr>
            <w:tcW w:w="5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5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780" w:type="dxa"/>
            <w:vAlign w:val="bottom"/>
            <w:gridSpan w:val="2"/>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5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16"/>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(15,231)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(19,048)</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43,212,803</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32,027,161</w:t>
            </w: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43,227,159</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43,002,144</w:t>
            </w:r>
          </w:p>
        </w:tc>
        <w:tc>
          <w:tcPr>
            <w:tcW w:w="0" w:type="dxa"/>
            <w:vAlign w:val="bottom"/>
          </w:tcPr>
          <w:p>
            <w:pPr>
              <w:spacing w:after="0"/>
              <w:rPr>
                <w:sz w:val="1"/>
                <w:szCs w:val="1"/>
                <w:color w:val="auto"/>
              </w:rPr>
            </w:pPr>
          </w:p>
        </w:tc>
      </w:tr>
      <w:tr>
        <w:trPr>
          <w:trHeight w:val="321"/>
        </w:trPr>
        <w:tc>
          <w:tcPr>
            <w:tcW w:w="5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5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780" w:type="dxa"/>
            <w:vAlign w:val="bottom"/>
            <w:gridSpan w:val="2"/>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5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16"/>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(7,090)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(16,447)</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43,230,523</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43,041,856</w:t>
            </w: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43,244,453</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43,055,112</w:t>
            </w:r>
          </w:p>
        </w:tc>
        <w:tc>
          <w:tcPr>
            <w:tcW w:w="0" w:type="dxa"/>
            <w:vAlign w:val="bottom"/>
          </w:tcPr>
          <w:p>
            <w:pPr>
              <w:spacing w:after="0"/>
              <w:rPr>
                <w:sz w:val="1"/>
                <w:szCs w:val="1"/>
                <w:color w:val="auto"/>
              </w:rPr>
            </w:pPr>
          </w:p>
        </w:tc>
      </w:tr>
      <w:tr>
        <w:trPr>
          <w:trHeight w:val="346"/>
        </w:trPr>
        <w:tc>
          <w:tcPr>
            <w:tcW w:w="5800" w:type="dxa"/>
            <w:vAlign w:val="bottom"/>
          </w:tcPr>
          <w:p>
            <w:pPr>
              <w:ind w:left="41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42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42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42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56"/>
        </w:trPr>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7"/>
              <w:spacing w:after="0" w:line="156" w:lineRule="exact"/>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4"/>
              <w:spacing w:after="0" w:line="156"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24"/>
        </w:trPr>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jc w:val="center"/>
              <w:ind w:right="16"/>
              <w:spacing w:after="0" w:line="124" w:lineRule="exact"/>
              <w:rPr>
                <w:sz w:val="20"/>
                <w:szCs w:val="20"/>
                <w:color w:val="auto"/>
              </w:rPr>
            </w:pPr>
            <w:r>
              <w:rPr>
                <w:rFonts w:ascii="Times New Roman" w:cs="Times New Roman" w:eastAsia="Times New Roman" w:hAnsi="Times New Roman"/>
                <w:sz w:val="14"/>
                <w:szCs w:val="14"/>
                <w:color w:val="auto"/>
              </w:rPr>
              <w:t>(Unaudited)</w:t>
            </w:r>
          </w:p>
        </w:tc>
        <w:tc>
          <w:tcPr>
            <w:tcW w:w="820" w:type="dxa"/>
            <w:vAlign w:val="bottom"/>
          </w:tcPr>
          <w:p>
            <w:pPr>
              <w:spacing w:after="0"/>
              <w:rPr>
                <w:sz w:val="10"/>
                <w:szCs w:val="10"/>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(35,495)</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r>
      <w:tr>
        <w:trPr>
          <w:trHeight w:val="216"/>
        </w:trPr>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43,221,712</w:t>
            </w:r>
          </w:p>
        </w:tc>
        <w:tc>
          <w:tcPr>
            <w:tcW w:w="7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37,564,936</w:t>
            </w:r>
          </w:p>
        </w:tc>
      </w:tr>
      <w:tr>
        <w:trPr>
          <w:trHeight w:val="234"/>
        </w:trPr>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43,244,453</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43,055,112</w:t>
            </w:r>
          </w:p>
        </w:tc>
      </w:tr>
      <w:tr>
        <w:trPr>
          <w:trHeight w:val="340"/>
        </w:trPr>
        <w:tc>
          <w:tcPr>
            <w:tcW w:w="100" w:type="dxa"/>
            <w:vAlign w:val="bottom"/>
          </w:tcPr>
          <w:p>
            <w:pPr>
              <w:spacing w:after="0"/>
              <w:rPr>
                <w:sz w:val="24"/>
                <w:szCs w:val="24"/>
                <w:color w:val="auto"/>
              </w:rPr>
            </w:pPr>
          </w:p>
        </w:tc>
        <w:tc>
          <w:tcPr>
            <w:tcW w:w="2420" w:type="dxa"/>
            <w:vAlign w:val="bottom"/>
            <w:gridSpan w:val="3"/>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2"/>
        </w:trPr>
        <w:tc>
          <w:tcPr>
            <w:tcW w:w="10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4"/>
                <w:szCs w:val="14"/>
                <w:color w:val="auto"/>
              </w:rPr>
            </w:pPr>
          </w:p>
        </w:tc>
      </w:tr>
      <w:tr>
        <w:trPr>
          <w:trHeight w:val="173"/>
        </w:trPr>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24"/>
        </w:trPr>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jc w:val="center"/>
              <w:ind w:right="16"/>
              <w:spacing w:after="0" w:line="124" w:lineRule="exact"/>
              <w:rPr>
                <w:sz w:val="20"/>
                <w:szCs w:val="20"/>
                <w:color w:val="auto"/>
              </w:rPr>
            </w:pPr>
            <w:r>
              <w:rPr>
                <w:rFonts w:ascii="Times New Roman" w:cs="Times New Roman" w:eastAsia="Times New Roman" w:hAnsi="Times New Roman"/>
                <w:sz w:val="14"/>
                <w:szCs w:val="14"/>
                <w:color w:val="auto"/>
              </w:rPr>
              <w:t>(Unaudited)</w:t>
            </w:r>
          </w:p>
        </w:tc>
        <w:tc>
          <w:tcPr>
            <w:tcW w:w="820" w:type="dxa"/>
            <w:vAlign w:val="bottom"/>
          </w:tcPr>
          <w:p>
            <w:pPr>
              <w:spacing w:after="0"/>
              <w:rPr>
                <w:sz w:val="10"/>
                <w:szCs w:val="10"/>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(18,551)</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r>
      <w:tr>
        <w:trPr>
          <w:trHeight w:val="216"/>
        </w:trPr>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43,264,616</w:t>
            </w:r>
          </w:p>
        </w:tc>
        <w:tc>
          <w:tcPr>
            <w:tcW w:w="7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43,091,822</w:t>
            </w:r>
          </w:p>
        </w:tc>
      </w:tr>
      <w:tr>
        <w:trPr>
          <w:trHeight w:val="234"/>
        </w:trPr>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43,299,453</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43,112,742</w:t>
            </w:r>
          </w:p>
        </w:tc>
      </w:tr>
      <w:tr>
        <w:trPr>
          <w:trHeight w:val="340"/>
        </w:trPr>
        <w:tc>
          <w:tcPr>
            <w:tcW w:w="100" w:type="dxa"/>
            <w:vAlign w:val="bottom"/>
          </w:tcPr>
          <w:p>
            <w:pPr>
              <w:spacing w:after="0"/>
              <w:rPr>
                <w:sz w:val="24"/>
                <w:szCs w:val="24"/>
                <w:color w:val="auto"/>
              </w:rPr>
            </w:pPr>
          </w:p>
        </w:tc>
        <w:tc>
          <w:tcPr>
            <w:tcW w:w="2420" w:type="dxa"/>
            <w:vAlign w:val="bottom"/>
            <w:gridSpan w:val="3"/>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2"/>
        </w:trPr>
        <w:tc>
          <w:tcPr>
            <w:tcW w:w="10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4"/>
                <w:szCs w:val="14"/>
                <w:color w:val="auto"/>
              </w:rPr>
            </w:pPr>
          </w:p>
        </w:tc>
      </w:tr>
      <w:tr>
        <w:trPr>
          <w:trHeight w:val="173"/>
        </w:trPr>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24"/>
        </w:trPr>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jc w:val="center"/>
              <w:ind w:right="16"/>
              <w:spacing w:after="0" w:line="124" w:lineRule="exact"/>
              <w:rPr>
                <w:sz w:val="20"/>
                <w:szCs w:val="20"/>
                <w:color w:val="auto"/>
              </w:rPr>
            </w:pPr>
            <w:r>
              <w:rPr>
                <w:rFonts w:ascii="Times New Roman" w:cs="Times New Roman" w:eastAsia="Times New Roman" w:hAnsi="Times New Roman"/>
                <w:sz w:val="14"/>
                <w:szCs w:val="14"/>
                <w:color w:val="auto"/>
              </w:rPr>
              <w:t>(Unaudited)</w:t>
            </w:r>
          </w:p>
        </w:tc>
        <w:tc>
          <w:tcPr>
            <w:tcW w:w="820" w:type="dxa"/>
            <w:vAlign w:val="bottom"/>
          </w:tcPr>
          <w:p>
            <w:pPr>
              <w:spacing w:after="0"/>
              <w:rPr>
                <w:sz w:val="10"/>
                <w:szCs w:val="10"/>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(54,046)</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43,236,171</w:t>
            </w:r>
          </w:p>
        </w:tc>
        <w:tc>
          <w:tcPr>
            <w:tcW w:w="7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39,427,476</w:t>
            </w:r>
          </w:p>
        </w:tc>
      </w:tr>
      <w:tr>
        <w:trPr>
          <w:trHeight w:val="234"/>
        </w:trPr>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43,299,453</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43,112,742</w:t>
            </w:r>
          </w:p>
        </w:tc>
      </w:tr>
    </w:tbl>
    <w:p>
      <w:pPr>
        <w:spacing w:after="0" w:line="216" w:lineRule="exact"/>
        <w:rPr>
          <w:sz w:val="20"/>
          <w:szCs w:val="20"/>
          <w:color w:val="auto"/>
        </w:rPr>
      </w:pPr>
    </w:p>
    <w:p>
      <w:pPr>
        <w:sectPr>
          <w:pgSz w:w="11900" w:h="16838" w:orient="portrait"/>
          <w:cols w:equalWidth="0" w:num="2">
            <w:col w:w="6520" w:space="720"/>
            <w:col w:w="2899"/>
          </w:cols>
          <w:pgMar w:left="320" w:top="455" w:right="1440" w:bottom="1440" w:gutter="0" w:footer="0" w:header="0"/>
          <w:type w:val="continuous"/>
        </w:sectPr>
      </w:pPr>
    </w:p>
    <w:p>
      <w:pPr>
        <w:spacing w:after="0" w:line="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ADJUSTED FOR 1-FOR-10 REVERSE STOCK SPLIT (unaudited, in thousands, except per share amounts):</w:t>
      </w:r>
    </w:p>
    <w:p>
      <w:pPr>
        <w:spacing w:after="0" w:line="250"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Years Ended</w:t>
      </w:r>
    </w:p>
    <w:p>
      <w:pPr>
        <w:spacing w:after="0" w:line="6"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56"/>
        </w:trPr>
        <w:tc>
          <w:tcPr>
            <w:tcW w:w="5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7"/>
              <w:spacing w:after="0" w:line="156" w:lineRule="exact"/>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4"/>
              <w:spacing w:after="0" w:line="156"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left="537"/>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(40,837)</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(27.02)</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4,036,230</w:t>
            </w:r>
          </w:p>
        </w:tc>
        <w:tc>
          <w:tcPr>
            <w:tcW w:w="7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1,511,512</w:t>
            </w:r>
          </w:p>
        </w:tc>
        <w:tc>
          <w:tcPr>
            <w:tcW w:w="0" w:type="dxa"/>
            <w:vAlign w:val="bottom"/>
          </w:tcPr>
          <w:p>
            <w:pPr>
              <w:spacing w:after="0"/>
              <w:rPr>
                <w:sz w:val="1"/>
                <w:szCs w:val="1"/>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year end</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4,320,815</w:t>
            </w:r>
          </w:p>
        </w:tc>
        <w:tc>
          <w:tcPr>
            <w:tcW w:w="7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1,556,538</w:t>
            </w:r>
          </w:p>
        </w:tc>
        <w:tc>
          <w:tcPr>
            <w:tcW w:w="0" w:type="dxa"/>
            <w:vAlign w:val="bottom"/>
          </w:tcPr>
          <w:p>
            <w:pPr>
              <w:spacing w:after="0"/>
              <w:rPr>
                <w:sz w:val="1"/>
                <w:szCs w:val="1"/>
                <w:color w:val="auto"/>
              </w:rPr>
            </w:pPr>
          </w:p>
        </w:tc>
      </w:tr>
      <w:tr>
        <w:trPr>
          <w:trHeight w:val="321"/>
        </w:trPr>
        <w:tc>
          <w:tcPr>
            <w:tcW w:w="5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5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left="537"/>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(19,048)</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4,321,280</w:t>
            </w:r>
          </w:p>
        </w:tc>
        <w:tc>
          <w:tcPr>
            <w:tcW w:w="7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3,202,716</w:t>
            </w:r>
          </w:p>
        </w:tc>
        <w:tc>
          <w:tcPr>
            <w:tcW w:w="0" w:type="dxa"/>
            <w:vAlign w:val="bottom"/>
          </w:tcPr>
          <w:p>
            <w:pPr>
              <w:spacing w:after="0"/>
              <w:rPr>
                <w:sz w:val="1"/>
                <w:szCs w:val="1"/>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4,322,715</w:t>
            </w:r>
          </w:p>
        </w:tc>
        <w:tc>
          <w:tcPr>
            <w:tcW w:w="7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4,300,214</w:t>
            </w:r>
          </w:p>
        </w:tc>
        <w:tc>
          <w:tcPr>
            <w:tcW w:w="0" w:type="dxa"/>
            <w:vAlign w:val="bottom"/>
          </w:tcPr>
          <w:p>
            <w:pPr>
              <w:spacing w:after="0"/>
              <w:rPr>
                <w:sz w:val="1"/>
                <w:szCs w:val="1"/>
                <w:color w:val="auto"/>
              </w:rPr>
            </w:pPr>
          </w:p>
        </w:tc>
      </w:tr>
      <w:tr>
        <w:trPr>
          <w:trHeight w:val="346"/>
        </w:trPr>
        <w:tc>
          <w:tcPr>
            <w:tcW w:w="5340" w:type="dxa"/>
            <w:vAlign w:val="bottom"/>
          </w:tcPr>
          <w:p>
            <w:pPr>
              <w:ind w:left="4140"/>
              <w:spacing w:after="0"/>
              <w:rPr>
                <w:sz w:val="20"/>
                <w:szCs w:val="20"/>
                <w:color w:val="auto"/>
              </w:rPr>
            </w:pPr>
            <w:r>
              <w:rPr>
                <w:rFonts w:ascii="Times New Roman" w:cs="Times New Roman" w:eastAsia="Times New Roman" w:hAnsi="Times New Roman"/>
                <w:sz w:val="18"/>
                <w:szCs w:val="18"/>
                <w:color w:val="auto"/>
              </w:rPr>
              <w:t>9</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5" w:right="1440"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66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66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66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66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1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56"/>
        </w:trPr>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8"/>
              <w:spacing w:after="0" w:line="156" w:lineRule="exact"/>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4"/>
              <w:spacing w:after="0" w:line="156"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24"/>
        </w:trPr>
        <w:tc>
          <w:tcPr>
            <w:tcW w:w="100" w:type="dxa"/>
            <w:vAlign w:val="bottom"/>
          </w:tcPr>
          <w:p>
            <w:pPr>
              <w:spacing w:after="0"/>
              <w:rPr>
                <w:sz w:val="10"/>
                <w:szCs w:val="10"/>
                <w:color w:val="auto"/>
              </w:rPr>
            </w:pPr>
          </w:p>
        </w:tc>
        <w:tc>
          <w:tcPr>
            <w:tcW w:w="1440" w:type="dxa"/>
            <w:vAlign w:val="bottom"/>
            <w:gridSpan w:val="2"/>
          </w:tcPr>
          <w:p>
            <w:pPr>
              <w:jc w:val="center"/>
              <w:ind w:left="538"/>
              <w:spacing w:after="0" w:line="124" w:lineRule="exact"/>
              <w:rPr>
                <w:sz w:val="20"/>
                <w:szCs w:val="20"/>
                <w:color w:val="auto"/>
              </w:rPr>
            </w:pPr>
            <w:r>
              <w:rPr>
                <w:rFonts w:ascii="Times New Roman" w:cs="Times New Roman" w:eastAsia="Times New Roman" w:hAnsi="Times New Roman"/>
                <w:sz w:val="14"/>
                <w:szCs w:val="14"/>
                <w:color w:val="auto"/>
              </w:rPr>
              <w:t>(Unaudited)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(16,447)</w:t>
            </w: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4,323,052</w:t>
            </w:r>
          </w:p>
        </w:tc>
        <w:tc>
          <w:tcPr>
            <w:tcW w:w="7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4,304,185</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4,324,445</w:t>
            </w:r>
          </w:p>
        </w:tc>
        <w:tc>
          <w:tcPr>
            <w:tcW w:w="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4,305,511</w:t>
            </w:r>
          </w:p>
        </w:tc>
        <w:tc>
          <w:tcPr>
            <w:tcW w:w="0" w:type="dxa"/>
            <w:vAlign w:val="bottom"/>
          </w:tcPr>
          <w:p>
            <w:pPr>
              <w:spacing w:after="0"/>
              <w:rPr>
                <w:sz w:val="1"/>
                <w:szCs w:val="1"/>
                <w:color w:val="auto"/>
              </w:rPr>
            </w:pPr>
          </w:p>
        </w:tc>
      </w:tr>
      <w:tr>
        <w:trPr>
          <w:trHeight w:val="340"/>
        </w:trPr>
        <w:tc>
          <w:tcPr>
            <w:tcW w:w="100" w:type="dxa"/>
            <w:vAlign w:val="bottom"/>
          </w:tcPr>
          <w:p>
            <w:pPr>
              <w:spacing w:after="0"/>
              <w:rPr>
                <w:sz w:val="24"/>
                <w:szCs w:val="24"/>
                <w:color w:val="auto"/>
              </w:rPr>
            </w:pPr>
          </w:p>
        </w:tc>
        <w:tc>
          <w:tcPr>
            <w:tcW w:w="2180" w:type="dxa"/>
            <w:vAlign w:val="bottom"/>
            <w:gridSpan w:val="3"/>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74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5"/>
        </w:trPr>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00" w:type="dxa"/>
            <w:vAlign w:val="bottom"/>
          </w:tcPr>
          <w:p>
            <w:pPr>
              <w:spacing w:after="0"/>
              <w:rPr>
                <w:sz w:val="10"/>
                <w:szCs w:val="10"/>
                <w:color w:val="auto"/>
              </w:rPr>
            </w:pPr>
          </w:p>
        </w:tc>
        <w:tc>
          <w:tcPr>
            <w:tcW w:w="1440" w:type="dxa"/>
            <w:vAlign w:val="bottom"/>
            <w:gridSpan w:val="2"/>
          </w:tcPr>
          <w:p>
            <w:pPr>
              <w:jc w:val="center"/>
              <w:ind w:left="538"/>
              <w:spacing w:after="0" w:line="124" w:lineRule="exact"/>
              <w:rPr>
                <w:sz w:val="20"/>
                <w:szCs w:val="20"/>
                <w:color w:val="auto"/>
              </w:rPr>
            </w:pPr>
            <w:r>
              <w:rPr>
                <w:rFonts w:ascii="Times New Roman" w:cs="Times New Roman" w:eastAsia="Times New Roman" w:hAnsi="Times New Roman"/>
                <w:sz w:val="14"/>
                <w:szCs w:val="14"/>
                <w:color w:val="auto"/>
              </w:rPr>
              <w:t>(Unaudited)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(35,495)</w:t>
            </w: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4,322,171</w:t>
            </w:r>
          </w:p>
        </w:tc>
        <w:tc>
          <w:tcPr>
            <w:tcW w:w="7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3,756,493</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4,324,445</w:t>
            </w:r>
          </w:p>
        </w:tc>
        <w:tc>
          <w:tcPr>
            <w:tcW w:w="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4,305,511</w:t>
            </w:r>
          </w:p>
        </w:tc>
        <w:tc>
          <w:tcPr>
            <w:tcW w:w="0" w:type="dxa"/>
            <w:vAlign w:val="bottom"/>
          </w:tcPr>
          <w:p>
            <w:pPr>
              <w:spacing w:after="0"/>
              <w:rPr>
                <w:sz w:val="1"/>
                <w:szCs w:val="1"/>
                <w:color w:val="auto"/>
              </w:rPr>
            </w:pPr>
          </w:p>
        </w:tc>
      </w:tr>
      <w:tr>
        <w:trPr>
          <w:trHeight w:val="340"/>
        </w:trPr>
        <w:tc>
          <w:tcPr>
            <w:tcW w:w="100" w:type="dxa"/>
            <w:vAlign w:val="bottom"/>
          </w:tcPr>
          <w:p>
            <w:pPr>
              <w:spacing w:after="0"/>
              <w:rPr>
                <w:sz w:val="24"/>
                <w:szCs w:val="24"/>
                <w:color w:val="auto"/>
              </w:rPr>
            </w:pPr>
          </w:p>
        </w:tc>
        <w:tc>
          <w:tcPr>
            <w:tcW w:w="2180" w:type="dxa"/>
            <w:vAlign w:val="bottom"/>
            <w:gridSpan w:val="3"/>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180" w:type="dxa"/>
            <w:vAlign w:val="bottom"/>
            <w:gridSpan w:val="3"/>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24"/>
        </w:trPr>
        <w:tc>
          <w:tcPr>
            <w:tcW w:w="100" w:type="dxa"/>
            <w:vAlign w:val="bottom"/>
          </w:tcPr>
          <w:p>
            <w:pPr>
              <w:spacing w:after="0"/>
              <w:rPr>
                <w:sz w:val="10"/>
                <w:szCs w:val="10"/>
                <w:color w:val="auto"/>
              </w:rPr>
            </w:pPr>
          </w:p>
        </w:tc>
        <w:tc>
          <w:tcPr>
            <w:tcW w:w="1440" w:type="dxa"/>
            <w:vAlign w:val="bottom"/>
            <w:gridSpan w:val="2"/>
          </w:tcPr>
          <w:p>
            <w:pPr>
              <w:jc w:val="center"/>
              <w:ind w:left="538"/>
              <w:spacing w:after="0" w:line="124" w:lineRule="exact"/>
              <w:rPr>
                <w:sz w:val="20"/>
                <w:szCs w:val="20"/>
                <w:color w:val="auto"/>
              </w:rPr>
            </w:pPr>
            <w:r>
              <w:rPr>
                <w:rFonts w:ascii="Times New Roman" w:cs="Times New Roman" w:eastAsia="Times New Roman" w:hAnsi="Times New Roman"/>
                <w:sz w:val="14"/>
                <w:szCs w:val="14"/>
                <w:color w:val="auto"/>
              </w:rPr>
              <w:t>(Unaudited)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(18,551)</w:t>
            </w: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4,326,461</w:t>
            </w:r>
          </w:p>
        </w:tc>
        <w:tc>
          <w:tcPr>
            <w:tcW w:w="7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4,309,182</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4,329,945</w:t>
            </w:r>
          </w:p>
        </w:tc>
        <w:tc>
          <w:tcPr>
            <w:tcW w:w="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4,311,274</w:t>
            </w:r>
          </w:p>
        </w:tc>
        <w:tc>
          <w:tcPr>
            <w:tcW w:w="0" w:type="dxa"/>
            <w:vAlign w:val="bottom"/>
          </w:tcPr>
          <w:p>
            <w:pPr>
              <w:spacing w:after="0"/>
              <w:rPr>
                <w:sz w:val="1"/>
                <w:szCs w:val="1"/>
                <w:color w:val="auto"/>
              </w:rPr>
            </w:pPr>
          </w:p>
        </w:tc>
      </w:tr>
      <w:tr>
        <w:trPr>
          <w:trHeight w:val="340"/>
        </w:trPr>
        <w:tc>
          <w:tcPr>
            <w:tcW w:w="100" w:type="dxa"/>
            <w:vAlign w:val="bottom"/>
          </w:tcPr>
          <w:p>
            <w:pPr>
              <w:spacing w:after="0"/>
              <w:rPr>
                <w:sz w:val="24"/>
                <w:szCs w:val="24"/>
                <w:color w:val="auto"/>
              </w:rPr>
            </w:pPr>
          </w:p>
        </w:tc>
        <w:tc>
          <w:tcPr>
            <w:tcW w:w="2180" w:type="dxa"/>
            <w:vAlign w:val="bottom"/>
            <w:gridSpan w:val="3"/>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180" w:type="dxa"/>
            <w:vAlign w:val="bottom"/>
            <w:gridSpan w:val="3"/>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24"/>
        </w:trPr>
        <w:tc>
          <w:tcPr>
            <w:tcW w:w="100" w:type="dxa"/>
            <w:vAlign w:val="bottom"/>
          </w:tcPr>
          <w:p>
            <w:pPr>
              <w:spacing w:after="0"/>
              <w:rPr>
                <w:sz w:val="10"/>
                <w:szCs w:val="10"/>
                <w:color w:val="auto"/>
              </w:rPr>
            </w:pPr>
          </w:p>
        </w:tc>
        <w:tc>
          <w:tcPr>
            <w:tcW w:w="1440" w:type="dxa"/>
            <w:vAlign w:val="bottom"/>
            <w:gridSpan w:val="2"/>
          </w:tcPr>
          <w:p>
            <w:pPr>
              <w:jc w:val="center"/>
              <w:ind w:left="538"/>
              <w:spacing w:after="0" w:line="124" w:lineRule="exact"/>
              <w:rPr>
                <w:sz w:val="20"/>
                <w:szCs w:val="20"/>
                <w:color w:val="auto"/>
              </w:rPr>
            </w:pPr>
            <w:r>
              <w:rPr>
                <w:rFonts w:ascii="Times New Roman" w:cs="Times New Roman" w:eastAsia="Times New Roman" w:hAnsi="Times New Roman"/>
                <w:sz w:val="14"/>
                <w:szCs w:val="14"/>
                <w:color w:val="auto"/>
              </w:rPr>
              <w:t>(Unaudited)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(54,046)</w:t>
            </w: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4,323,617</w:t>
            </w:r>
          </w:p>
        </w:tc>
        <w:tc>
          <w:tcPr>
            <w:tcW w:w="7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3,942,747</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4,329,945</w:t>
            </w:r>
          </w:p>
        </w:tc>
        <w:tc>
          <w:tcPr>
            <w:tcW w:w="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4,311,274</w:t>
            </w:r>
          </w:p>
        </w:tc>
        <w:tc>
          <w:tcPr>
            <w:tcW w:w="0" w:type="dxa"/>
            <w:vAlign w:val="bottom"/>
          </w:tcPr>
          <w:p>
            <w:pPr>
              <w:spacing w:after="0"/>
              <w:rPr>
                <w:sz w:val="1"/>
                <w:szCs w:val="1"/>
                <w:color w:val="auto"/>
              </w:rPr>
            </w:pPr>
          </w:p>
        </w:tc>
      </w:tr>
    </w:tbl>
    <w:p>
      <w:pPr>
        <w:sectPr>
          <w:pgSz w:w="11900" w:h="16838" w:orient="portrait"/>
          <w:cols w:equalWidth="0" w:num="2">
            <w:col w:w="6760" w:space="720"/>
            <w:col w:w="2659"/>
          </w:cols>
          <w:pgMar w:left="320" w:top="455"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This prospectus relates to the potential resale from time to time of some or all of 12,635,956 shares of our common stock. The selling stockholders will receive all of the proceeds from any sale of such shares. We will not receive any proceeds from any sales of shares of our common stock by the selling stockholders</w:t>
      </w:r>
    </w:p>
    <w:p>
      <w:pPr>
        <w:spacing w:after="0" w:line="176"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We have agreed to bear the expenses in connection with the registration of the shares of common stock to be offered by this prospectus by the selling stockholders other than any underwriting discounts and commissions or transfer taxes relating to the sale of common stock, which will be borne by the selling stockholders.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320" w:top="455" w:right="5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and is qualified by reference to the Certificate of Incorporation and the Bylaws described herein, which are exhibits to the registration statement of which this prospectus is a part. We urge you to read each of the Certificate of Incorporation and the Bylaws described herein in their entirety for a complete description of the rights and preferences of our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and Outstanding Capital Stock</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authorizes the issuance of 100,000,000 shares of common stock, $0.0001 par value per share and 10,000,000 shares of preferred stock, $0.0001 par value. The outstanding shares of the Company are duly authorized, validly issued, fully paid and non-assessable. As of January 4, 2023, there was 17,405,598 shares of common stock and no shares of preferred stock issued and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Except as otherwise required by law or as otherwise provided in any certificate of designation for any series of preferred stock,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common stock possess all voting power for the election of directors and all other matters requiring stockholder action. Holders of common stock are entitled to one vote per share on matters to be voted on by stockholders. Each election of directors by stockholders will be determined by a plurality of the votes cast by the stockholders entitled to vote on the election.</w:t>
      </w:r>
    </w:p>
    <w:p>
      <w:pPr>
        <w:spacing w:after="0" w:line="176" w:lineRule="exact"/>
        <w:rPr>
          <w:sz w:val="20"/>
          <w:szCs w:val="20"/>
          <w:color w:val="auto"/>
        </w:rPr>
      </w:pPr>
    </w:p>
    <w:p>
      <w:pPr>
        <w:ind w:left="120"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Dividend rights</w:t>
      </w:r>
      <w:r>
        <w:rPr>
          <w:rFonts w:ascii="Times New Roman" w:cs="Times New Roman" w:eastAsia="Times New Roman" w:hAnsi="Times New Roman"/>
          <w:sz w:val="18"/>
          <w:szCs w:val="18"/>
          <w:color w:val="auto"/>
        </w:rPr>
        <w:t>. Holders of common stock will be entitled to receive such dividends, if any, as may be declared from time to time by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(the “Board”) in its discretion out of funds legally available therefor. In no event will any stock dividends or stock splits or combinations of stock be declared or made on shares of common stock unless the shares of common stock at the time outstanding are treated equally and identically.</w:t>
      </w:r>
    </w:p>
    <w:p>
      <w:pPr>
        <w:spacing w:after="0" w:line="176" w:lineRule="exact"/>
        <w:rPr>
          <w:sz w:val="20"/>
          <w:szCs w:val="20"/>
          <w:color w:val="auto"/>
        </w:rPr>
      </w:pPr>
    </w:p>
    <w:p>
      <w:pPr>
        <w:jc w:val="both"/>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Rights upon liquidation</w:t>
      </w:r>
      <w:r>
        <w:rPr>
          <w:rFonts w:ascii="Times New Roman" w:cs="Times New Roman" w:eastAsia="Times New Roman" w:hAnsi="Times New Roman"/>
          <w:sz w:val="18"/>
          <w:szCs w:val="18"/>
          <w:color w:val="auto"/>
        </w:rPr>
        <w:t>. In the event of a voluntary or involuntary liquidation, dissolution, distribution of assets or winding-up, the holders of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will be entitled to receive an equal amount per share of all of our assets of whatever kind available for distribution to stockholders, after the rights of the holders of the preferred stock have been satisfied.</w:t>
      </w:r>
    </w:p>
    <w:p>
      <w:pPr>
        <w:spacing w:after="0" w:line="171"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rights</w:t>
      </w:r>
      <w:r>
        <w:rPr>
          <w:rFonts w:ascii="Times New Roman" w:cs="Times New Roman" w:eastAsia="Times New Roman" w:hAnsi="Times New Roman"/>
          <w:sz w:val="18"/>
          <w:szCs w:val="18"/>
          <w:color w:val="auto"/>
        </w:rPr>
        <w:t>. The holders of common stock have no preemptive or conversion rights or other subscription rights. There are no redemption or sinking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 provisions applicable to the common stock. The rights, preferences and privileges of holders of common stock will be subject to those of the holders of any shares of the preferred stock we may issue in the future.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General Corporation Law of Delaware (the “DGCL”). The issuance of preferred stock could have the effect of decreasing the trading price of our common stock, restricting dividends on our capital stock, diluting the voting power of our common stock, impairing the liquidation rights of our capital stock, or delaying or preventing a change in control. As of the date of this prospectus, there are no shares of preferred stock outstanding, and we have no present plans to issue any shares of preferred stock.</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Company has not paid any cash dividends on the common stock to date and does not intend to pay cash dividends. The payment of cash dividends in the future will be dependent upon the Company’s revenues and earnings, if any, capital requirements and general financial condition. The payment of any cash dividends will be within the discretion of the Board at such time. Our ability to declare dividends may also be limited by restrictive covenants pursuant to any debt financing agreements.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Restrictions</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Certain of our stockholders are subject to certain restrictions on transfer of shares of our common stock until the termination of applicable lock-up periods pursuant to lock-up agreements entered into in connection with the merger.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Nasdaq under the symbol “IRON.”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and registrar for the common stock is Continental Stock Transfer &amp; Trust Company.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provides that the Board is divided into three classes of directors, with the classes to be as nearly equal in number as possible, and with each director serving a three-year term. As a result, approximately one-third of the Board will be elected each year. The classification of directors has the effect of making it more difficult for stockholders to change the composition of the Board.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11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authorized but unissued shares of Company common stock and preferred stock are 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shares of the Company’s common stock and preferred stock could make more difficult or discourage an attempt to obtain control of the Company by means of a proxy contest, tender offer, merger or otherwise.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Action; Special Meetings of Stockholders</w:t>
      </w:r>
    </w:p>
    <w:p>
      <w:pPr>
        <w:spacing w:after="0" w:line="11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Certificate of Incorporation provides that any action required or permitted to be taken by stockholders at any annual or special meeting, may not be effected by written consent or by electronic transmission, and must be effected at an annual or special meetings of stockholders called in accordance with the Bylaws. As a result, a holder controlling a majority of Company capital stock would not be able to amend the Bylaws or remove directors without holding a meeting of stockholders called in accordance with the Bylaws. This restriction does not apply to actions taken by the holders of any series of preferred stock of the Company to the extent expressly provided in the applicable preferred stock designation. Further, the Certificate of Incorporation provides that, subject to any special rights of the holders of preferred stock of the Company, only a majority of the total number of directors then in office may call special meetings of stockholders, thus prohibiting a holder of the Company’s common stock from calling a special meeting. These provisions might delay the ability of stockholders to force consideration of a proposal or for stockholders controlling a majority of Company capital stock to take any action, including the removal of directors.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60"/>
          </w:cols>
          <w:pgMar w:left="320" w:top="455" w:right="5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11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Bylaws provide that stockholders seeking to propose business before the Company’s annual meeting of stockholders, or to nominate candidates for election as directors at its annual meeting of stockholders, must provide timely notice. To be timely, a stockholder’s notice will need to be delivered to, or mailed and received at, the Company’s principal executive offices not less than on the 90th day nor earlier than the close of business on the 120th day prior to the one-year anniversary of the preceding year’s annual meeting. In the event that the date of the annual meeting is more than 30 days before or more than 60 days after such anniversary date or if no annual meeting was held in the preceding year, to be timely, a stockholder’s notice must be so received, not earlier than the close of business on the 90th day prior to the scheduled date of the annual meeting, the 10th day following the day on which public announcement of the date of such annual meeting was first made by the Company. The Company’s bylaws will also specify certain requirements as to the form and content of a stockholders’ notice. These provisions may preclude the Company’s stockholders from bringing matters before its annual meeting of stockholders or from making nominations for directors at its annual meeting of stockholders.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Amendment of Charter or Bylaws</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Bylaws may be amended or repealed by the Board or by the affirmative vote of not the holders of not less than two-thirds of the voting power of all of the shares of the capital stock of the Company entitled to vote on such amendment or repeal, voting as one class; provided, however, that if the Board recommends that stockholders approve such amendment or repeal, such amendment or repeal shall only require the affirmative vote of the majority of the outstanding shares of capital stock entitled to vote on such amendment or repeal, voting together as a single class. The affirmative vote of the holders of the majority of the outstanding shares of capital stock of the Company entitled to vote thereon as a class, and the affirmative vote of the holders of a majority of the outstanding shares of each class entitled to vote thereon as a class voting together as a single class, will be required to amend certain provisions of the Certificate of Incorporation.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Board Vacancies</w:t>
      </w:r>
    </w:p>
    <w:p>
      <w:pPr>
        <w:spacing w:after="0" w:line="11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Any vacancy on the Board may be filled solely by the affirmative vote of a majority vote of the directors then in office, even if less than a quorum, or by a sole remaining director, subject to any special rights of the holders of preferred stock of the Company. Any director chosen to fill a vacancy will hold office until the expiration of the term of the class for which he or she was elected and until his or her successor is elected and qualified or until their earlier resignation, death or removal. Except as otherwise provided by law, in the event of a vacancy in the Board, the remaining directors may exercise the powers of the full Board until the vacancy is filled.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Section 203 of the Delaware General Corporation Law</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shall not be governed by Section 203 of the DGCL.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Certificate of Incorporation provides that the Company’s directors, officers and agents will be indemnified and advanced expenses by the Company to the fullest extent permitted by law as it now exists or may in the future be amended. In addition, the Certificate of Incorporation provides that the Company’s directors will not be personally liable to the Company or its stockholders for monetary damages for breaches of their fiduciary duty as directors to the fullest extent permitted by the DGCL.</w:t>
      </w:r>
    </w:p>
    <w:p>
      <w:pPr>
        <w:spacing w:after="0" w:line="180"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also permits the Company to purchase and maintain insurance on behalf of any officer, director or employee of the Company for any liability arising out of his or her status as such, regardless of whether the DGCL would permit indemnification.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These provisions may discourage stockholders from bringing a lawsuit against the Company directors for breach of their fiduciary duty. These provisions also may have the effect of reducing the likelihood of derivative litigation against directors and officers, even though such an action, if successful, might otherwise benefit the Company and its stockholders. Furthermore, a stockholder’s investment may be adversely affected to the extent the Company pays the costs of settlement and damage awards against directors and officers pursuant to these indemnification provisions. We believe that these provisions, the insurance and the indemnity agreements are necessary to attract and retain talented and experienced directors and officers.</w:t>
      </w:r>
    </w:p>
    <w:p>
      <w:pPr>
        <w:spacing w:after="0" w:line="168"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the Company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320" w:top="455" w:right="5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prospectus relates to the potential resale from time to time of some or all of 12,635,956 shares of our common stock which were issued to the selling stockholders. The information presented regarding the selling stockholders is based, in part, on information the selling stockholders provided to us specifically for use in this prospectus. The selling stockholders may sell all, some or none of their shares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We may supplement this prospectus from time to time in the future to update or change the selling stockholders list and the number of shares of common stock that may be offered and sold by the selling stockholders. The registration for resale of the shares of common stock does not necessarily mean that the selling stockholders will sell all or any of these shares. In addition, the selling stockholders may have sold, transferred or otherwise disposed of, or may sell, transfer or otherwise dispose of, at any time and from time to time, shares of common stock in transactions exempt from the registration requirements of the Securities Act, after the date on which it provided the information set forth in the table below.</w:t>
      </w:r>
    </w:p>
    <w:p>
      <w:pPr>
        <w:spacing w:after="0" w:line="192"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Beneficial ownership for the purposes of the table below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following table sets forth, as of the date of this prospectus, the names of the selling stockholders, the aggregate number of shares of common stock beneficially owned, the aggregate number of shares of common stock that the selling stockholders may offer pursuant to this prospectus and the number of shares of common stock beneficially owned by the selling stockholders after the sale of the securities offered hereby. Because the selling stockholders are not obligated to sell the shares of common stock, we cannot estimate the amount of the shares of common stock that the selling stockholders will hold upon consummation of any such sales. For purposes of the following table, we have assumed the sale of all of the shares of common stock that may be offered for sale pursuant to this prospectus. Percentage of beneficial ownership is based on 17,405,598 shares of common stock outstanding as of January 4, 2023. Pursuant to Rule 416 under the Securities Act, the prospectus also covers any additional shares of our common stock that may become issuable in connection with shares of common stock by reason of a stock dividend, stock split or other similar transaction effected without our receiving any cash or other value, which results in an increase in the number of shares of our common stock outstanding.</w:t>
      </w:r>
    </w:p>
    <w:p>
      <w:pPr>
        <w:spacing w:after="0" w:line="19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4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14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3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Shares that</w:t>
            </w:r>
          </w:p>
        </w:tc>
        <w:tc>
          <w:tcPr>
            <w:tcW w:w="20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4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3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May Be</w:t>
            </w:r>
          </w:p>
        </w:tc>
        <w:tc>
          <w:tcPr>
            <w:tcW w:w="2060" w:type="dxa"/>
            <w:vAlign w:val="bottom"/>
            <w:gridSpan w:val="4"/>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After the Offering</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420" w:type="dxa"/>
            <w:vAlign w:val="bottom"/>
            <w:gridSpan w:val="2"/>
            <w:vMerge w:val="restart"/>
          </w:tcPr>
          <w:p>
            <w:pPr>
              <w:jc w:val="center"/>
              <w:ind w:right="540"/>
              <w:spacing w:after="0" w:line="124" w:lineRule="exact"/>
              <w:rPr>
                <w:sz w:val="20"/>
                <w:szCs w:val="20"/>
                <w:color w:val="auto"/>
              </w:rPr>
            </w:pPr>
            <w:r>
              <w:rPr>
                <w:rFonts w:ascii="Times New Roman" w:cs="Times New Roman" w:eastAsia="Times New Roman" w:hAnsi="Times New Roman"/>
                <w:sz w:val="14"/>
                <w:szCs w:val="14"/>
                <w:b w:val="1"/>
                <w:bCs w:val="1"/>
                <w:color w:val="auto"/>
              </w:rPr>
              <w:t>Owned Before</w:t>
            </w:r>
          </w:p>
        </w:tc>
        <w:tc>
          <w:tcPr>
            <w:tcW w:w="1300" w:type="dxa"/>
            <w:vAlign w:val="bottom"/>
            <w:gridSpan w:val="2"/>
            <w:vMerge w:val="restart"/>
          </w:tcPr>
          <w:p>
            <w:pPr>
              <w:jc w:val="center"/>
              <w:ind w:right="540"/>
              <w:spacing w:after="0" w:line="124" w:lineRule="exact"/>
              <w:rPr>
                <w:sz w:val="20"/>
                <w:szCs w:val="20"/>
                <w:color w:val="auto"/>
              </w:rPr>
            </w:pPr>
            <w:r>
              <w:rPr>
                <w:rFonts w:ascii="Times New Roman" w:cs="Times New Roman" w:eastAsia="Times New Roman" w:hAnsi="Times New Roman"/>
                <w:sz w:val="14"/>
                <w:szCs w:val="14"/>
                <w:b w:val="1"/>
                <w:bCs w:val="1"/>
                <w:color w:val="auto"/>
              </w:rPr>
              <w:t>Offered</w:t>
            </w: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5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Selling stockholders</w:t>
            </w:r>
          </w:p>
        </w:tc>
        <w:tc>
          <w:tcPr>
            <w:tcW w:w="1420" w:type="dxa"/>
            <w:vAlign w:val="bottom"/>
            <w:gridSpan w:val="2"/>
            <w:vMerge w:val="continue"/>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5340" w:type="dxa"/>
            <w:vAlign w:val="bottom"/>
            <w:vMerge w:val="continue"/>
          </w:tcPr>
          <w:p>
            <w:pPr>
              <w:spacing w:after="0"/>
              <w:rPr>
                <w:sz w:val="15"/>
                <w:szCs w:val="15"/>
                <w:color w:val="auto"/>
              </w:rPr>
            </w:pPr>
          </w:p>
        </w:tc>
        <w:tc>
          <w:tcPr>
            <w:tcW w:w="14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13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Hereby(9)</w:t>
            </w:r>
          </w:p>
        </w:tc>
        <w:tc>
          <w:tcPr>
            <w:tcW w:w="114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AI DMI LLC</w:t>
            </w:r>
            <w:r>
              <w:rPr>
                <w:rFonts w:ascii="Times New Roman" w:cs="Times New Roman" w:eastAsia="Times New Roman" w:hAnsi="Times New Roman"/>
                <w:sz w:val="24"/>
                <w:szCs w:val="24"/>
                <w:b w:val="1"/>
                <w:bCs w:val="1"/>
                <w:color w:val="auto"/>
                <w:vertAlign w:val="superscript"/>
              </w:rPr>
              <w:t>(1)</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2,706,976</w:t>
            </w:r>
          </w:p>
        </w:tc>
        <w:tc>
          <w:tcPr>
            <w:tcW w:w="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2,706,976</w:t>
            </w:r>
          </w:p>
        </w:tc>
        <w:tc>
          <w:tcPr>
            <w:tcW w:w="5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OrbiMed Advisors LLC</w:t>
            </w:r>
            <w:r>
              <w:rPr>
                <w:rFonts w:ascii="Times New Roman" w:cs="Times New Roman" w:eastAsia="Times New Roman" w:hAnsi="Times New Roman"/>
                <w:sz w:val="25"/>
                <w:szCs w:val="25"/>
                <w:b w:val="1"/>
                <w:bCs w:val="1"/>
                <w:color w:val="auto"/>
                <w:vertAlign w:val="superscript"/>
              </w:rPr>
              <w:t>(2)</w:t>
            </w: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2,160,941</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2,160,941</w:t>
            </w: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Atlas Ventures</w:t>
            </w:r>
            <w:r>
              <w:rPr>
                <w:rFonts w:ascii="Times New Roman" w:cs="Times New Roman" w:eastAsia="Times New Roman" w:hAnsi="Times New Roman"/>
                <w:sz w:val="25"/>
                <w:szCs w:val="25"/>
                <w:b w:val="1"/>
                <w:bCs w:val="1"/>
                <w:color w:val="auto"/>
                <w:vertAlign w:val="superscript"/>
              </w:rPr>
              <w:t>(3)</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3,461,785</w:t>
            </w: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3,461,785</w:t>
            </w:r>
          </w:p>
        </w:tc>
        <w:tc>
          <w:tcPr>
            <w:tcW w:w="1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Novo Holdings A/S</w:t>
            </w:r>
            <w:r>
              <w:rPr>
                <w:rFonts w:ascii="Times New Roman" w:cs="Times New Roman" w:eastAsia="Times New Roman" w:hAnsi="Times New Roman"/>
                <w:sz w:val="25"/>
                <w:szCs w:val="25"/>
                <w:b w:val="1"/>
                <w:bCs w:val="1"/>
                <w:color w:val="auto"/>
                <w:vertAlign w:val="superscript"/>
              </w:rPr>
              <w:t>(4)</w:t>
            </w: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2,340,772</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2,340,772</w:t>
            </w: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Arix Bioscience Holdings Limited</w:t>
            </w:r>
            <w:r>
              <w:rPr>
                <w:rFonts w:ascii="Times New Roman" w:cs="Times New Roman" w:eastAsia="Times New Roman" w:hAnsi="Times New Roman"/>
                <w:sz w:val="25"/>
                <w:szCs w:val="25"/>
                <w:color w:val="auto"/>
                <w:vertAlign w:val="superscript"/>
              </w:rPr>
              <w:t>(5)</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589,663</w:t>
            </w: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589,663</w:t>
            </w:r>
          </w:p>
        </w:tc>
        <w:tc>
          <w:tcPr>
            <w:tcW w:w="1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Janus Henderson Investors</w:t>
            </w:r>
            <w:r>
              <w:rPr>
                <w:rFonts w:ascii="Times New Roman" w:cs="Times New Roman" w:eastAsia="Times New Roman" w:hAnsi="Times New Roman"/>
                <w:sz w:val="25"/>
                <w:szCs w:val="25"/>
                <w:color w:val="auto"/>
                <w:vertAlign w:val="superscript"/>
              </w:rPr>
              <w:t>(6)</w:t>
            </w: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500,330</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500,330</w:t>
            </w: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Rock Springs Capital</w:t>
            </w:r>
            <w:r>
              <w:rPr>
                <w:rFonts w:ascii="Times New Roman" w:cs="Times New Roman" w:eastAsia="Times New Roman" w:hAnsi="Times New Roman"/>
                <w:sz w:val="25"/>
                <w:szCs w:val="25"/>
                <w:color w:val="auto"/>
                <w:vertAlign w:val="superscript"/>
              </w:rPr>
              <w:t>(7)</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339,497</w:t>
            </w: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339,497</w:t>
            </w:r>
          </w:p>
        </w:tc>
        <w:tc>
          <w:tcPr>
            <w:tcW w:w="1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5AM Opportunities II, L.P.</w:t>
            </w:r>
            <w:r>
              <w:rPr>
                <w:rFonts w:ascii="Times New Roman" w:cs="Times New Roman" w:eastAsia="Times New Roman" w:hAnsi="Times New Roman"/>
                <w:sz w:val="26"/>
                <w:szCs w:val="26"/>
                <w:color w:val="auto"/>
                <w:vertAlign w:val="superscript"/>
              </w:rPr>
              <w:t>(8)</w:t>
            </w: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535,992</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535,992</w:t>
            </w: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7715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5" w:lineRule="exact"/>
        <w:rPr>
          <w:sz w:val="20"/>
          <w:szCs w:val="20"/>
          <w:color w:val="auto"/>
        </w:rPr>
      </w:pPr>
    </w:p>
    <w:p>
      <w:pPr>
        <w:ind w:left="540" w:right="580" w:hanging="424"/>
        <w:spacing w:after="0" w:line="282"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held by AI DMI LLC may be deemed to be beneficially owned by Access Industries Holdings LLC (“AIH”), Access Industries Management, LLC (“AIM”) and Len Blavatnik because (i) AIH indirectly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60"/>
        <w:spacing w:after="0" w:line="254" w:lineRule="auto"/>
        <w:rPr>
          <w:sz w:val="20"/>
          <w:szCs w:val="20"/>
          <w:color w:val="auto"/>
        </w:rPr>
      </w:pPr>
      <w:r>
        <w:rPr>
          <w:rFonts w:ascii="Times New Roman" w:cs="Times New Roman" w:eastAsia="Times New Roman" w:hAnsi="Times New Roman"/>
          <w:sz w:val="18"/>
          <w:szCs w:val="18"/>
          <w:color w:val="auto"/>
        </w:rPr>
        <w:t>controls all of the outstanding voting interests in AI ETI LLC, (ii) AIM controls AIH and (iii) Mr. Blavatnik controls AIM and holds a majority of the outstanding voting interests in AIH. Liam Ratcliffe, a member of Disc’s board of directors, is Head of Biotechnology at Access Industries, Inc., which is an affiliate of AI DMI LLC. Each of AIM, AIH, Mr. Blavatnik and Dr. Ratcliffe, and each of their affiliated entities and the officers, partners, members and managers thereof, disclaims beneficial ownership of the shares held by AI DMI LLC. The address of AI DMI LLC is c/o Access Industries, Inc., 40 West 57th Street, 28th Floor, New York, NY 10019.</w:t>
      </w:r>
    </w:p>
    <w:p>
      <w:pPr>
        <w:spacing w:after="0" w:line="3" w:lineRule="exact"/>
        <w:rPr>
          <w:sz w:val="20"/>
          <w:szCs w:val="20"/>
          <w:color w:val="auto"/>
        </w:rPr>
      </w:pPr>
    </w:p>
    <w:p>
      <w:pPr>
        <w:ind w:left="540" w:right="160" w:hanging="424"/>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OrbiMed Advisors LLC exercises voting and investment power through a management committee comprised of Carl L. Gordon, Sven H. Borho, and W. Carter Neild. The business address is 601 Lexington Avenue, 54th Floor, New York, NY 10022.</w:t>
      </w:r>
    </w:p>
    <w:p>
      <w:pPr>
        <w:ind w:left="540" w:right="60" w:hanging="424"/>
        <w:spacing w:after="0" w:line="265" w:lineRule="auto"/>
        <w:tabs>
          <w:tab w:leader="none" w:pos="5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2,237,303 shares held by Atlas Venture Fund X, L.P. (“Atlas Fund X”), 955,156 shares held by Atlas Venture Opportunity Fund I, L.P. (“AVOF I”), 218,326 shares held by Atlas Venture Opportunity Fund II, L.P. (“AVOF II”) and 51,000 shares held by Atlas Venture Fund XII, L.P. (“Atlas Fund XII”). Atlas Venture Associates X, L.P. is the general partner of Atlas Fund X, and Atlas Venture Associates X, LLC is the general partner of Atlas Venture Associates X, L.P. Each of Atlas Fund X, Atlas Venture Associates X, L.P., and Atlas Venture Associates X, LLC may be deemed to beneficially own the shares held by Atlas Fund X. Each of Atlas Venture Associates X, L.P. and Atlas Venture Associates X, LLC disclaim Section 16 beneficial ownership of the securities owned by Atlas Fund X, except to the extent of its pecuniary interest therein, if any. The general partner of AVOF I is Atlas Venture Associates Opportunity I, L.P. (“AVAO I LP”) and the general partner of AVAO I LP is Atlas Venture Associates Opportunity I, LLC (“AVAO I LLC”). The members of AVAO I LLC collectively make investment decisions on behalf of AVAO I LLC. Kevin Bitterman, Ph.D., is a member of AVAO I LLC and a member of the Company’s Board. Each of AVOF I, AVAO I LP, AVAO I LLC and Dr. Bitterman may be deemed to beneficially own the shares held by AVOF I. Each of AVAO I LP, AVAO I LLC and Dr. Bitterman expressly disclaim beneficial ownership of the securities owned by AVOF I, except to the extent of its pecuniary interest therein, if any. The general partner of AVOF II is Atlas Venture Associates Opportunity II, L.P. (“AVAO II LP”) and the general partner of AVAO II LP is Atlas Venture Associates Opportunity II, LLC (“AVAO II LLC”). The members of AVAO II LLC collectively make investment decisions on behalf of AVAO II LLC. Dr. Bitterman is a member of AVAO II LLC and a member of the Company’s Board. Each of AVAO II LP, AVAO II LLC and Dr. Bitterman may be deemed to beneficially own the shares held by AVOF II. Each of AVOF II, AVAO II LP, AVAO II LLC and Dr. Bitterman expressly disclaim beneficial ownership of the securities owned by AVOF II, except to the extent of its pecuniary interest therein, if any. The general partner of Atlas Fund XII is Atlas Venture Associates XII, L.P. (“AVA XII LP”). Atlas Venture Associates XII, LLC (“AVA XII LLC”) is the general partner of AVA XII LP. The members of AVA XII LLC collectively make investment decisions on behalf of AVA XII LLC. Dr. Bitterman is a member of AVA XII LLC and a member of the Company’s Board. Each of Atlas Fund XII, AVA XII LP, AVA XII LLC and</w:t>
      </w:r>
    </w:p>
    <w:p>
      <w:pPr>
        <w:spacing w:after="0" w:line="2" w:lineRule="exact"/>
        <w:rPr>
          <w:rFonts w:ascii="Times New Roman" w:cs="Times New Roman" w:eastAsia="Times New Roman" w:hAnsi="Times New Roman"/>
          <w:sz w:val="17"/>
          <w:szCs w:val="17"/>
          <w:color w:val="auto"/>
        </w:rPr>
      </w:pPr>
    </w:p>
    <w:p>
      <w:pPr>
        <w:ind w:left="5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Dr. Bitterman may be deemed to beneficially own the shares held by Atlas Fund XII. Each of AVA XII LP, AVA XII LLC and Dr. Bitterman expressly disclaim Section 16 beneficial ownership of the securities owned by Atlas Fund XII, except to the extent of its pecuniary interest therein, if any. The address for Atlas Ventures is 300 Technology Sq., 8th Floor, Cambridge, MA 02139.</w:t>
      </w:r>
    </w:p>
    <w:p>
      <w:pPr>
        <w:spacing w:after="0" w:line="1" w:lineRule="exact"/>
        <w:rPr>
          <w:rFonts w:ascii="Times New Roman" w:cs="Times New Roman" w:eastAsia="Times New Roman" w:hAnsi="Times New Roman"/>
          <w:sz w:val="17"/>
          <w:szCs w:val="17"/>
          <w:color w:val="auto"/>
        </w:rPr>
      </w:pPr>
    </w:p>
    <w:p>
      <w:pPr>
        <w:ind w:left="540" w:right="160" w:hanging="424"/>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Novo Holdings A/S has the sole power to vote and dispose of the shares, and no individual or other entity is deemed to hold any beneficial ownership in the shares. Eric Snyder, Ph.D. is employed as a Partner at Novo Ventures (US), Inc., which provides certain consultancy services to Novo Holdings A/S, and is a former member of the Company’s Board. Dr. Snyder is not deemed to hold any beneficiary ownership or reportable pecuniary interest in the shares held by Novo Holdings A/S. The business address of Novo Holdings A/S is Tuborg Havnevej 19, 2900 Hellerup, Denmark.</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Arix Bioscience Holdings Limited is Duke Street House, 50 Duke Street, London W1K 6JL, United Kingdom.</w:t>
      </w:r>
    </w:p>
    <w:p>
      <w:pPr>
        <w:spacing w:after="0" w:line="9" w:lineRule="exact"/>
        <w:rPr>
          <w:rFonts w:ascii="Times New Roman" w:cs="Times New Roman" w:eastAsia="Times New Roman" w:hAnsi="Times New Roman"/>
          <w:sz w:val="18"/>
          <w:szCs w:val="18"/>
          <w:color w:val="auto"/>
        </w:rPr>
      </w:pPr>
    </w:p>
    <w:p>
      <w:pPr>
        <w:ind w:left="540" w:right="260" w:hanging="424"/>
        <w:spacing w:after="0" w:line="255"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271,998 shares held by Janus Henderson Biotech Innovation Master Fund Limited (“Janus Biotech”), (ii) 109,462 shares held by Janus Henderson Capital Funds plc - Janus Henderson Global Life Sciences Fund (“Janus Capital”), and (iii) 118,870 shares held by Janus Henderson Global Life Sciences Fund (“Janus Global Life Sciences”). Such shares owned by Janus Biotech, Janus Capital, and Janus Global</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line="253" w:lineRule="auto"/>
        <w:rPr>
          <w:sz w:val="20"/>
          <w:szCs w:val="20"/>
          <w:color w:val="auto"/>
        </w:rPr>
      </w:pPr>
      <w:r>
        <w:rPr>
          <w:rFonts w:ascii="Times New Roman" w:cs="Times New Roman" w:eastAsia="Times New Roman" w:hAnsi="Times New Roman"/>
          <w:sz w:val="18"/>
          <w:szCs w:val="18"/>
          <w:color w:val="auto"/>
        </w:rPr>
        <w:t>Life Sciences may be deemed to be beneficially owned by, Janus Henderson Investors US LLC (“Janus”), an investment adviser registered under the Investment Advisers Act of 1940, who acts as investment adviser for the Fund and has the ability to make decisions with respect to the voting and disposition of the shares subject to the oversight of the board of trustees (or similar entity) of the Fund. Under the terms of its management contract, Janus has overall responsibility for directing the investments of the Fund in accordance with the Fund’s investment objective, policies and limitations. The Fund has one or more portfolio managers appointed by and serving at the pleasure of Janus who makes decisions with respect to the disposition of the Shares. The address for Janus is 151 Detroit Street, Denver, CO 80206. The portfolio managers for this Fund are Andrew Acker and Daniel S. Lyons.</w:t>
      </w:r>
    </w:p>
    <w:p>
      <w:pPr>
        <w:spacing w:after="0" w:line="3" w:lineRule="exact"/>
        <w:rPr>
          <w:sz w:val="20"/>
          <w:szCs w:val="20"/>
          <w:color w:val="auto"/>
        </w:rPr>
      </w:pPr>
    </w:p>
    <w:p>
      <w:pPr>
        <w:ind w:left="540" w:right="120" w:hanging="424"/>
        <w:spacing w:after="0" w:line="25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271,598 shares of our common stock owned by Rock Springs Capital Master Fund LP (“Master Fund”) and (ii) 67,899 shares of our common stock owned by Four Pines Master Fund LP (“Four Pines”). Rock Springs Capital LLC (“RSC”) is the general partner of Rock Springs Capital Management LP (“RSCM”) which is the investment manager to Master Fund and Four Pines. RSC and RSCM may therefore be deemed to have or share beneficial ownership of the shares held directly by Master Fund and Four Pines. The address for RSC and RSCM is 650 South Exeter St., Suite 1070, Baltimore, Maryland 21202.</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5AM Opportunities II, L.P. is 501 Second Street, Suite 350, San Francisco, CA 94107.</w:t>
      </w:r>
    </w:p>
    <w:p>
      <w:pPr>
        <w:spacing w:after="0" w:line="9" w:lineRule="exact"/>
        <w:rPr>
          <w:rFonts w:ascii="Times New Roman" w:cs="Times New Roman" w:eastAsia="Times New Roman" w:hAnsi="Times New Roman"/>
          <w:sz w:val="18"/>
          <w:szCs w:val="18"/>
          <w:color w:val="auto"/>
        </w:rPr>
      </w:pPr>
    </w:p>
    <w:p>
      <w:pPr>
        <w:ind w:left="540" w:right="60" w:hanging="424"/>
        <w:spacing w:after="0" w:line="26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shares of common stock, including, without limitation, shares of common stock acquired in the open market are being offered under this prospectus.</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selling stockholders may sell all or a portion of the shares of common stock held by them and offered hereby from time to time, in one or more transactions, directly or through one or more underwriters, broker-dealers or agents. As used in this prospectus, the term “selling stockholders” includes any donees, pledgees, transferees or other successors in interest of the selling stockholders after the date of this prospectus. If the shares of common stock are sold through underwriters, broker-dealers, or agents, the selling stockholders will be responsible for underwriting discounts or commissions. The shares of common stock may be sold in one or more transactions at fixed prices, at prevailing market prices at the time of the sale, at varying prices determined at the time of sale, at negotiated prices or such other price as the selling stockholders determines from time to time. These sales may be effected in transactions, which may involve crosses or block transactions, pursuant to one or more of the following methods:</w:t>
      </w:r>
    </w:p>
    <w:p>
      <w:pPr>
        <w:spacing w:after="0" w:line="94"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securities exchange or quotation service on which the shares of common stock may be listed or quoted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these exchanges or systems or in the over-the-counter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whether such options are listed on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of common stock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multiple purchasers or a single purchaser;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made after the date the registration statement is declared effective by the SEC;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selling stockholders may also sell shares of common stock under Rule 144 promulgated under the Securities Act, if available, rather than under this prospectus. In addition, the selling stockholders may transfer the shares of common stock by other means not described in this prospectus. If the selling stockholders effects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the selling stockholders may enter into hedging transactions with broker-dealers, which may in turn engage in short sales of the shares of common stock in the course of hedging in positions they assume. The selling stockholders may also sell shares of common stock short and deliver shares of common stock covered by this prospectus to close out short positions and to return borrowed shares in connection with such short sales. The selling stockholders may also loan or pledge shares of common stock to broker-dealers that in turn may sell such shares.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selling stockholders may pledge or grant a security interest in some or all of the shares of common stock owned by it and, if it defaults in the performance of its secured obligations, the pledgees or secured parties may offer and sell the shares of common stock from time to time pursuant to this prospectus. The selling stockholders also may transfer and donate the shares of common stock in other circumstances in which case the pledgees, transferees, donees, or other successors in interest will be the selling beneficial owners for purposes of this prospectus.</w:t>
      </w:r>
    </w:p>
    <w:p>
      <w:pPr>
        <w:spacing w:after="0" w:line="180"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To the extent required by the Securities Act and the rules and regulations thereunder, the selling stockholders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a time a particular offering of shares of our common stock is made, an additional prospectus supplement, if required, may be distributed that will set forth the number of shares of our common stock being offered, the method of distribution and the terms of the offering, including the name or names of any underwriters, dealers or agents, the purchase price paid by any underwriter and any discount. In order to comply with the securities laws of some states, if applicable, the shares of our common stock may be sold in these jurisdictions only through registered or licensed brokers or dealers. In addition, in some states shares of our common stock may not be sold unless they has been registered or qualified for sale or an exemption from registration or qualification requirements is available and is complied with.</w:t>
      </w:r>
    </w:p>
    <w:p>
      <w:pPr>
        <w:spacing w:after="0" w:line="18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selling stockholders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of common stock by the selling stockholders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187"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not receive any proceeds from sales of any shares of common stock by the selling stockholders.</w:t>
      </w:r>
    </w:p>
    <w:p>
      <w:pPr>
        <w:spacing w:after="0" w:line="22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We cannot assure you that the selling stockholders will sell all or any portion of the shares of common stock offered hereby. We are registering the resale of shares of our common stock to provide the selling stockholders with freely tradable securities, but the registration of such shares does not necessarily mean that any of such shares will be offered or sold by the selling stockholders pursuant to this prospectus or at all.</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extent required, this prospectus may be amended and/or supplemented from time to time to describe a specific plan of distribution.</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validity of the common stock being offered by this prospectus has been passed upon for us by Goodwin Procter LLP, Boston, Massachusetts.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Disc Medicine, Inc. (formerly known as Gemini Therapeutics, Inc.) for the year ended December 31, 2021 included in the Annual Report on Form 10-K dated March 10, 2022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Disc Medicine Opco, Inc. (formerly known as Disc Medicine, Inc.) for the year ended December 31, 2021, appearing in the Company’s Current Report on Form 8-K dated December 29, 2022,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120" w:right="740"/>
        <w:spacing w:after="0" w:line="284"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www.discmedicine.com</w:t>
      </w:r>
      <w:r>
        <w:rPr>
          <w:rFonts w:ascii="Times New Roman" w:cs="Times New Roman" w:eastAsia="Times New Roman" w:hAnsi="Times New Roman"/>
          <w:sz w:val="18"/>
          <w:szCs w:val="18"/>
          <w:color w:val="auto"/>
        </w:rPr>
        <w:t>. The information on our website, however, is not, and should not be deemed to be, a part of this prospectus.</w:t>
      </w:r>
    </w:p>
    <w:p>
      <w:pPr>
        <w:spacing w:after="0" w:line="160"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83"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67"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6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2021, filed with the SEC on March 10, 2022;</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Quarterly Reports on Form 10-Q for the quarters ended March 31, 2022, June 30, 2022 and September 30, 2022, filed with the SEC on </w:t>
      </w:r>
      <w:hyperlink r:id="rId65">
        <w:r>
          <w:rPr>
            <w:rFonts w:ascii="Times New Roman" w:cs="Times New Roman" w:eastAsia="Times New Roman" w:hAnsi="Times New Roman"/>
            <w:sz w:val="18"/>
            <w:szCs w:val="18"/>
            <w:u w:val="single" w:color="auto"/>
            <w:color w:val="0000EE"/>
          </w:rPr>
          <w:t>May 6,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6">
        <w:r>
          <w:rPr>
            <w:rFonts w:ascii="Times New Roman" w:cs="Times New Roman" w:eastAsia="Times New Roman" w:hAnsi="Times New Roman"/>
            <w:sz w:val="18"/>
            <w:szCs w:val="18"/>
            <w:u w:val="single" w:color="auto"/>
            <w:color w:val="0000EE"/>
          </w:rPr>
          <w:t>August 11,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67">
        <w:r>
          <w:rPr>
            <w:rFonts w:ascii="Times New Roman" w:cs="Times New Roman" w:eastAsia="Times New Roman" w:hAnsi="Times New Roman"/>
            <w:sz w:val="18"/>
            <w:szCs w:val="18"/>
            <w:u w:val="single" w:color="auto"/>
            <w:color w:val="0000EE"/>
          </w:rPr>
          <w:t xml:space="preserve">November 10, 2022 </w:t>
        </w:r>
      </w:hyperlink>
      <w:r>
        <w:rPr>
          <w:rFonts w:ascii="Times New Roman" w:cs="Times New Roman" w:eastAsia="Times New Roman" w:hAnsi="Times New Roman"/>
          <w:sz w:val="18"/>
          <w:szCs w:val="18"/>
          <w:color w:val="000000"/>
        </w:rPr>
        <w:t>respectively;</w:t>
      </w:r>
    </w:p>
    <w:p>
      <w:pPr>
        <w:spacing w:after="0" w:line="67" w:lineRule="exact"/>
        <w:rPr>
          <w:rFonts w:ascii="Times New Roman" w:cs="Times New Roman" w:eastAsia="Times New Roman" w:hAnsi="Times New Roman"/>
          <w:sz w:val="18"/>
          <w:szCs w:val="18"/>
          <w:color w:val="0000EE"/>
        </w:rPr>
      </w:pPr>
    </w:p>
    <w:p>
      <w:pPr>
        <w:ind w:left="1080" w:right="20" w:hanging="424"/>
        <w:spacing w:after="0" w:line="261" w:lineRule="auto"/>
        <w:tabs>
          <w:tab w:leader="none" w:pos="1080" w:val="left"/>
        </w:tabs>
        <w:numPr>
          <w:ilvl w:val="0"/>
          <w:numId w:val="8"/>
        </w:numPr>
        <w:rPr>
          <w:rFonts w:ascii="Times New Roman" w:cs="Times New Roman" w:eastAsia="Times New Roman" w:hAnsi="Times New Roman"/>
          <w:sz w:val="18"/>
          <w:szCs w:val="18"/>
          <w:color w:val="000000"/>
        </w:rPr>
      </w:pPr>
      <w:hyperlink r:id="rId68">
        <w:r>
          <w:rPr>
            <w:rFonts w:ascii="Times New Roman" w:cs="Times New Roman" w:eastAsia="Times New Roman" w:hAnsi="Times New Roman"/>
            <w:sz w:val="18"/>
            <w:szCs w:val="18"/>
            <w:color w:val="auto"/>
          </w:rPr>
          <w:t xml:space="preserve">Current Reports on Form 8-K filed with the SEC on </w:t>
        </w:r>
        <w:r>
          <w:rPr>
            <w:rFonts w:ascii="Times New Roman" w:cs="Times New Roman" w:eastAsia="Times New Roman" w:hAnsi="Times New Roman"/>
            <w:sz w:val="18"/>
            <w:szCs w:val="18"/>
            <w:u w:val="single" w:color="auto"/>
            <w:color w:val="0000EE"/>
          </w:rPr>
          <w:t>January 10, 2022</w:t>
        </w:r>
        <w:r>
          <w:rPr>
            <w:rFonts w:ascii="Times New Roman" w:cs="Times New Roman" w:eastAsia="Times New Roman" w:hAnsi="Times New Roman"/>
            <w:sz w:val="18"/>
            <w:szCs w:val="18"/>
            <w:color w:val="auto"/>
          </w:rPr>
          <w:t xml:space="preserve"> (excluding information furnished pursuant to Item 7.01), </w:t>
        </w:r>
        <w:r>
          <w:rPr>
            <w:rFonts w:ascii="Times New Roman" w:cs="Times New Roman" w:eastAsia="Times New Roman" w:hAnsi="Times New Roman"/>
            <w:sz w:val="18"/>
            <w:szCs w:val="18"/>
            <w:u w:val="single" w:color="auto"/>
            <w:color w:val="0000EE"/>
          </w:rPr>
          <w:t>January 14,</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9">
        <w:r>
          <w:rPr>
            <w:rFonts w:ascii="Times New Roman" w:cs="Times New Roman" w:eastAsia="Times New Roman" w:hAnsi="Times New Roman"/>
            <w:sz w:val="18"/>
            <w:szCs w:val="18"/>
            <w:u w:val="single" w:color="auto"/>
            <w:color w:val="0000EE"/>
          </w:rPr>
          <w:t xml:space="preserve">February 28, 2022 </w:t>
        </w:r>
      </w:hyperlink>
      <w:hyperlink r:id="rId68">
        <w:r>
          <w:rPr>
            <w:rFonts w:ascii="Times New Roman" w:cs="Times New Roman" w:eastAsia="Times New Roman" w:hAnsi="Times New Roman"/>
            <w:sz w:val="18"/>
            <w:szCs w:val="18"/>
            <w:color w:val="000000"/>
          </w:rPr>
          <w:t>(excluding information furnished pursuant to Item 7.01),</w:t>
        </w:r>
        <w:r>
          <w:rPr>
            <w:rFonts w:ascii="Times New Roman" w:cs="Times New Roman" w:eastAsia="Times New Roman" w:hAnsi="Times New Roman"/>
            <w:sz w:val="18"/>
            <w:szCs w:val="18"/>
            <w:color w:val="0000EE"/>
          </w:rPr>
          <w:t xml:space="preserve"> </w:t>
        </w:r>
      </w:hyperlink>
      <w:hyperlink r:id="rId70">
        <w:r>
          <w:rPr>
            <w:rFonts w:ascii="Times New Roman" w:cs="Times New Roman" w:eastAsia="Times New Roman" w:hAnsi="Times New Roman"/>
            <w:sz w:val="18"/>
            <w:szCs w:val="18"/>
            <w:u w:val="single" w:color="auto"/>
            <w:color w:val="0000EE"/>
          </w:rPr>
          <w:t>April 5, 2022</w:t>
        </w:r>
      </w:hyperlink>
      <w:hyperlink r:id="rId6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1">
        <w:r>
          <w:rPr>
            <w:rFonts w:ascii="Times New Roman" w:cs="Times New Roman" w:eastAsia="Times New Roman" w:hAnsi="Times New Roman"/>
            <w:sz w:val="18"/>
            <w:szCs w:val="18"/>
            <w:u w:val="single" w:color="auto"/>
            <w:color w:val="0000EE"/>
          </w:rPr>
          <w:t xml:space="preserve">August 10, 2022 </w:t>
        </w:r>
      </w:hyperlink>
      <w:hyperlink r:id="rId68">
        <w:r>
          <w:rPr>
            <w:rFonts w:ascii="Times New Roman" w:cs="Times New Roman" w:eastAsia="Times New Roman" w:hAnsi="Times New Roman"/>
            <w:sz w:val="18"/>
            <w:szCs w:val="18"/>
            <w:color w:val="000000"/>
          </w:rPr>
          <w:t>(excluding information</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furnished pursuant to Item 7.01), </w:t>
      </w:r>
      <w:hyperlink r:id="rId72">
        <w:r>
          <w:rPr>
            <w:rFonts w:ascii="Times New Roman" w:cs="Times New Roman" w:eastAsia="Times New Roman" w:hAnsi="Times New Roman"/>
            <w:sz w:val="18"/>
            <w:szCs w:val="18"/>
            <w:u w:val="single" w:color="auto"/>
            <w:color w:val="0000EE"/>
          </w:rPr>
          <w:t>December 8, 2022</w:t>
        </w:r>
      </w:hyperlink>
      <w:r>
        <w:rPr>
          <w:rFonts w:ascii="Times New Roman" w:cs="Times New Roman" w:eastAsia="Times New Roman" w:hAnsi="Times New Roman"/>
          <w:sz w:val="18"/>
          <w:szCs w:val="18"/>
          <w:color w:val="000000"/>
        </w:rPr>
        <w:t xml:space="preserve">, </w:t>
      </w:r>
      <w:hyperlink r:id="rId73">
        <w:r>
          <w:rPr>
            <w:rFonts w:ascii="Times New Roman" w:cs="Times New Roman" w:eastAsia="Times New Roman" w:hAnsi="Times New Roman"/>
            <w:sz w:val="18"/>
            <w:szCs w:val="18"/>
            <w:u w:val="single" w:color="auto"/>
            <w:color w:val="0000EE"/>
          </w:rPr>
          <w:t>December 28,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and </w:t>
      </w:r>
      <w:hyperlink r:id="rId74">
        <w:r>
          <w:rPr>
            <w:rFonts w:ascii="Times New Roman" w:cs="Times New Roman" w:eastAsia="Times New Roman" w:hAnsi="Times New Roman"/>
            <w:sz w:val="18"/>
            <w:szCs w:val="18"/>
            <w:u w:val="single" w:color="auto"/>
            <w:color w:val="0000EE"/>
          </w:rPr>
          <w:t>December 29,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(excluding information furnished pursuant to Items 2.02 or 7.01, or corresponding information furnished under Item 9.01 or included as an exhibit); and</w:t>
      </w:r>
    </w:p>
    <w:p>
      <w:pPr>
        <w:spacing w:after="0" w:line="85" w:lineRule="exact"/>
        <w:rPr>
          <w:rFonts w:ascii="Times New Roman" w:cs="Times New Roman" w:eastAsia="Times New Roman" w:hAnsi="Times New Roman"/>
          <w:sz w:val="18"/>
          <w:szCs w:val="18"/>
          <w:color w:val="000000"/>
        </w:rPr>
      </w:pPr>
    </w:p>
    <w:p>
      <w:pPr>
        <w:ind w:left="1080" w:hanging="424"/>
        <w:spacing w:after="0" w:line="258"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7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August 10, 2020, and as set forth by the description of the Registrant’s common stock set forth in </w:t>
      </w:r>
      <w:hyperlink r:id="rId76">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Registrant’s Annual Report on </w:t>
      </w:r>
      <w:hyperlink r:id="rId6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2021, filed with the SEC on March 10, 2022, and as further supplemented by the description of the Registrant’s common stock set forth in the Registrant’s Registration Statement on </w:t>
      </w:r>
      <w:hyperlink r:id="rId77">
        <w:r>
          <w:rPr>
            <w:rFonts w:ascii="Times New Roman" w:cs="Times New Roman" w:eastAsia="Times New Roman" w:hAnsi="Times New Roman"/>
            <w:sz w:val="18"/>
            <w:szCs w:val="18"/>
            <w:u w:val="single" w:color="auto"/>
            <w:color w:val="0000EE"/>
          </w:rPr>
          <w:t>Form S-4/A</w:t>
        </w:r>
      </w:hyperlink>
      <w:r>
        <w:rPr>
          <w:rFonts w:ascii="Times New Roman" w:cs="Times New Roman" w:eastAsia="Times New Roman" w:hAnsi="Times New Roman"/>
          <w:sz w:val="18"/>
          <w:szCs w:val="18"/>
          <w:color w:val="auto"/>
        </w:rPr>
        <w:t>, filed with the SEC on December 1, 2022, including any amendments or reports filed for the purpose of updating such description.</w:t>
      </w:r>
    </w:p>
    <w:p>
      <w:pPr>
        <w:spacing w:after="0" w:line="116"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320"/>
        <w:spacing w:after="0" w:line="284" w:lineRule="auto"/>
        <w:rPr>
          <w:sz w:val="20"/>
          <w:szCs w:val="20"/>
          <w:color w:val="auto"/>
        </w:rPr>
      </w:pPr>
      <w:r>
        <w:rPr>
          <w:rFonts w:ascii="Times New Roman" w:cs="Times New Roman" w:eastAsia="Times New Roman" w:hAnsi="Times New Roman"/>
          <w:sz w:val="18"/>
          <w:szCs w:val="18"/>
          <w:color w:val="auto"/>
        </w:rPr>
        <w:t xml:space="preserve">These documents may also be accessed on our website at </w:t>
      </w:r>
      <w:r>
        <w:rPr>
          <w:rFonts w:ascii="Times New Roman" w:cs="Times New Roman" w:eastAsia="Times New Roman" w:hAnsi="Times New Roman"/>
          <w:sz w:val="18"/>
          <w:szCs w:val="18"/>
          <w:i w:val="1"/>
          <w:iCs w:val="1"/>
          <w:color w:val="auto"/>
        </w:rPr>
        <w:t>www.discmedicine.com</w:t>
      </w:r>
      <w:r>
        <w:rPr>
          <w:rFonts w:ascii="Times New Roman" w:cs="Times New Roman" w:eastAsia="Times New Roman" w:hAnsi="Times New Roman"/>
          <w:sz w:val="18"/>
          <w:szCs w:val="18"/>
          <w:color w:val="auto"/>
        </w:rPr>
        <w:t>. Except as otherwise specifically incorporated by reference in this prospectus, information contained in, or accessible through, our website is not a part of this prospectus.</w:t>
      </w:r>
    </w:p>
    <w:p>
      <w:pPr>
        <w:spacing w:after="0" w:line="160"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You may request a free copy of any of the documents incorporated by reference in this prospectus by writing or telephoning us at the following address:</w:t>
      </w:r>
    </w:p>
    <w:p>
      <w:pPr>
        <w:spacing w:after="0" w:line="12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(617) 674-9274</w:t>
      </w:r>
    </w:p>
    <w:p>
      <w:pPr>
        <w:spacing w:after="0" w:line="207"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60"/>
          </w:cols>
          <w:pgMar w:left="320" w:top="455" w:right="5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Other Expenses of Issuance and Distribution</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following is an estimate of the expenses (all of which are to be paid by the registrant) that we may incur in connection with the securities being registered hereby.</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26,046.38</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75,000.00</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20,000.00</w:t>
            </w: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miscellaneous expenses</w:t>
            </w:r>
          </w:p>
        </w:tc>
        <w:tc>
          <w:tcPr>
            <w:tcW w:w="1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60" w:type="dxa"/>
            <w:vAlign w:val="bottom"/>
          </w:tcPr>
          <w:p>
            <w:pPr>
              <w:spacing w:after="0"/>
              <w:rPr>
                <w:sz w:val="19"/>
                <w:szCs w:val="19"/>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123,546.38</w:t>
            </w:r>
          </w:p>
        </w:tc>
      </w:tr>
      <w:tr>
        <w:trPr>
          <w:trHeight w:val="20"/>
        </w:trPr>
        <w:tc>
          <w:tcPr>
            <w:tcW w:w="4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Indemnification of Directors and Officers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Section 145(a) of the Delaware General Corporation Law, or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188"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 such liability under Section 145.</w:t>
      </w:r>
    </w:p>
    <w:p>
      <w:pPr>
        <w:spacing w:after="0" w:line="183"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We have adopted provisions in our certificate of incorporation and bylaws, which became effective on February 5, 2021,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81" w:lineRule="exact"/>
        <w:rPr>
          <w:sz w:val="20"/>
          <w:szCs w:val="20"/>
          <w:color w:val="auto"/>
        </w:rPr>
      </w:pPr>
    </w:p>
    <w:p>
      <w:pPr>
        <w:ind w:left="5480" w:right="5080" w:hanging="4824"/>
        <w:spacing w:after="0" w:line="454" w:lineRule="auto"/>
        <w:tabs>
          <w:tab w:leader="none" w:pos="107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 II-1</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unlawful payments related to dividends or unlawful stock purchases, redemptions or other distributions;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alter director liability under the federal securities laws and do not affect the availability of equitable remedies such as an injunction or rescission.</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our bylaws provide that:</w:t>
      </w:r>
    </w:p>
    <w:p>
      <w:pPr>
        <w:spacing w:after="0" w:line="131" w:lineRule="exact"/>
        <w:rPr>
          <w:sz w:val="20"/>
          <w:szCs w:val="20"/>
          <w:color w:val="auto"/>
        </w:rPr>
      </w:pPr>
    </w:p>
    <w:p>
      <w:pPr>
        <w:ind w:left="1080" w:right="5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officers and, in the discretion of our Board, certain employees to the fullest extent permitted by the DGCL, as it now exists or may in the future be amended; and</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advance expenses, including attorneys’ fees, to our directors and, in the discretion of our Board, to our officers and certain employees, in connection with legal proceedings relating to their service for or on behalf of us, subject to limited exceptions.</w:t>
      </w:r>
    </w:p>
    <w:p>
      <w:pPr>
        <w:spacing w:after="0" w:line="16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have entered into indemnification agreements with several of our directors and executive officers. These agreements provide that we will indemnify each of our directors and executive officers to the fullest extent permitted by Delaware law. We will advance expenses, including attorneys’ fees (but excluding judgments, fines and settlement amounts), to each indemnified director or executive officer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may have certain rights to indemnification, advancement of expenses or insurance provided by their affiliates or other third parties, which indemnification relates to and might apply to the same proceedings arising out of such director’s services as a director referenced herein. Nonetheless, we have agreed in the indemnification agreements that our obligations to those same directors are primary and any obligation of such affiliates or other third parties to advance expenses or to provide indemnification for the expenses or liabilities incurred by those directors are secondary.</w:t>
      </w:r>
    </w:p>
    <w:p>
      <w:pPr>
        <w:spacing w:after="0" w:line="188"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We also maintain general liability insurance which covers certain liabilities of our directors and officers arising out of claims based on acts or omissions in their capacities as directors or officers, including liabilities under the Securities Act.</w:t>
      </w:r>
    </w:p>
    <w:p>
      <w:pPr>
        <w:spacing w:after="0" w:line="16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Under the Merger Agreement, from the effective time of the merger through the sixth anniversary of the date of the effective time, Gemini and the surviving corporation agree to indemnify and hold harmless each person who was, as of August 9, 2022, the signing date of the Merger Agreement, or had been at any time prior, or who becomes prior to the effective time of the merger, a director or officer of Gemini or Disc, against all claims, losses, liabilities, damages, judgments, fines and reasonable fees, costs and expenses pertaining to claims arising out of the fact that such person was a director or officer of Gemini or Disc, at or prior to the effective time of the merger, to the fullest extent permitted under the DGCL.</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Under the Merger Agreement, the certificate of incorporation and bylaws of the surviving corporation in the merger with respect to indemnification, advancement of expenses and exculpation of present and former directors and officers of Gemini that are set forth in the certificate of incorporation and bylaws of Gemini in effect as of August 9, 2022, the date of the Merger Agreement, shall not be amended, modified or repealed for a period of six years from the effective time of the merger in a manner that would adversely affect the rights of such individuals who at the effective time of the merger were officers or directors of Gemini, unless required by applicable law.</w:t>
      </w:r>
    </w:p>
    <w:p>
      <w:pPr>
        <w:spacing w:after="0" w:line="183"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In connection with the merger, Gemini purchased an insurance policy in effect for six years from the effective time of the merger, providing no less favorable coverage as the current directors’ and officers’ liability insurance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080"/>
          </w:cols>
          <w:pgMar w:left="320" w:top="455"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policies maintained by Gemini with respect to any actual or alleged error, misstatement, misleading statement, act, omission, neglect, breach of duty or any matter claimed against the current and former officers and directors of Gemini.</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Exhibits and Financial Statement Schedules.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Exhibits</w:t>
      </w: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60" w:type="dxa"/>
            <w:vAlign w:val="bottom"/>
            <w:gridSpan w:val="15"/>
          </w:tcPr>
          <w:p>
            <w:pPr>
              <w:ind w:left="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60" w:type="dxa"/>
            <w:vAlign w:val="bottom"/>
            <w:gridSpan w:val="15"/>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60" w:type="dxa"/>
            <w:vAlign w:val="bottom"/>
            <w:gridSpan w:val="1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720" w:type="dxa"/>
            <w:vAlign w:val="bottom"/>
          </w:tcPr>
          <w:p>
            <w:pPr>
              <w:spacing w:after="0"/>
              <w:rPr>
                <w:sz w:val="24"/>
                <w:szCs w:val="24"/>
                <w:color w:val="auto"/>
              </w:rPr>
            </w:pPr>
          </w:p>
        </w:tc>
        <w:tc>
          <w:tcPr>
            <w:tcW w:w="9800" w:type="dxa"/>
            <w:vAlign w:val="bottom"/>
            <w:tcBorders>
              <w:top w:val="single" w:sz="8" w:color="auto"/>
            </w:tcBorders>
            <w:gridSpan w:val="19"/>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283"/>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720" w:type="dxa"/>
            <w:vAlign w:val="bottom"/>
          </w:tcPr>
          <w:p>
            <w:pPr>
              <w:spacing w:after="0"/>
              <w:rPr>
                <w:sz w:val="24"/>
                <w:szCs w:val="24"/>
                <w:color w:val="auto"/>
              </w:rPr>
            </w:pPr>
          </w:p>
        </w:tc>
        <w:tc>
          <w:tcPr>
            <w:tcW w:w="9800" w:type="dxa"/>
            <w:vAlign w:val="bottom"/>
            <w:gridSpan w:val="19"/>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Agreement and Plan of Merger and Reorganization, dated as of August 9, 2022, by and among Gemini Therapeutics, Inc., Gemstone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Merger Sub, Inc. and Disc Medicine, Inc. (incorporated by reference to Exhibit 2.1 to the Company’s Proxy Statement/Prospectus on</w:t>
              </w:r>
            </w:hyperlink>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6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Form S-4 filed on September 2, 2022).</w:t>
              </w:r>
            </w:hyperlink>
          </w:p>
        </w:tc>
        <w:tc>
          <w:tcPr>
            <w:tcW w:w="2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c>
          <w:tcPr>
            <w:tcW w:w="720" w:type="dxa"/>
            <w:vAlign w:val="bottom"/>
          </w:tcPr>
          <w:p>
            <w:pPr>
              <w:spacing w:after="0"/>
              <w:rPr>
                <w:sz w:val="24"/>
                <w:szCs w:val="24"/>
                <w:color w:val="auto"/>
              </w:rPr>
            </w:pPr>
          </w:p>
        </w:tc>
        <w:tc>
          <w:tcPr>
            <w:tcW w:w="89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Amended and Restated Certificate of Incorporation of Disc Medicine, Inc. (incorporated by reference to Annex B to Gemini</w:t>
              </w:r>
            </w:hyperlink>
          </w:p>
        </w:tc>
        <w:tc>
          <w:tcPr>
            <w:tcW w:w="8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0" w:type="dxa"/>
            <w:vAlign w:val="bottom"/>
            <w:gridSpan w:val="19"/>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Therapeutics, Inc.’s Proxy Statement/Prospectus on Form S-4/A (Registration No. 333-249785)).</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tcPr>
          <w:p>
            <w:pPr>
              <w:spacing w:after="0"/>
              <w:rPr>
                <w:sz w:val="24"/>
                <w:szCs w:val="24"/>
                <w:color w:val="auto"/>
              </w:rPr>
            </w:pPr>
          </w:p>
        </w:tc>
        <w:tc>
          <w:tcPr>
            <w:tcW w:w="96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Certificate of Amendment to the Amended and Restated Certificate of Incorporation of Disc Medicine, Inc., dated December 28, 2022</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0" w:type="dxa"/>
            <w:vAlign w:val="bottom"/>
            <w:gridSpan w:val="19"/>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(incorporated by reference to Exhibit 3.1 to the Registrant’s Current Report on Form 8-K filed on December 29, 2022).</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c>
          <w:tcPr>
            <w:tcW w:w="720" w:type="dxa"/>
            <w:vAlign w:val="bottom"/>
          </w:tcPr>
          <w:p>
            <w:pPr>
              <w:spacing w:after="0"/>
              <w:rPr>
                <w:sz w:val="24"/>
                <w:szCs w:val="24"/>
                <w:color w:val="auto"/>
              </w:rPr>
            </w:pPr>
          </w:p>
        </w:tc>
        <w:tc>
          <w:tcPr>
            <w:tcW w:w="96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Certificate of Amendment to the Amended and Restated Certificate of Incorporation of Disc Medicine, Inc., dated December 29, 2022</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0" w:type="dxa"/>
            <w:vAlign w:val="bottom"/>
            <w:gridSpan w:val="19"/>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(incorporated by reference to Exhibit 3.2 to the Registrant’s Current Report on Form 8-K filed on December 29, 2022).</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720" w:type="dxa"/>
            <w:vAlign w:val="bottom"/>
          </w:tcPr>
          <w:p>
            <w:pPr>
              <w:spacing w:after="0"/>
              <w:rPr>
                <w:sz w:val="24"/>
                <w:szCs w:val="24"/>
                <w:color w:val="auto"/>
              </w:rPr>
            </w:pPr>
          </w:p>
        </w:tc>
        <w:tc>
          <w:tcPr>
            <w:tcW w:w="95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Amended and Restated By-laws of Disc Medicine, Inc. (incorporated by reference to Annex C to Gemini Therapeutics, Inc.’s Proxy</w:t>
              </w:r>
            </w:hyperlink>
          </w:p>
        </w:tc>
        <w:tc>
          <w:tcPr>
            <w:tcW w:w="3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0" w:type="dxa"/>
            <w:vAlign w:val="bottom"/>
            <w:gridSpan w:val="19"/>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Statement/Prospectus on Form S-4/A (Registration No. 333-249785)).</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w:t>
            </w:r>
          </w:p>
        </w:tc>
        <w:tc>
          <w:tcPr>
            <w:tcW w:w="720" w:type="dxa"/>
            <w:vAlign w:val="bottom"/>
          </w:tcPr>
          <w:p>
            <w:pPr>
              <w:spacing w:after="0"/>
              <w:rPr>
                <w:sz w:val="24"/>
                <w:szCs w:val="24"/>
                <w:color w:val="auto"/>
              </w:rPr>
            </w:pPr>
          </w:p>
        </w:tc>
        <w:tc>
          <w:tcPr>
            <w:tcW w:w="96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Registration Rights Agreement, among Disc Medicine, Inc. and certain of its stockholders, dated December 28, 2022 (incorporated by</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reference to Exhibit 10.1 to the Registrant’s Current Report on Form 8-K filed on December 29, 2022).</w:t>
              </w:r>
            </w:hyperlink>
          </w:p>
        </w:tc>
        <w:tc>
          <w:tcPr>
            <w:tcW w:w="23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w:t>
            </w:r>
          </w:p>
        </w:tc>
        <w:tc>
          <w:tcPr>
            <w:tcW w:w="720" w:type="dxa"/>
            <w:vAlign w:val="bottom"/>
          </w:tcPr>
          <w:p>
            <w:pPr>
              <w:spacing w:after="0"/>
              <w:rPr>
                <w:sz w:val="24"/>
                <w:szCs w:val="24"/>
                <w:color w:val="auto"/>
              </w:rPr>
            </w:pPr>
          </w:p>
        </w:tc>
        <w:tc>
          <w:tcPr>
            <w:tcW w:w="9800" w:type="dxa"/>
            <w:vAlign w:val="bottom"/>
            <w:gridSpan w:val="19"/>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Registration Rights Agreement, dated February 5, 2021, by and among the Registrant and the stockholder parties thereto (incorporated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by reference to Exhibit 10.1 to the Registrant’s Form 8-A12B/A filed on February 5, 2021).</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5.1**</w:t>
            </w:r>
          </w:p>
        </w:tc>
        <w:tc>
          <w:tcPr>
            <w:tcW w:w="24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Opinion of Goodwin Procter LLP</w:t>
            </w:r>
          </w:p>
        </w:tc>
        <w:tc>
          <w:tcPr>
            <w:tcW w:w="4160" w:type="dxa"/>
            <w:vAlign w:val="bottom"/>
            <w:tcBorders>
              <w:top w:val="single" w:sz="8" w:color="0000EE"/>
            </w:tcBorders>
            <w:gridSpan w:val="7"/>
          </w:tcPr>
          <w:p>
            <w:pPr>
              <w:spacing w:after="0"/>
              <w:rPr>
                <w:sz w:val="24"/>
                <w:szCs w:val="24"/>
                <w:color w:val="auto"/>
              </w:rPr>
            </w:pPr>
          </w:p>
        </w:tc>
        <w:tc>
          <w:tcPr>
            <w:tcW w:w="32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23.1**</w:t>
            </w:r>
          </w:p>
        </w:tc>
        <w:tc>
          <w:tcPr>
            <w:tcW w:w="52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Consent of Ernst &amp; Young LLP, independent registered accounting firm.</w:t>
            </w:r>
          </w:p>
        </w:tc>
        <w:tc>
          <w:tcPr>
            <w:tcW w:w="45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23.2**</w:t>
            </w:r>
          </w:p>
        </w:tc>
        <w:tc>
          <w:tcPr>
            <w:tcW w:w="98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Consent of Ernst &amp; Young LLP, independent registered accounting firm.</w:t>
            </w:r>
          </w:p>
        </w:tc>
        <w:tc>
          <w:tcPr>
            <w:tcW w:w="0" w:type="dxa"/>
            <w:vAlign w:val="bottom"/>
          </w:tcPr>
          <w:p>
            <w:pPr>
              <w:spacing w:after="0"/>
              <w:rPr>
                <w:sz w:val="1"/>
                <w:szCs w:val="1"/>
                <w:color w:val="auto"/>
              </w:rPr>
            </w:pPr>
          </w:p>
        </w:tc>
      </w:tr>
      <w:tr>
        <w:trPr>
          <w:trHeight w:val="304"/>
        </w:trPr>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23.3**</w:t>
            </w:r>
          </w:p>
        </w:tc>
        <w:tc>
          <w:tcPr>
            <w:tcW w:w="52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Consent of Goodwin Procter LLP (included as part of Exhibit 5.1).</w:t>
            </w:r>
          </w:p>
        </w:tc>
        <w:tc>
          <w:tcPr>
            <w:tcW w:w="46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24.1**</w:t>
            </w:r>
          </w:p>
        </w:tc>
        <w:tc>
          <w:tcPr>
            <w:tcW w:w="37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the signature page).</w:t>
            </w:r>
          </w:p>
        </w:tc>
        <w:tc>
          <w:tcPr>
            <w:tcW w:w="1060" w:type="dxa"/>
            <w:vAlign w:val="bottom"/>
            <w:tcBorders>
              <w:top w:val="single" w:sz="8" w:color="0000EE"/>
            </w:tcBorders>
          </w:tcPr>
          <w:p>
            <w:pPr>
              <w:spacing w:after="0"/>
              <w:rPr>
                <w:sz w:val="24"/>
                <w:szCs w:val="24"/>
                <w:color w:val="auto"/>
              </w:rPr>
            </w:pPr>
          </w:p>
        </w:tc>
        <w:tc>
          <w:tcPr>
            <w:tcW w:w="50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20" w:type="dxa"/>
            <w:vAlign w:val="bottom"/>
          </w:tcPr>
          <w:p>
            <w:pPr>
              <w:spacing w:after="0"/>
              <w:rPr>
                <w:sz w:val="24"/>
                <w:szCs w:val="24"/>
                <w:color w:val="auto"/>
              </w:rPr>
            </w:pPr>
          </w:p>
        </w:tc>
        <w:tc>
          <w:tcPr>
            <w:tcW w:w="98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Filing Fee Table</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40" w:right="860" w:hanging="424"/>
        <w:spacing w:after="0" w:line="261"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if necessary, subsequent to the effectiveness of this registration statement by an amendment to this registration statement or incorporated by reference pursuant to a Current Report on Form 8-K in connection with the offering of securities.</w:t>
      </w: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Item 17. </w:t>
      </w:r>
      <w:r>
        <w:rPr>
          <w:rFonts w:ascii="Times New Roman" w:cs="Times New Roman" w:eastAsia="Times New Roman" w:hAnsi="Times New Roman"/>
          <w:sz w:val="18"/>
          <w:szCs w:val="18"/>
          <w:b w:val="1"/>
          <w:bCs w:val="1"/>
          <w:i w:val="1"/>
          <w:iCs w:val="1"/>
          <w:color w:val="auto"/>
        </w:rPr>
        <w:t>Undertakings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117" w:lineRule="exact"/>
        <w:rPr>
          <w:sz w:val="20"/>
          <w:szCs w:val="20"/>
          <w:color w:val="auto"/>
        </w:rPr>
      </w:pPr>
    </w:p>
    <w:p>
      <w:pPr>
        <w:ind w:left="380" w:hanging="264"/>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 of 1933, as amended, or the Securities Act;</w:t>
      </w:r>
    </w:p>
    <w:p>
      <w:pPr>
        <w:spacing w:after="0" w:line="117" w:lineRule="exact"/>
        <w:rPr>
          <w:sz w:val="20"/>
          <w:szCs w:val="20"/>
          <w:color w:val="auto"/>
        </w:rPr>
      </w:pPr>
    </w:p>
    <w:p>
      <w:pPr>
        <w:ind w:left="120" w:right="100" w:hanging="4"/>
        <w:spacing w:after="0" w:line="255" w:lineRule="auto"/>
        <w:tabs>
          <w:tab w:leader="none" w:pos="3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120" w:right="340" w:hanging="4"/>
        <w:spacing w:after="0" w:line="282" w:lineRule="auto"/>
        <w:tabs>
          <w:tab w:leader="none" w:pos="4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above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Securities and Exchange Commission by the registrant pursuant to Section 13 or Section 15(d) of the Securities Exchange Act of 1934, as amended, or the Securities Exchange Act, that are incorporated by reference in this registration statement, or is contained in a form of prospectus filed pursuant to Rule 424(b) that is a part of the registration statement.</w:t>
      </w:r>
    </w:p>
    <w:p>
      <w:pPr>
        <w:spacing w:after="0" w:line="182" w:lineRule="exact"/>
        <w:rPr>
          <w:sz w:val="20"/>
          <w:szCs w:val="20"/>
          <w:color w:val="auto"/>
        </w:rPr>
      </w:pPr>
    </w:p>
    <w:p>
      <w:pPr>
        <w:ind w:left="120" w:right="160" w:hanging="4"/>
        <w:spacing w:after="0" w:line="266" w:lineRule="auto"/>
        <w:tabs>
          <w:tab w:leader="none" w:pos="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120" w:right="20" w:hanging="4"/>
        <w:spacing w:after="0" w:line="282" w:lineRule="auto"/>
        <w:tabs>
          <w:tab w:leader="none" w:pos="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sz w:val="20"/>
          <w:szCs w:val="20"/>
          <w:color w:val="auto"/>
        </w:rPr>
      </w:pPr>
    </w:p>
    <w:p>
      <w:pPr>
        <w:ind w:left="120" w:right="380" w:hanging="4"/>
        <w:spacing w:after="0" w:line="282" w:lineRule="auto"/>
        <w:tabs>
          <w:tab w:leader="none" w:pos="4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left="120" w:hanging="4"/>
        <w:spacing w:after="0" w:line="254" w:lineRule="auto"/>
        <w:tabs>
          <w:tab w:leader="none" w:pos="4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312" w:lineRule="auto"/>
        <w:rPr>
          <w:sz w:val="20"/>
          <w:szCs w:val="20"/>
          <w:color w:val="auto"/>
        </w:rPr>
      </w:pPr>
      <w:r>
        <w:rPr>
          <w:rFonts w:ascii="Times New Roman" w:cs="Times New Roman" w:eastAsia="Times New Roman" w:hAnsi="Times New Roman"/>
          <w:sz w:val="17"/>
          <w:szCs w:val="17"/>
          <w:color w:val="auto"/>
        </w:rPr>
        <w:t>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40" w:lineRule="exact"/>
        <w:rPr>
          <w:sz w:val="20"/>
          <w:szCs w:val="20"/>
          <w:color w:val="auto"/>
        </w:rPr>
      </w:pPr>
    </w:p>
    <w:p>
      <w:pPr>
        <w:ind w:left="120" w:hanging="4"/>
        <w:spacing w:after="0" w:line="258" w:lineRule="auto"/>
        <w:tabs>
          <w:tab w:leader="none" w:pos="3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Securities Exchange Act (and, where applicable, each filing of an employee benefit plan’s annual report pursuant to section 15(d) of the Securities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183" w:lineRule="exact"/>
        <w:rPr>
          <w:rFonts w:ascii="Times New Roman" w:cs="Times New Roman" w:eastAsia="Times New Roman" w:hAnsi="Times New Roman"/>
          <w:sz w:val="18"/>
          <w:szCs w:val="18"/>
          <w:color w:val="auto"/>
        </w:rPr>
      </w:pPr>
    </w:p>
    <w:p>
      <w:pPr>
        <w:ind w:left="120" w:right="220" w:hanging="4"/>
        <w:spacing w:after="0" w:line="254" w:lineRule="auto"/>
        <w:tabs>
          <w:tab w:leader="none" w:pos="3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Watertown, State of Massachusetts, on January 17, 2023.</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Quisel</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Quisel, J.D., Ph.D.</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3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John Quisel, J.D., Ph.D., Joanne Bryce, CPA and Rahul Khara, Pharm.D., J.D.,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192"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dated indicated.</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45"/>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1"/>
                <w:szCs w:val="21"/>
                <w:color w:val="auto"/>
              </w:rPr>
            </w:pPr>
          </w:p>
        </w:tc>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200" w:type="dxa"/>
            <w:vAlign w:val="bottom"/>
          </w:tcPr>
          <w:p>
            <w:pPr>
              <w:spacing w:after="0"/>
              <w:rPr>
                <w:sz w:val="21"/>
                <w:szCs w:val="21"/>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18"/>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John Quisel</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17, 2023</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John Quisel, J.D., Ph.D.</w:t>
            </w:r>
          </w:p>
        </w:tc>
        <w:tc>
          <w:tcPr>
            <w:tcW w:w="120" w:type="dxa"/>
            <w:vAlign w:val="bottom"/>
          </w:tcPr>
          <w:p>
            <w:pPr>
              <w:spacing w:after="0"/>
              <w:rPr>
                <w:sz w:val="19"/>
                <w:szCs w:val="19"/>
                <w:color w:val="auto"/>
              </w:rPr>
            </w:pP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Joanne Bryce</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17, 2023</w:t>
            </w:r>
          </w:p>
        </w:tc>
      </w:tr>
      <w:tr>
        <w:trPr>
          <w:trHeight w:val="178"/>
        </w:trPr>
        <w:tc>
          <w:tcPr>
            <w:tcW w:w="49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Joanne Bryce, CPA</w:t>
            </w:r>
          </w:p>
        </w:tc>
        <w:tc>
          <w:tcPr>
            <w:tcW w:w="120" w:type="dxa"/>
            <w:vAlign w:val="bottom"/>
          </w:tcPr>
          <w:p>
            <w:pPr>
              <w:spacing w:after="0"/>
              <w:rPr>
                <w:sz w:val="15"/>
                <w:szCs w:val="15"/>
                <w:color w:val="auto"/>
              </w:rPr>
            </w:pPr>
          </w:p>
        </w:tc>
        <w:tc>
          <w:tcPr>
            <w:tcW w:w="4060" w:type="dxa"/>
            <w:vAlign w:val="bottom"/>
            <w:gridSpan w:val="2"/>
          </w:tcPr>
          <w:p>
            <w:pPr>
              <w:jc w:val="center"/>
              <w:ind w:right="200"/>
              <w:spacing w:after="0" w:line="177" w:lineRule="exact"/>
              <w:rPr>
                <w:sz w:val="20"/>
                <w:szCs w:val="20"/>
                <w:color w:val="auto"/>
              </w:rPr>
            </w:pPr>
            <w:r>
              <w:rPr>
                <w:rFonts w:ascii="Times New Roman" w:cs="Times New Roman" w:eastAsia="Times New Roman" w:hAnsi="Times New Roman"/>
                <w:sz w:val="18"/>
                <w:szCs w:val="18"/>
                <w:color w:val="auto"/>
                <w:w w:val="99"/>
              </w:rPr>
              <w:t>(Principal Financial Officer and Principal</w:t>
            </w:r>
          </w:p>
        </w:tc>
        <w:tc>
          <w:tcPr>
            <w:tcW w:w="1880" w:type="dxa"/>
            <w:vAlign w:val="bottom"/>
          </w:tcPr>
          <w:p>
            <w:pPr>
              <w:spacing w:after="0"/>
              <w:rPr>
                <w:sz w:val="15"/>
                <w:szCs w:val="15"/>
                <w:color w:val="auto"/>
              </w:rPr>
            </w:pPr>
          </w:p>
        </w:tc>
      </w:tr>
      <w:tr>
        <w:trPr>
          <w:trHeight w:val="234"/>
        </w:trPr>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1880" w:type="dxa"/>
            <w:vAlign w:val="bottom"/>
          </w:tcPr>
          <w:p>
            <w:pPr>
              <w:spacing w:after="0"/>
              <w:rPr>
                <w:sz w:val="20"/>
                <w:szCs w:val="20"/>
                <w:color w:val="auto"/>
              </w:rPr>
            </w:pPr>
          </w:p>
        </w:tc>
      </w:tr>
      <w:tr>
        <w:trPr>
          <w:trHeight w:val="445"/>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Mona Ashiya</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17, 2023</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Mona Ashiya, Ph.D.</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Jay Backstrom</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17, 2023</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Jay Backstrom, M.D., M.P.H.</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Kevin Bitterman</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17, 2023</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Kevin Bitterman, Ph.D.</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Chin</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17, 2023</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 Chin, MS, MBA</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Georges Gemayel</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17, 2023</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Georges Gemayel</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Donald Nicholson</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17, 2023</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Donald Nicholson, Ph.D.</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Liam Ratcliffe</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17, 2023</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Liam Ratcliffe, M.D., Ph.D.</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White</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17, 2023</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William White, MPP, J.D.</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bl>
    <w:p>
      <w:pPr>
        <w:sectPr>
          <w:pgSz w:w="11900" w:h="16838" w:orient="portrait"/>
          <w:cols w:equalWidth="0" w:num="1">
            <w:col w:w="11140"/>
          </w:cols>
          <w:pgMar w:left="320" w:top="455" w:right="4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17,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Registered under Registration Statement on Form S-3</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S-3 (as amended or supplemented, the “Registration Statement”) filed on January 17, 2023 with the Securities and Exchange Commission (the “Commission”) pursuant to the Securities Act of 1933, as amended (the “Securities Act”), relating to the registration by Disc Medicine, Inc., a Delaware corporation (the “Company”), of the offer and resale, from time to time, by the selling stockholders listed in the Registration Statement under “Selling Stockholders,” of up to 12,635,956 shares of the Company’s common stock, par value $0.0001 per share (the “Shares”).</w:t>
      </w:r>
    </w:p>
    <w:p>
      <w:pPr>
        <w:spacing w:after="0" w:line="18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validly issued and are fully paid and non-assessable.</w:t>
      </w:r>
    </w:p>
    <w:p>
      <w:pPr>
        <w:spacing w:after="0" w:line="223"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16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GOODWIN PROCTER LLP</w:t>
      </w:r>
    </w:p>
    <w:p>
      <w:pPr>
        <w:sectPr>
          <w:pgSz w:w="11900" w:h="16838" w:orient="portrait"/>
          <w:cols w:equalWidth="0" w:num="1">
            <w:col w:w="11020"/>
          </w:cols>
          <w:pgMar w:left="440" w:top="117" w:right="4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the Registration Statement (Form S-3) and related Prospectus of Disc Medicine, Inc. for the registration of 12,635,956 shares of its common stock and to the incorporation by reference therein of our report dated March 10, 2022, with respect to the consolidated financial statements of Gemini Therapeutics, Inc. included in its Annual Report (Form 10-K) for the year ended December 31, 2021,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17, 2023</w:t>
      </w:r>
    </w:p>
    <w:p>
      <w:pPr>
        <w:sectPr>
          <w:pgSz w:w="11900" w:h="16838" w:orient="portrait"/>
          <w:cols w:equalWidth="0" w:num="1">
            <w:col w:w="11020"/>
          </w:cols>
          <w:pgMar w:left="440" w:top="117" w:right="4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the Registration Statement (Form S-3) and related Prospectus of Disc Medicine, Inc. for the registration of 12,635,956 shares of its common stock and to the incorporation by reference therein of our report dated March 25, 2022, with respect to the consolidated financial statements of Disc Medicine, Inc. included in Disc Medicine, Inc.’s Current Report on Form 8-K dated December 29, 2022, filed with the Securities and Exchange Commission.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17, 2023</w:t>
      </w:r>
    </w:p>
    <w:p>
      <w:pPr>
        <w:sectPr>
          <w:pgSz w:w="11900" w:h="16838" w:orient="portrait"/>
          <w:cols w:equalWidth="0" w:num="1">
            <w:col w:w="11020"/>
          </w:cols>
          <w:pgMar w:left="440" w:top="117" w:right="4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74" w:type="dxa"/>
        <w:tblCellMar>
          <w:top w:w="0" w:type="dxa"/>
          <w:left w:w="0" w:type="dxa"/>
          <w:bottom w:w="0" w:type="dxa"/>
          <w:right w:w="0" w:type="dxa"/>
        </w:tblCellMar>
      </w:tblPr>
      <w:tr>
        <w:trPr>
          <w:trHeight w:val="153"/>
        </w:trPr>
        <w:tc>
          <w:tcPr>
            <w:tcW w:w="2300" w:type="dxa"/>
            <w:vAlign w:val="bottom"/>
            <w:tcBorders>
              <w:top w:val="single" w:sz="8" w:color="auto"/>
              <w:left w:val="single" w:sz="8" w:color="auto"/>
            </w:tcBorders>
          </w:tcPr>
          <w:p>
            <w:pPr>
              <w:spacing w:after="0"/>
              <w:rPr>
                <w:sz w:val="13"/>
                <w:szCs w:val="13"/>
                <w:color w:val="auto"/>
              </w:rPr>
            </w:pPr>
          </w:p>
        </w:tc>
        <w:tc>
          <w:tcPr>
            <w:tcW w:w="1120" w:type="dxa"/>
            <w:vAlign w:val="bottom"/>
            <w:tcBorders>
              <w:top w:val="single" w:sz="8" w:color="auto"/>
              <w:right w:val="single" w:sz="8" w:color="auto"/>
            </w:tcBorders>
          </w:tcPr>
          <w:p>
            <w:pPr>
              <w:spacing w:after="0"/>
              <w:rPr>
                <w:sz w:val="13"/>
                <w:szCs w:val="13"/>
                <w:color w:val="auto"/>
              </w:rPr>
            </w:pPr>
          </w:p>
        </w:tc>
        <w:tc>
          <w:tcPr>
            <w:tcW w:w="86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right w:val="single" w:sz="8" w:color="auto"/>
            </w:tcBorders>
          </w:tcPr>
          <w:p>
            <w:pPr>
              <w:spacing w:after="0"/>
              <w:rPr>
                <w:sz w:val="13"/>
                <w:szCs w:val="13"/>
                <w:color w:val="auto"/>
              </w:rPr>
            </w:pPr>
          </w:p>
        </w:tc>
        <w:tc>
          <w:tcPr>
            <w:tcW w:w="1460" w:type="dxa"/>
            <w:vAlign w:val="bottom"/>
            <w:tcBorders>
              <w:top w:val="single" w:sz="8" w:color="auto"/>
              <w:right w:val="single" w:sz="8" w:color="auto"/>
            </w:tcBorders>
          </w:tcPr>
          <w:p>
            <w:pPr>
              <w:spacing w:after="0"/>
              <w:rPr>
                <w:sz w:val="13"/>
                <w:szCs w:val="13"/>
                <w:color w:val="auto"/>
              </w:rPr>
            </w:pPr>
          </w:p>
        </w:tc>
        <w:tc>
          <w:tcPr>
            <w:tcW w:w="840" w:type="dxa"/>
            <w:vAlign w:val="bottom"/>
            <w:tcBorders>
              <w:top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Proposed</w:t>
            </w:r>
          </w:p>
        </w:tc>
        <w:tc>
          <w:tcPr>
            <w:tcW w:w="1400" w:type="dxa"/>
            <w:vAlign w:val="bottom"/>
            <w:tcBorders>
              <w:top w:val="single" w:sz="8" w:color="auto"/>
              <w:right w:val="single" w:sz="8" w:color="auto"/>
            </w:tcBorders>
            <w:vMerge w:val="restart"/>
          </w:tcPr>
          <w:p>
            <w:pPr>
              <w:jc w:val="center"/>
              <w:ind w:left="2"/>
              <w:spacing w:after="0"/>
              <w:rPr>
                <w:sz w:val="20"/>
                <w:szCs w:val="20"/>
                <w:color w:val="auto"/>
              </w:rPr>
            </w:pPr>
            <w:r>
              <w:rPr>
                <w:rFonts w:ascii="Times New Roman" w:cs="Times New Roman" w:eastAsia="Times New Roman" w:hAnsi="Times New Roman"/>
                <w:sz w:val="14"/>
                <w:szCs w:val="14"/>
                <w:color w:val="auto"/>
              </w:rPr>
              <w:t>Maximum</w:t>
            </w:r>
          </w:p>
        </w:tc>
        <w:tc>
          <w:tcPr>
            <w:tcW w:w="1080" w:type="dxa"/>
            <w:vAlign w:val="bottom"/>
            <w:tcBorders>
              <w:top w:val="single" w:sz="8" w:color="auto"/>
              <w:right w:val="single" w:sz="8" w:color="auto"/>
            </w:tcBorders>
          </w:tcPr>
          <w:p>
            <w:pPr>
              <w:spacing w:after="0"/>
              <w:rPr>
                <w:sz w:val="13"/>
                <w:szCs w:val="13"/>
                <w:color w:val="auto"/>
              </w:rPr>
            </w:pPr>
          </w:p>
        </w:tc>
        <w:tc>
          <w:tcPr>
            <w:tcW w:w="98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300" w:type="dxa"/>
            <w:vAlign w:val="bottom"/>
            <w:tcBorders>
              <w:lef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Security</w:t>
            </w:r>
          </w:p>
        </w:tc>
        <w:tc>
          <w:tcPr>
            <w:tcW w:w="100" w:type="dxa"/>
            <w:vAlign w:val="bottom"/>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Fee</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Amount</w:t>
            </w:r>
          </w:p>
        </w:tc>
        <w:tc>
          <w:tcPr>
            <w:tcW w:w="84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Maximum</w:t>
            </w:r>
          </w:p>
        </w:tc>
        <w:tc>
          <w:tcPr>
            <w:tcW w:w="140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0" w:type="dxa"/>
            <w:vAlign w:val="bottom"/>
          </w:tcPr>
          <w:p>
            <w:pPr>
              <w:spacing w:after="0"/>
              <w:rPr>
                <w:sz w:val="1"/>
                <w:szCs w:val="1"/>
                <w:color w:val="auto"/>
              </w:rPr>
            </w:pPr>
          </w:p>
        </w:tc>
      </w:tr>
      <w:tr>
        <w:trPr>
          <w:trHeight w:val="148"/>
        </w:trPr>
        <w:tc>
          <w:tcPr>
            <w:tcW w:w="2300" w:type="dxa"/>
            <w:vAlign w:val="bottom"/>
            <w:tcBorders>
              <w:lef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146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Offering</w:t>
            </w:r>
          </w:p>
        </w:tc>
        <w:tc>
          <w:tcPr>
            <w:tcW w:w="1400" w:type="dxa"/>
            <w:vAlign w:val="bottom"/>
            <w:tcBorders>
              <w:right w:val="single" w:sz="8" w:color="auto"/>
            </w:tcBorders>
          </w:tcPr>
          <w:p>
            <w:pPr>
              <w:jc w:val="center"/>
              <w:ind w:left="2"/>
              <w:spacing w:after="0" w:line="149" w:lineRule="exact"/>
              <w:rPr>
                <w:sz w:val="20"/>
                <w:szCs w:val="20"/>
                <w:color w:val="auto"/>
              </w:rPr>
            </w:pPr>
            <w:r>
              <w:rPr>
                <w:rFonts w:ascii="Times New Roman" w:cs="Times New Roman" w:eastAsia="Times New Roman" w:hAnsi="Times New Roman"/>
                <w:sz w:val="14"/>
                <w:szCs w:val="14"/>
                <w:color w:val="auto"/>
              </w:rPr>
              <w:t>Aggregate</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Fee</w:t>
            </w:r>
          </w:p>
        </w:tc>
        <w:tc>
          <w:tcPr>
            <w:tcW w:w="9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Borders>
              <w:left w:val="single" w:sz="8" w:color="auto"/>
            </w:tcBorders>
            <w:vMerge w:val="restart"/>
          </w:tcPr>
          <w:p>
            <w:pPr>
              <w:jc w:val="center"/>
              <w:ind w:left="1179"/>
              <w:spacing w:after="0"/>
              <w:rPr>
                <w:sz w:val="20"/>
                <w:szCs w:val="20"/>
                <w:color w:val="auto"/>
              </w:rPr>
            </w:pPr>
            <w:r>
              <w:rPr>
                <w:rFonts w:ascii="Times New Roman" w:cs="Times New Roman" w:eastAsia="Times New Roman" w:hAnsi="Times New Roman"/>
                <w:sz w:val="14"/>
                <w:szCs w:val="14"/>
                <w:color w:val="auto"/>
              </w:rPr>
              <w:t>Security Type</w:t>
            </w:r>
          </w:p>
        </w:tc>
        <w:tc>
          <w:tcPr>
            <w:tcW w:w="11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Class</w:t>
            </w:r>
          </w:p>
        </w:tc>
        <w:tc>
          <w:tcPr>
            <w:tcW w:w="100" w:type="dxa"/>
            <w:vAlign w:val="bottom"/>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Calculation</w:t>
            </w:r>
          </w:p>
        </w:tc>
        <w:tc>
          <w:tcPr>
            <w:tcW w:w="14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Registered</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Price Per</w:t>
            </w:r>
          </w:p>
        </w:tc>
        <w:tc>
          <w:tcPr>
            <w:tcW w:w="14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Offering</w:t>
            </w:r>
          </w:p>
        </w:tc>
        <w:tc>
          <w:tcPr>
            <w:tcW w:w="1080" w:type="dxa"/>
            <w:vAlign w:val="bottom"/>
            <w:tcBorders>
              <w:right w:val="single" w:sz="8" w:color="auto"/>
            </w:tcBorders>
            <w:vMerge w:val="continue"/>
          </w:tcPr>
          <w:p>
            <w:pPr>
              <w:spacing w:after="0"/>
              <w:rPr>
                <w:sz w:val="12"/>
                <w:szCs w:val="12"/>
                <w:color w:val="auto"/>
              </w:rPr>
            </w:pP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Registration</w:t>
            </w:r>
          </w:p>
        </w:tc>
        <w:tc>
          <w:tcPr>
            <w:tcW w:w="0" w:type="dxa"/>
            <w:vAlign w:val="bottom"/>
          </w:tcPr>
          <w:p>
            <w:pPr>
              <w:spacing w:after="0"/>
              <w:rPr>
                <w:sz w:val="1"/>
                <w:szCs w:val="1"/>
                <w:color w:val="auto"/>
              </w:rPr>
            </w:pPr>
          </w:p>
        </w:tc>
      </w:tr>
      <w:tr>
        <w:trPr>
          <w:trHeight w:val="189"/>
        </w:trPr>
        <w:tc>
          <w:tcPr>
            <w:tcW w:w="2300" w:type="dxa"/>
            <w:vAlign w:val="bottom"/>
            <w:tcBorders>
              <w:left w:val="single" w:sz="8" w:color="auto"/>
              <w:bottom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Title</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Rule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Share (2)</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Price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Rate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Fee (3)</w:t>
            </w:r>
          </w:p>
        </w:tc>
        <w:tc>
          <w:tcPr>
            <w:tcW w:w="0" w:type="dxa"/>
            <w:vAlign w:val="bottom"/>
          </w:tcPr>
          <w:p>
            <w:pPr>
              <w:spacing w:after="0"/>
              <w:rPr>
                <w:sz w:val="1"/>
                <w:szCs w:val="1"/>
                <w:color w:val="auto"/>
              </w:rPr>
            </w:pPr>
          </w:p>
        </w:tc>
      </w:tr>
      <w:tr>
        <w:trPr>
          <w:trHeight w:val="205"/>
        </w:trPr>
        <w:tc>
          <w:tcPr>
            <w:tcW w:w="2300" w:type="dxa"/>
            <w:vAlign w:val="bottom"/>
            <w:tcBorders>
              <w:left w:val="single" w:sz="8" w:color="auto"/>
            </w:tcBorders>
          </w:tcPr>
          <w:p>
            <w:pPr>
              <w:jc w:val="center"/>
              <w:ind w:left="1179"/>
              <w:spacing w:after="0" w:line="205" w:lineRule="exact"/>
              <w:rPr>
                <w:sz w:val="20"/>
                <w:szCs w:val="20"/>
                <w:color w:val="auto"/>
              </w:rPr>
            </w:pPr>
            <w:r>
              <w:rPr>
                <w:rFonts w:ascii="Times New Roman" w:cs="Times New Roman" w:eastAsia="Times New Roman" w:hAnsi="Times New Roman"/>
                <w:sz w:val="18"/>
                <w:szCs w:val="18"/>
                <w:color w:val="auto"/>
                <w:w w:val="99"/>
              </w:rPr>
              <w:t>Equity</w:t>
            </w:r>
          </w:p>
        </w:tc>
        <w:tc>
          <w:tcPr>
            <w:tcW w:w="112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Common</w:t>
            </w:r>
          </w:p>
        </w:tc>
        <w:tc>
          <w:tcPr>
            <w:tcW w:w="10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w:t>
            </w: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300" w:type="dxa"/>
            <w:vAlign w:val="bottom"/>
            <w:tcBorders>
              <w:left w:val="single" w:sz="8" w:color="auto"/>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12,635,956 shares</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$18.705</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$236,355,556.98</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$0.0001102</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$26,046.38</w:t>
            </w:r>
          </w:p>
        </w:tc>
        <w:tc>
          <w:tcPr>
            <w:tcW w:w="0" w:type="dxa"/>
            <w:vAlign w:val="bottom"/>
          </w:tcPr>
          <w:p>
            <w:pPr>
              <w:spacing w:after="0"/>
              <w:rPr>
                <w:sz w:val="1"/>
                <w:szCs w:val="1"/>
                <w:color w:val="auto"/>
              </w:rPr>
            </w:pPr>
          </w:p>
        </w:tc>
      </w:tr>
      <w:tr>
        <w:trPr>
          <w:trHeight w:val="239"/>
        </w:trPr>
        <w:tc>
          <w:tcPr>
            <w:tcW w:w="2300" w:type="dxa"/>
            <w:vAlign w:val="bottom"/>
            <w:tcBorders>
              <w:left w:val="single" w:sz="8" w:color="auto"/>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78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$236,355,556.98</w:t>
            </w:r>
          </w:p>
        </w:tc>
        <w:tc>
          <w:tcPr>
            <w:tcW w:w="10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6"/>
        </w:trPr>
        <w:tc>
          <w:tcPr>
            <w:tcW w:w="2300" w:type="dxa"/>
            <w:vAlign w:val="bottom"/>
            <w:tcBorders>
              <w:left w:val="single" w:sz="8" w:color="auto"/>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78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7"/>
        </w:trPr>
        <w:tc>
          <w:tcPr>
            <w:tcW w:w="2300" w:type="dxa"/>
            <w:vAlign w:val="bottom"/>
            <w:tcBorders>
              <w:left w:val="single" w:sz="8" w:color="auto"/>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Total Fee Offsets</w:t>
            </w:r>
          </w:p>
        </w:tc>
        <w:tc>
          <w:tcPr>
            <w:tcW w:w="78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7"/>
        </w:trPr>
        <w:tc>
          <w:tcPr>
            <w:tcW w:w="2300" w:type="dxa"/>
            <w:vAlign w:val="bottom"/>
            <w:tcBorders>
              <w:left w:val="single" w:sz="8" w:color="auto"/>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Net Fee Due</w:t>
            </w:r>
          </w:p>
        </w:tc>
        <w:tc>
          <w:tcPr>
            <w:tcW w:w="78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$26,046.38</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424" w:right="220" w:hanging="424"/>
        <w:spacing w:after="0" w:line="257"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12,635,956 outstanding shares of the registrant’s common stock. Pursuant to Rule 416(a) of the Securities Act of 1933, as amended, this registration statement also covers such additional shares as may hereafter be offered or issued to prevent dilution resulting from stock splits, stock dividends, recapitalizations or certain other capital adjustments.</w:t>
      </w:r>
    </w:p>
    <w:p>
      <w:pPr>
        <w:spacing w:after="0" w:line="1" w:lineRule="exact"/>
        <w:rPr>
          <w:rFonts w:ascii="Times New Roman" w:cs="Times New Roman" w:eastAsia="Times New Roman" w:hAnsi="Times New Roman"/>
          <w:sz w:val="18"/>
          <w:szCs w:val="18"/>
          <w:color w:val="auto"/>
        </w:rPr>
      </w:pPr>
    </w:p>
    <w:p>
      <w:pPr>
        <w:ind w:left="424" w:right="180" w:hanging="424"/>
        <w:spacing w:after="0" w:line="250"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in accordance with Rule 457(c) under the Securities Act of 1933, as amended. The price per share and aggregate offering price are based on the average of the high and low prices of the registrant’s common stock on January 12, 2023, as reported on Nasdaq.</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pursuant to Section 6(b) of the Securities Act.</w:t>
      </w:r>
    </w:p>
    <w:p>
      <w:pPr>
        <w:spacing w:after="0" w:line="203" w:lineRule="exact"/>
        <w:rPr>
          <w:sz w:val="20"/>
          <w:szCs w:val="20"/>
          <w:color w:val="auto"/>
        </w:rPr>
      </w:pPr>
    </w:p>
    <w:p>
      <w:pPr>
        <w:jc w:val="both"/>
        <w:ind w:left="4" w:right="78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2"/>
    </w:lvl>
  </w:abstractNum>
  <w:abstractNum w:abstractNumId="5">
    <w:nsid w:val="140E0F76"/>
    <w:multiLevelType w:val="hybridMultilevel"/>
    <w:lvl w:ilvl="0">
      <w:lvlJc w:val="left"/>
      <w:lvlText w:val="(%1)"/>
      <w:numFmt w:val="decimal"/>
      <w:start w:val="7"/>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lowerRoman"/>
      <w:start w:val="2"/>
    </w:lvl>
  </w:abstractNum>
  <w:abstractNum w:abstractNumId="15">
    <w:nsid w:val="519B500D"/>
    <w:multiLevelType w:val="hybridMultilevel"/>
    <w:lvl w:ilvl="0">
      <w:lvlJc w:val="left"/>
      <w:lvlText w:val="(%1)"/>
      <w:numFmt w:val="decimal"/>
      <w:start w:val="2"/>
    </w:lvl>
  </w:abstractNum>
  <w:abstractNum w:abstractNumId="16">
    <w:nsid w:val="431BD7B7"/>
    <w:multiLevelType w:val="hybridMultilevel"/>
    <w:lvl w:ilvl="0">
      <w:lvlJc w:val="left"/>
      <w:lvlText w:val="(%1)"/>
      <w:numFmt w:val="upperLetter"/>
      <w:start w:val="1"/>
    </w:lvl>
  </w:abstractNum>
  <w:abstractNum w:abstractNumId="17">
    <w:nsid w:val="3F2DBA31"/>
    <w:multiLevelType w:val="hybridMultilevel"/>
    <w:lvl w:ilvl="0">
      <w:lvlJc w:val="left"/>
      <w:lvlText w:val="(%1)"/>
      <w:numFmt w:val="lowerLetter"/>
      <w:start w:val="2"/>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9" Type="http://schemas.openxmlformats.org/officeDocument/2006/relationships/image" Target="media/image61.png"/><Relationship Id="rId90" Type="http://schemas.openxmlformats.org/officeDocument/2006/relationships/image" Target="media/image62.png"/><Relationship Id="rId91" Type="http://schemas.openxmlformats.org/officeDocument/2006/relationships/image" Target="media/image63.png"/><Relationship Id="rId92" Type="http://schemas.openxmlformats.org/officeDocument/2006/relationships/image" Target="media/image64.png"/><Relationship Id="rId64" Type="http://schemas.openxmlformats.org/officeDocument/2006/relationships/hyperlink" Target="http://www.sec.gov/ix?doc=/Archives/edgar/data/1816736/000095017022003288/gmtx-20211231.htm" TargetMode="External"/><Relationship Id="rId65" Type="http://schemas.openxmlformats.org/officeDocument/2006/relationships/hyperlink" Target="http://www.sec.gov/ix?doc=/Archives/edgar/data/1816736/000095017022008015/gmtx-20220331.htm" TargetMode="External"/><Relationship Id="rId66" Type="http://schemas.openxmlformats.org/officeDocument/2006/relationships/hyperlink" Target="http://www.sec.gov/ix?doc=/Archives/edgar/data/1816736/000095017022016671/gmtx-20220630.htm" TargetMode="External"/><Relationship Id="rId67" Type="http://schemas.openxmlformats.org/officeDocument/2006/relationships/hyperlink" Target="http://www.sec.gov/ix?doc=/Archives/edgar/data/1816736/000095017022024195/gmtx-20220930.htm" TargetMode="External"/><Relationship Id="rId68" Type="http://schemas.openxmlformats.org/officeDocument/2006/relationships/hyperlink" Target="http://www.sec.gov/ix?doc=/Archives/edgar/data/1816736/000119312522009374/d237658d8k.htm" TargetMode="External"/><Relationship Id="rId69" Type="http://schemas.openxmlformats.org/officeDocument/2006/relationships/hyperlink" Target="http://www.sec.gov/ix?doc=/Archives/edgar/data/1816736/000119312522055899/d29362d8k.htm" TargetMode="External"/><Relationship Id="rId70" Type="http://schemas.openxmlformats.org/officeDocument/2006/relationships/hyperlink" Target="http://www.sec.gov/ix?doc=/Archives/edgar/data/1816736/000119312522095633/d345871d8k.htm" TargetMode="External"/><Relationship Id="rId71" Type="http://schemas.openxmlformats.org/officeDocument/2006/relationships/hyperlink" Target="http://www.sec.gov/ix?doc=/Archives/edgar/data/1816736/000119312522216814/d94880d8k.htm" TargetMode="External"/><Relationship Id="rId72" Type="http://schemas.openxmlformats.org/officeDocument/2006/relationships/hyperlink" Target="http://www.sec.gov/ix?doc=/Archives/edgar/data/1816736/000119312522301064/d425106d8k.htm" TargetMode="External"/><Relationship Id="rId73" Type="http://schemas.openxmlformats.org/officeDocument/2006/relationships/hyperlink" Target="http://www.sec.gov/ix?doc=/Archives/edgar/data/1816736/000114036122047153/brhc10045909_8k.htm" TargetMode="External"/><Relationship Id="rId74" Type="http://schemas.openxmlformats.org/officeDocument/2006/relationships/hyperlink" Target="http://www.sec.gov/ix?doc=/Archives/edgar/data/1816736/000114036122047453/brhc10045896_8k.htm" TargetMode="External"/><Relationship Id="rId75" Type="http://schemas.openxmlformats.org/officeDocument/2006/relationships/hyperlink" Target="http://www.sec.gov/Archives/edgar/data/1816736/000121390020021145/ea125295-8a12b_fsdevelop.htm" TargetMode="External"/><Relationship Id="rId76" Type="http://schemas.openxmlformats.org/officeDocument/2006/relationships/hyperlink" Target="http://www.sec.gov/Archives/edgar/data/1816736/000095017022003288/gmtx-ex4_4.htm" TargetMode="External"/><Relationship Id="rId77" Type="http://schemas.openxmlformats.org/officeDocument/2006/relationships/hyperlink" Target="http://www.sec.gov/Archives/edgar/data/1816736/000114036122043943/ny20005172x8_s4a.htm" TargetMode="External"/><Relationship Id="rId82" Type="http://schemas.openxmlformats.org/officeDocument/2006/relationships/hyperlink" Target="http://www.sec.gov/Archives/edgar/data/1816736/000114036122032239/ny20005172x1_s4.htm#tANNEXA" TargetMode="External"/><Relationship Id="rId83" Type="http://schemas.openxmlformats.org/officeDocument/2006/relationships/hyperlink" Target="http://www.sec.gov/Archives/edgar/data/1816736/000121390021002636/fs42021a5_fsdevelopment.htm#T52" TargetMode="External"/><Relationship Id="rId84" Type="http://schemas.openxmlformats.org/officeDocument/2006/relationships/hyperlink" Target="http://www.sec.gov/Archives/edgar/data/1816736/000114036122047453/brhc10045896_ex3-1.htm" TargetMode="External"/><Relationship Id="rId85" Type="http://schemas.openxmlformats.org/officeDocument/2006/relationships/hyperlink" Target="http://www.sec.gov/Archives/edgar/data/1816736/000114036122047453/brhc10045896_ex3-2.htm" TargetMode="External"/><Relationship Id="rId86" Type="http://schemas.openxmlformats.org/officeDocument/2006/relationships/hyperlink" Target="http://www.sec.gov/Archives/edgar/data/1816736/000121390021002636/fs42021a5_fsdevelopment.htm#T53" TargetMode="External"/><Relationship Id="rId87" Type="http://schemas.openxmlformats.org/officeDocument/2006/relationships/hyperlink" Target="http://www.sec.gov/Archives/edgar/data/1816736/000114036122047453/brhc10045896_ex10-1.htm" TargetMode="External"/><Relationship Id="rId88" Type="http://schemas.openxmlformats.org/officeDocument/2006/relationships/hyperlink" Target="http://www.sec.gov/Archives/edgar/data/1816736/000121390021007091/ea134758ex10-1_gemin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2023-01-18T05:09:20Z</dcterms:created>
  <dcterms:modified xsi:type="dcterms:W3CDTF">2023-01-18T05:09:20Z</dcterms:modified>
</cp:coreProperties>
</file>