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47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Khara Rahul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Disc Medicine,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IRON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00" w:type="dxa"/>
            <w:vAlign w:val="bottom"/>
            <w:tcBorders>
              <w:bottom w:val="single" w:sz="8" w:color="0000EE"/>
            </w:tcBorders>
          </w:tcPr>
          <w:p>
            <w:pPr>
              <w:spacing w:after="0"/>
              <w:rPr>
                <w:sz w:val="3"/>
                <w:szCs w:val="3"/>
                <w:color w:val="auto"/>
              </w:rPr>
            </w:pPr>
          </w:p>
        </w:tc>
        <w:tc>
          <w:tcPr>
            <w:tcW w:w="2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01/10/2024</w:t>
            </w: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01/10/2024</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14,035</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0.00</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14,035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01/10/2024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21,050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01/09/2034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21,050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21,050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this option shall vest and become exercisable on January 10, 2025, with the remainder vesting in 36 equal monthly installments thereafter,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By: /s/ Rahul Khara</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03/01/2024</w:t>
            </w: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1850"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2024-03-01T18:47:24Z</dcterms:created>
  <dcterms:modified xsi:type="dcterms:W3CDTF">2024-03-01T18:47:24Z</dcterms:modified>
</cp:coreProperties>
</file>