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00" w:right="9540" w:hanging="3"/>
        <w:spacing w:after="0" w:line="530" w:lineRule="auto"/>
        <w:tabs>
          <w:tab w:leader="none" w:pos="55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540" w:hanging="143"/>
        <w:spacing w:after="0"/>
        <w:tabs>
          <w:tab w:leader="none" w:pos="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709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820" w:hanging="533"/>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3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704,400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5.63%*</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34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Opaleye, L.P.</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704,400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5.63%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34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James Silverman</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704,400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704,400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5.63%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5 of 8 Pages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name of the issuer is Gemini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Company’s principal executive offices are located at 300 One Kendall Square, 3rd Floor, Cambridge, MA 02139.</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jc w:val="both"/>
        <w:ind w:left="1040" w:right="20"/>
        <w:spacing w:after="0" w:line="277"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with respect to the shares of common stock of the Company:</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Opaleye Fund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a private fund formed in the state of Delaware.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Investment Manager</w:t>
      </w:r>
    </w:p>
    <w:p>
      <w:pPr>
        <w:spacing w:after="0" w:line="225" w:lineRule="exact"/>
        <w:rPr>
          <w:sz w:val="20"/>
          <w:szCs w:val="20"/>
          <w:color w:val="auto"/>
        </w:rPr>
      </w:pPr>
    </w:p>
    <w:p>
      <w:pPr>
        <w:jc w:val="both"/>
        <w:ind w:left="1040"/>
        <w:spacing w:after="0" w:line="279" w:lineRule="auto"/>
        <w:rPr>
          <w:sz w:val="20"/>
          <w:szCs w:val="20"/>
          <w:color w:val="auto"/>
        </w:rPr>
      </w:pPr>
      <w:r>
        <w:rPr>
          <w:rFonts w:ascii="Arial" w:cs="Arial" w:eastAsia="Arial" w:hAnsi="Arial"/>
          <w:sz w:val="17"/>
          <w:szCs w:val="17"/>
          <w:color w:val="auto"/>
        </w:rPr>
        <w:t>Opaleye Management Inc. (the “</w:t>
      </w:r>
      <w:r>
        <w:rPr>
          <w:rFonts w:ascii="Arial" w:cs="Arial" w:eastAsia="Arial" w:hAnsi="Arial"/>
          <w:sz w:val="17"/>
          <w:szCs w:val="17"/>
          <w:u w:val="single" w:color="auto"/>
          <w:color w:val="auto"/>
        </w:rPr>
        <w:t>Investment Manager</w:t>
      </w:r>
      <w:r>
        <w:rPr>
          <w:rFonts w:ascii="Arial" w:cs="Arial" w:eastAsia="Arial" w:hAnsi="Arial"/>
          <w:sz w:val="17"/>
          <w:szCs w:val="17"/>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Arial" w:cs="Arial" w:eastAsia="Arial" w:hAnsi="Arial"/>
          <w:sz w:val="17"/>
          <w:szCs w:val="17"/>
          <w:u w:val="single" w:color="auto"/>
          <w:color w:val="auto"/>
        </w:rPr>
        <w:t>Managed Account</w:t>
      </w:r>
      <w:r>
        <w:rPr>
          <w:rFonts w:ascii="Arial" w:cs="Arial" w:eastAsia="Arial" w:hAnsi="Arial"/>
          <w:sz w:val="17"/>
          <w:szCs w:val="17"/>
          <w:color w:val="auto"/>
        </w:rPr>
        <w:t>”) and may be deemed to indirectly beneficially own securities owned by the Managed Account. The Investment Manager disclaims beneficial ownership of the shares held by the Managed Account.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Reporting Individual</w:t>
      </w:r>
    </w:p>
    <w:p>
      <w:pPr>
        <w:spacing w:after="0" w:line="225" w:lineRule="exact"/>
        <w:rPr>
          <w:sz w:val="20"/>
          <w:szCs w:val="20"/>
          <w:color w:val="auto"/>
        </w:rPr>
      </w:pPr>
    </w:p>
    <w:p>
      <w:pPr>
        <w:jc w:val="both"/>
        <w:ind w:left="1040" w:right="20"/>
        <w:spacing w:after="0" w:line="277" w:lineRule="auto"/>
        <w:rPr>
          <w:sz w:val="20"/>
          <w:szCs w:val="20"/>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6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040"/>
        <w:spacing w:after="0"/>
        <w:rPr>
          <w:sz w:val="20"/>
          <w:szCs w:val="20"/>
          <w:color w:val="auto"/>
        </w:rPr>
      </w:pPr>
      <w:r>
        <w:rPr>
          <w:rFonts w:ascii="Arial" w:cs="Arial" w:eastAsia="Arial" w:hAnsi="Arial"/>
          <w:sz w:val="18"/>
          <w:szCs w:val="18"/>
          <w:color w:val="auto"/>
        </w:rPr>
        <w:t>Boston, Massachusetts 02108</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jc w:val="both"/>
        <w:ind w:left="104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Class A Common Stock, $0.0001 par value per share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1000" w:hanging="70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00" w:hanging="71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00" w:hanging="70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1000" w:hanging="71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00" w:hanging="70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000" w:hanging="69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000" w:hanging="71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000" w:hanging="71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sz w:val="20"/>
          <w:szCs w:val="20"/>
          <w:color w:val="auto"/>
        </w:rPr>
      </w:pPr>
    </w:p>
    <w:p>
      <w:pPr>
        <w:ind w:left="1000" w:hanging="692"/>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00" w:hanging="692"/>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sz w:val="20"/>
          <w:szCs w:val="20"/>
          <w:color w:val="auto"/>
        </w:rPr>
      </w:pPr>
    </w:p>
    <w:p>
      <w:pPr>
        <w:ind w:left="1000" w:hanging="712"/>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Management Inc. — 704,400 shares of class A common stock*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L.P. — 704,400 shares of class A common stock*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Silverman — 704,400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24,400 shares of class A common stock held by the Managed Account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Management Inc. — 5.63%**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L.P. — 5.63%**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Silverman — 5.63%**</w:t>
      </w:r>
    </w:p>
    <w:p>
      <w:pPr>
        <w:spacing w:after="0" w:line="211" w:lineRule="exact"/>
        <w:rPr>
          <w:sz w:val="20"/>
          <w:szCs w:val="20"/>
          <w:color w:val="auto"/>
        </w:rPr>
      </w:pPr>
    </w:p>
    <w:p>
      <w:pPr>
        <w:jc w:val="both"/>
        <w:ind w:firstLine="8"/>
        <w:spacing w:after="0" w:line="263" w:lineRule="auto"/>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18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300" w:right="472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704,400 shares of class A common stock* Opaleye, L.P. — 704,400 shares of class A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704,400 shares of class A common stock*</w:t>
      </w:r>
    </w:p>
    <w:p>
      <w:pPr>
        <w:spacing w:after="0" w:line="211"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24,400 shares of class A common stock held by the Managed Account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18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300" w:right="472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704,400 shares of class A common stock* Opaleye, L.P. — 704,400 shares of class A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704,400 shares of class A common stock*</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24,400 shares of class A common stock held by the Managed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tabs>
          <w:tab w:leader="none" w:pos="53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Opaleye, L.P.</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Opaleye Management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Joint Filing Agreement, dated February 12, 2021,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class A common stock, $0.0001 par value per share, of Gemini Therapeutics,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8"/>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
      <w:numFmt w:val="bullet"/>
      <w:start w:val="1"/>
    </w:lvl>
    <w:lvl w:ilvl="1">
      <w:lvlJc w:val="left"/>
      <w:lvlText w:val="%2"/>
      <w:numFmt w:val="decimal"/>
      <w:start w:val="10"/>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8"/>
      <w:numFmt w:val="bullet"/>
      <w:start w:val="1"/>
    </w:lvl>
  </w:abstractNum>
  <w:abstractNum w:abstractNumId="10">
    <w:nsid w:val="431BD7B7"/>
    <w:multiLevelType w:val="hybridMultilevel"/>
    <w:lvl w:ilvl="0">
      <w:lvlJc w:val="left"/>
      <w:lvlText w:val="9"/>
      <w:numFmt w:val="bullet"/>
      <w:start w:val="1"/>
    </w:lvl>
  </w:abstractNum>
  <w:abstractNum w:abstractNumId="11">
    <w:nsid w:val="3F2DBA31"/>
    <w:multiLevelType w:val="hybridMultilevel"/>
    <w:lvl w:ilvl="0">
      <w:lvlJc w:val="left"/>
      <w:lvlText w:val="*"/>
      <w:numFmt w:val="bullet"/>
      <w:start w:val="1"/>
    </w:lvl>
    <w:lvl w:ilvl="1">
      <w:lvlJc w:val="left"/>
      <w:lvlText w:val="%2"/>
      <w:numFmt w:val="decimal"/>
      <w:start w:val="10"/>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8"/>
      <w:numFmt w:val="bullet"/>
      <w:start w:val="1"/>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
      <w:numFmt w:val="bullet"/>
      <w:start w:val="1"/>
    </w:lvl>
    <w:lvl w:ilvl="1">
      <w:lvlJc w:val="left"/>
      <w:lvlText w:val="%2"/>
      <w:numFmt w:val="decimal"/>
      <w:start w:val="10"/>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9"/>
    </w:lvl>
  </w:abstractNum>
  <w:abstractNum w:abstractNumId="19">
    <w:nsid w:val="2443A858"/>
    <w:multiLevelType w:val="hybridMultilevel"/>
    <w:lvl w:ilvl="0">
      <w:lvlJc w:val="left"/>
      <w:lvlText w:val="(%1)"/>
      <w:numFmt w:val="lowerLetter"/>
      <w:start w:val="1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3"/>
    </w:lvl>
    <w:lvl w:ilvl="1">
      <w:lvlJc w:val="left"/>
      <w:lvlText w:val="(%2)"/>
      <w:numFmt w:val="lowerRoman"/>
      <w:start w:val="1"/>
    </w:lvl>
  </w:abstractNum>
  <w:abstractNum w:abstractNumId="24">
    <w:nsid w:val="79838CB2"/>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2021-02-12T16:24:45Z</dcterms:created>
  <dcterms:modified xsi:type="dcterms:W3CDTF">2021-02-12T16:24:45Z</dcterms:modified>
</cp:coreProperties>
</file>