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Ong Tuyen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Gemini Therapeutics, Inc. /DE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GMTX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03/12/2021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GEMINI THERAPEUTICS, INC.</w:t>
            </w: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ONE KENDALL SQUARE, 3RD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CAMBRIDGE,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03/11/2031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This option shall vest and become exercisable in 36 equal monthly installments following the Grant Date, provided that as of each such date the Grantee remains in a business relationship with the Company.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Jason Meyenburg,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03/15/2021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-15240</wp:posOffset>
            </wp:positionV>
            <wp:extent cx="1316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73178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2021-03-15T15:31:44Z</dcterms:created>
  <dcterms:modified xsi:type="dcterms:W3CDTF">2021-03-15T15:31:44Z</dcterms:modified>
</cp:coreProperties>
</file>