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NDER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1934</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(Amendment No. ______)*</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GEMINI THERAPEUTICS,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(Name of Issuer)</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36870G105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LIGHTSTONE VENTURES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500 BOYLSTON ST. SUITE 1380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TELEPHONE: (617) 933-3770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February 5, 2021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firstLine="8"/>
        <w:spacing w:after="0" w:line="282" w:lineRule="auto"/>
        <w:tabs>
          <w:tab w:leader="none" w:pos="1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p>
      <w:pPr>
        <w:spacing w:after="0" w:line="220" w:lineRule="exact"/>
        <w:rPr>
          <w:sz w:val="20"/>
          <w:szCs w:val="20"/>
          <w:color w:val="auto"/>
        </w:rPr>
      </w:pPr>
    </w:p>
    <w:p>
      <w:pPr>
        <w:ind w:left="900" w:hanging="7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Lightstone Ventures, L.P.</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40" w:hanging="238"/>
        <w:spacing w:after="0" w:line="207" w:lineRule="exact"/>
        <w:tabs>
          <w:tab w:leader="none" w:pos="114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60" w:hanging="258"/>
        <w:spacing w:after="0"/>
        <w:tabs>
          <w:tab w:leader="none" w:pos="116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ý(1)</w:t>
      </w:r>
    </w:p>
    <w:p>
      <w:pPr>
        <w:spacing w:after="0" w:line="7" w:lineRule="exact"/>
        <w:rPr>
          <w:rFonts w:ascii="Times New Roman" w:cs="Times New Roman" w:eastAsia="Times New Roman" w:hAnsi="Times New Roman"/>
          <w:sz w:val="18"/>
          <w:szCs w:val="18"/>
          <w:b w:val="1"/>
          <w:bCs w:val="1"/>
          <w:color w:val="auto"/>
        </w:rPr>
      </w:pPr>
    </w:p>
    <w:p>
      <w:pPr>
        <w:ind w:left="900" w:hanging="7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-1399540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8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Borders>
              <w:top w:val="single" w:sz="8" w:color="auto"/>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 2(d) or 2(e)</w:t>
            </w:r>
          </w:p>
        </w:tc>
        <w:tc>
          <w:tcPr>
            <w:tcW w:w="2520" w:type="dxa"/>
            <w:vAlign w:val="bottom"/>
            <w:tcBorders>
              <w:top w:val="single" w:sz="8" w:color="auto"/>
              <w:bottom w:val="single" w:sz="8" w:color="auto"/>
            </w:tcBorders>
            <w:shd w:val="clear" w:color="auto" w:fill="E5E5E5"/>
          </w:tcPr>
          <w:p>
            <w:pPr>
              <w:ind w:left="1820"/>
              <w:spacing w:after="0" w:line="181" w:lineRule="exact"/>
              <w:rPr>
                <w:sz w:val="20"/>
                <w:szCs w:val="20"/>
                <w:color w:val="auto"/>
              </w:rPr>
            </w:pPr>
            <w:r>
              <w:rPr>
                <w:rFonts w:ascii="MS PGothic" w:cs="MS PGothic" w:eastAsia="MS PGothic" w:hAnsi="MS PGothic"/>
                <w:sz w:val="18"/>
                <w:szCs w:val="18"/>
                <w:color w:val="auto"/>
              </w:rPr>
              <w:t>☐</w:t>
            </w:r>
          </w:p>
        </w:tc>
      </w:tr>
    </w:tbl>
    <w:p>
      <w:pPr>
        <w:ind w:left="900" w:hanging="7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 United States of America</w:t>
      </w:r>
    </w:p>
    <w:p>
      <w:pPr>
        <w:spacing w:after="0" w:line="31" w:lineRule="exact"/>
        <w:rPr>
          <w:rFonts w:ascii="Times New Roman" w:cs="Times New Roman" w:eastAsia="Times New Roman" w:hAnsi="Times New Roman"/>
          <w:sz w:val="18"/>
          <w:szCs w:val="18"/>
          <w:color w:val="auto"/>
        </w:rPr>
      </w:pPr>
    </w:p>
    <w:p>
      <w:pPr>
        <w:ind w:left="3040" w:hanging="559"/>
        <w:spacing w:after="0"/>
        <w:tabs>
          <w:tab w:leader="none" w:pos="3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34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18"/>
          <w:szCs w:val="18"/>
          <w:b w:val="1"/>
          <w:bCs w:val="1"/>
          <w:color w:val="auto"/>
        </w:rPr>
        <w:t>2,796,868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19685</wp:posOffset>
            </wp:positionV>
            <wp:extent cx="5623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 w:lineRule="exact"/>
        <w:rPr>
          <w:sz w:val="20"/>
          <w:szCs w:val="20"/>
          <w:color w:val="auto"/>
        </w:rPr>
      </w:pPr>
    </w:p>
    <w:p>
      <w:pPr>
        <w:ind w:left="560" w:hanging="559"/>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1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31" w:lineRule="exact"/>
        <w:rPr>
          <w:rFonts w:ascii="Times New Roman" w:cs="Times New Roman" w:eastAsia="Times New Roman" w:hAnsi="Times New Roman"/>
          <w:sz w:val="18"/>
          <w:szCs w:val="18"/>
          <w:color w:val="auto"/>
        </w:rPr>
      </w:pPr>
    </w:p>
    <w:p>
      <w:pPr>
        <w:ind w:left="560" w:hanging="559"/>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1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2,796,868 shares of Common Stock (2)</w:t>
      </w:r>
    </w:p>
    <w:p>
      <w:pPr>
        <w:spacing w:after="0" w:line="42" w:lineRule="exact"/>
        <w:rPr>
          <w:rFonts w:ascii="Times New Roman" w:cs="Times New Roman" w:eastAsia="Times New Roman" w:hAnsi="Times New Roman"/>
          <w:sz w:val="18"/>
          <w:szCs w:val="18"/>
          <w:color w:val="auto"/>
        </w:rPr>
      </w:pPr>
    </w:p>
    <w:p>
      <w:pPr>
        <w:ind w:left="560" w:hanging="559"/>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-130810</wp:posOffset>
            </wp:positionV>
            <wp:extent cx="56235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-550545</wp:posOffset>
            </wp:positionV>
            <wp:extent cx="56235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720"/>
            <w:col w:w="8760"/>
          </w:cols>
          <w:pgMar w:left="320" w:top="900" w:right="339" w:bottom="1440" w:gutter="0" w:footer="0" w:header="0"/>
          <w:type w:val="continuous"/>
        </w:sectPr>
      </w:pPr>
    </w:p>
    <w:p>
      <w:pPr>
        <w:spacing w:after="0" w:line="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900" w:hanging="79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2,796,868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
        <w:spacing w:after="0" w:line="207" w:lineRule="exact"/>
        <w:tabs>
          <w:tab w:leader="none" w:pos="880" w:val="left"/>
          <w:tab w:leader="none" w:pos="10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 w:lineRule="exact"/>
        <w:rPr>
          <w:sz w:val="20"/>
          <w:szCs w:val="20"/>
          <w:color w:val="auto"/>
        </w:rPr>
      </w:pPr>
    </w:p>
    <w:p>
      <w:pPr>
        <w:ind w:left="900" w:hanging="79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6.2% (3)</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4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Lightstone Ventures, L.P. (“LV LP”), Lightstone Ventures (A), L.P. (“LV(A) LP”), LSV Associates, LLC (“LSV Associates”), Lightstone Singapore, L.P. (“LV Singapore”), Lightstone Singapore Associates, LLC (“Lightstone Singapore Associates,” together with LV LP, LV(A) LP, LSV Associates and LV Singapore, the “LV Entities”), Michael A. Carusi, Jean M. George and Henry A. Plain, Jr.. Together with the LV Entities, Messrs. Carusi and Plain and Ms. George are herein collectively referred to as the “Reporting Persons”). The Reporting Persons expressly disclaim status as a “group” for purposes of this Schedule 13D.</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by LV LP. LSV Associates serves as the general partner of LV LP. Messrs. Carusi and Plain, and Ms. George, the individual managing directors of LSV Associates, share voting and dispositive power with respect to the shares held of record by LV LP, and may be deemed to own beneficially the shares held by LV LP.</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-1527175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-1946910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p>
      <w:pPr>
        <w:spacing w:after="0" w:line="220" w:lineRule="exact"/>
        <w:rPr>
          <w:sz w:val="20"/>
          <w:szCs w:val="20"/>
          <w:color w:val="auto"/>
        </w:rPr>
      </w:pPr>
    </w:p>
    <w:p>
      <w:pPr>
        <w:ind w:left="900" w:hanging="79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Lightstone Ventures (A), L.P.</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40" w:hanging="238"/>
        <w:spacing w:after="0" w:line="207" w:lineRule="exact"/>
        <w:tabs>
          <w:tab w:leader="none" w:pos="114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60" w:hanging="258"/>
        <w:spacing w:after="0"/>
        <w:tabs>
          <w:tab w:leader="none" w:pos="11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ý(1)</w:t>
      </w:r>
    </w:p>
    <w:p>
      <w:pPr>
        <w:spacing w:after="0" w:line="7" w:lineRule="exact"/>
        <w:rPr>
          <w:rFonts w:ascii="Times New Roman" w:cs="Times New Roman" w:eastAsia="Times New Roman" w:hAnsi="Times New Roman"/>
          <w:sz w:val="18"/>
          <w:szCs w:val="18"/>
          <w:b w:val="1"/>
          <w:bCs w:val="1"/>
          <w:color w:val="auto"/>
        </w:rPr>
      </w:pPr>
    </w:p>
    <w:p>
      <w:pPr>
        <w:ind w:left="900" w:hanging="79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-1399540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8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Borders>
              <w:top w:val="single" w:sz="8" w:color="auto"/>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 2(d) or 2(e)</w:t>
            </w:r>
          </w:p>
        </w:tc>
        <w:tc>
          <w:tcPr>
            <w:tcW w:w="2520" w:type="dxa"/>
            <w:vAlign w:val="bottom"/>
            <w:tcBorders>
              <w:top w:val="single" w:sz="8" w:color="auto"/>
              <w:bottom w:val="single" w:sz="8" w:color="auto"/>
            </w:tcBorders>
            <w:shd w:val="clear" w:color="auto" w:fill="E5E5E5"/>
          </w:tcPr>
          <w:p>
            <w:pPr>
              <w:ind w:left="1820"/>
              <w:spacing w:after="0" w:line="181" w:lineRule="exact"/>
              <w:rPr>
                <w:sz w:val="20"/>
                <w:szCs w:val="20"/>
                <w:color w:val="auto"/>
              </w:rPr>
            </w:pPr>
            <w:r>
              <w:rPr>
                <w:rFonts w:ascii="MS PGothic" w:cs="MS PGothic" w:eastAsia="MS PGothic" w:hAnsi="MS PGothic"/>
                <w:sz w:val="18"/>
                <w:szCs w:val="18"/>
                <w:color w:val="auto"/>
              </w:rPr>
              <w:t>☐</w:t>
            </w:r>
          </w:p>
        </w:tc>
      </w:tr>
    </w:tbl>
    <w:p>
      <w:pPr>
        <w:ind w:left="900" w:hanging="79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 United States of America</w:t>
      </w:r>
    </w:p>
    <w:p>
      <w:pPr>
        <w:spacing w:after="0" w:line="31" w:lineRule="exact"/>
        <w:rPr>
          <w:rFonts w:ascii="Times New Roman" w:cs="Times New Roman" w:eastAsia="Times New Roman" w:hAnsi="Times New Roman"/>
          <w:sz w:val="18"/>
          <w:szCs w:val="18"/>
          <w:color w:val="auto"/>
        </w:rPr>
      </w:pPr>
    </w:p>
    <w:p>
      <w:pPr>
        <w:ind w:left="3040" w:hanging="559"/>
        <w:spacing w:after="0"/>
        <w:tabs>
          <w:tab w:leader="none" w:pos="3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34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b w:val="1"/>
          <w:bCs w:val="1"/>
          <w:color w:val="auto"/>
        </w:rPr>
        <w:t>381,040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19685</wp:posOffset>
            </wp:positionV>
            <wp:extent cx="56235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 w:lineRule="exact"/>
        <w:rPr>
          <w:sz w:val="20"/>
          <w:szCs w:val="20"/>
          <w:color w:val="auto"/>
        </w:rPr>
      </w:pPr>
    </w:p>
    <w:p>
      <w:pPr>
        <w:ind w:left="560" w:hanging="559"/>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1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31" w:lineRule="exact"/>
        <w:rPr>
          <w:rFonts w:ascii="Times New Roman" w:cs="Times New Roman" w:eastAsia="Times New Roman" w:hAnsi="Times New Roman"/>
          <w:sz w:val="18"/>
          <w:szCs w:val="18"/>
          <w:color w:val="auto"/>
        </w:rPr>
      </w:pPr>
    </w:p>
    <w:p>
      <w:pPr>
        <w:ind w:left="560" w:hanging="559"/>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1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381,040 shares of Common Stock (2)</w:t>
      </w:r>
    </w:p>
    <w:p>
      <w:pPr>
        <w:spacing w:after="0" w:line="42" w:lineRule="exact"/>
        <w:rPr>
          <w:rFonts w:ascii="Times New Roman" w:cs="Times New Roman" w:eastAsia="Times New Roman" w:hAnsi="Times New Roman"/>
          <w:sz w:val="18"/>
          <w:szCs w:val="18"/>
          <w:color w:val="auto"/>
        </w:rPr>
      </w:pPr>
    </w:p>
    <w:p>
      <w:pPr>
        <w:ind w:left="560" w:hanging="559"/>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-130810</wp:posOffset>
            </wp:positionV>
            <wp:extent cx="56235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-550545</wp:posOffset>
            </wp:positionV>
            <wp:extent cx="56235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720"/>
            <w:col w:w="8760"/>
          </w:cols>
          <w:pgMar w:left="320" w:top="900" w:right="339" w:bottom="1440" w:gutter="0" w:footer="0" w:header="0"/>
          <w:type w:val="continuous"/>
        </w:sectPr>
      </w:pPr>
    </w:p>
    <w:p>
      <w:pPr>
        <w:spacing w:after="0" w:line="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900" w:hanging="79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381,040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
        <w:spacing w:after="0" w:line="207" w:lineRule="exact"/>
        <w:tabs>
          <w:tab w:leader="none" w:pos="880" w:val="left"/>
          <w:tab w:leader="none" w:pos="10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0"/>
          <w:szCs w:val="20"/>
          <w:color w:val="auto"/>
        </w:rPr>
      </w:pPr>
    </w:p>
    <w:p>
      <w:pPr>
        <w:ind w:left="900" w:hanging="79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0.8% (3)</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4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by LV(A) LP. LSV Associates serves as the general partner of LV(A) LP. Messrs. Carusi and Plain, and Ms. George, the individual managing directors of LSV Associates, share voting and dispositive power with respect to the shares held of record by LV(A) LP, and may be deemed to own beneficially the shares held by LV(A) LP.</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-978535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-1398270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p>
      <w:pPr>
        <w:spacing w:after="0" w:line="220" w:lineRule="exact"/>
        <w:rPr>
          <w:sz w:val="20"/>
          <w:szCs w:val="20"/>
          <w:color w:val="auto"/>
        </w:rPr>
      </w:pPr>
    </w:p>
    <w:p>
      <w:pPr>
        <w:ind w:left="900" w:hanging="79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LSV Associates, LLC</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40" w:hanging="238"/>
        <w:spacing w:after="0" w:line="207" w:lineRule="exact"/>
        <w:tabs>
          <w:tab w:leader="none" w:pos="114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60" w:hanging="258"/>
        <w:spacing w:after="0"/>
        <w:tabs>
          <w:tab w:leader="none" w:pos="116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ý(1)</w:t>
      </w:r>
    </w:p>
    <w:p>
      <w:pPr>
        <w:spacing w:after="0" w:line="7" w:lineRule="exact"/>
        <w:rPr>
          <w:rFonts w:ascii="Times New Roman" w:cs="Times New Roman" w:eastAsia="Times New Roman" w:hAnsi="Times New Roman"/>
          <w:sz w:val="18"/>
          <w:szCs w:val="18"/>
          <w:b w:val="1"/>
          <w:bCs w:val="1"/>
          <w:color w:val="auto"/>
        </w:rPr>
      </w:pPr>
    </w:p>
    <w:p>
      <w:pPr>
        <w:ind w:left="900" w:hanging="79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-1399540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8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Borders>
              <w:top w:val="single" w:sz="8" w:color="auto"/>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 2(d) or 2(e)</w:t>
            </w:r>
          </w:p>
        </w:tc>
        <w:tc>
          <w:tcPr>
            <w:tcW w:w="2520" w:type="dxa"/>
            <w:vAlign w:val="bottom"/>
            <w:tcBorders>
              <w:top w:val="single" w:sz="8" w:color="auto"/>
              <w:bottom w:val="single" w:sz="8" w:color="auto"/>
            </w:tcBorders>
            <w:shd w:val="clear" w:color="auto" w:fill="E5E5E5"/>
          </w:tcPr>
          <w:p>
            <w:pPr>
              <w:ind w:left="1820"/>
              <w:spacing w:after="0" w:line="181" w:lineRule="exact"/>
              <w:rPr>
                <w:sz w:val="20"/>
                <w:szCs w:val="20"/>
                <w:color w:val="auto"/>
              </w:rPr>
            </w:pPr>
            <w:r>
              <w:rPr>
                <w:rFonts w:ascii="MS PGothic" w:cs="MS PGothic" w:eastAsia="MS PGothic" w:hAnsi="MS PGothic"/>
                <w:sz w:val="18"/>
                <w:szCs w:val="18"/>
                <w:color w:val="auto"/>
              </w:rPr>
              <w:t>☐</w:t>
            </w:r>
          </w:p>
        </w:tc>
      </w:tr>
    </w:tbl>
    <w:p>
      <w:pPr>
        <w:ind w:left="900" w:hanging="79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 United States of America</w:t>
      </w:r>
    </w:p>
    <w:p>
      <w:pPr>
        <w:spacing w:after="0" w:line="31" w:lineRule="exact"/>
        <w:rPr>
          <w:rFonts w:ascii="Times New Roman" w:cs="Times New Roman" w:eastAsia="Times New Roman" w:hAnsi="Times New Roman"/>
          <w:sz w:val="18"/>
          <w:szCs w:val="18"/>
          <w:color w:val="auto"/>
        </w:rPr>
      </w:pPr>
    </w:p>
    <w:p>
      <w:pPr>
        <w:ind w:left="3040" w:hanging="559"/>
        <w:spacing w:after="0"/>
        <w:tabs>
          <w:tab w:leader="none" w:pos="3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34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18"/>
          <w:szCs w:val="18"/>
          <w:b w:val="1"/>
          <w:bCs w:val="1"/>
          <w:color w:val="auto"/>
        </w:rPr>
        <w:t>3,177,908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19685</wp:posOffset>
            </wp:positionV>
            <wp:extent cx="56235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 w:lineRule="exact"/>
        <w:rPr>
          <w:sz w:val="20"/>
          <w:szCs w:val="20"/>
          <w:color w:val="auto"/>
        </w:rPr>
      </w:pPr>
    </w:p>
    <w:p>
      <w:pPr>
        <w:ind w:left="560" w:hanging="55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1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31" w:lineRule="exact"/>
        <w:rPr>
          <w:rFonts w:ascii="Times New Roman" w:cs="Times New Roman" w:eastAsia="Times New Roman" w:hAnsi="Times New Roman"/>
          <w:sz w:val="18"/>
          <w:szCs w:val="18"/>
          <w:color w:val="auto"/>
        </w:rPr>
      </w:pPr>
    </w:p>
    <w:p>
      <w:pPr>
        <w:ind w:left="560" w:hanging="55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1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3,177,908 shares of Common Stock (2)</w:t>
      </w:r>
    </w:p>
    <w:p>
      <w:pPr>
        <w:spacing w:after="0" w:line="42" w:lineRule="exact"/>
        <w:rPr>
          <w:rFonts w:ascii="Times New Roman" w:cs="Times New Roman" w:eastAsia="Times New Roman" w:hAnsi="Times New Roman"/>
          <w:sz w:val="18"/>
          <w:szCs w:val="18"/>
          <w:color w:val="auto"/>
        </w:rPr>
      </w:pPr>
    </w:p>
    <w:p>
      <w:pPr>
        <w:ind w:left="560" w:hanging="55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-130810</wp:posOffset>
            </wp:positionV>
            <wp:extent cx="56235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-550545</wp:posOffset>
            </wp:positionV>
            <wp:extent cx="56235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720"/>
            <w:col w:w="8760"/>
          </w:cols>
          <w:pgMar w:left="320" w:top="900" w:right="339" w:bottom="1440" w:gutter="0" w:footer="0" w:header="0"/>
          <w:type w:val="continuous"/>
        </w:sectPr>
      </w:pPr>
    </w:p>
    <w:p>
      <w:pPr>
        <w:spacing w:after="0" w:line="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900" w:hanging="79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3,177,908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
        <w:spacing w:after="0" w:line="207" w:lineRule="exact"/>
        <w:tabs>
          <w:tab w:leader="none" w:pos="880" w:val="left"/>
          <w:tab w:leader="none" w:pos="10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 w:lineRule="exact"/>
        <w:rPr>
          <w:sz w:val="20"/>
          <w:szCs w:val="20"/>
          <w:color w:val="auto"/>
        </w:rPr>
      </w:pPr>
    </w:p>
    <w:p>
      <w:pPr>
        <w:ind w:left="900" w:hanging="79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7.0% (3)</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4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as follows: (i) 2,796,868 by LV LP, and (ii) 381,040 by LV(A) LP. LSV Associates serves as the general partner of LV LP and LV(A) LP. Messrs. Carusi and Plain, and Ms. George, the individual managing directors of LSV Associates, share voting and dispositive power with respect to the shares held of record by LV LP and LV(A) LP, and may be deemed to own beneficially the shares held by LV LP and LV(A) LP.</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-1115695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-1535430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p>
      <w:pPr>
        <w:spacing w:after="0" w:line="220" w:lineRule="exact"/>
        <w:rPr>
          <w:sz w:val="20"/>
          <w:szCs w:val="20"/>
          <w:color w:val="auto"/>
        </w:rPr>
      </w:pPr>
    </w:p>
    <w:p>
      <w:pPr>
        <w:ind w:left="900" w:hanging="79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Lightstone Singapore, L.P.</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40" w:hanging="238"/>
        <w:spacing w:after="0" w:line="207" w:lineRule="exact"/>
        <w:tabs>
          <w:tab w:leader="none" w:pos="114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60" w:hanging="258"/>
        <w:spacing w:after="0"/>
        <w:tabs>
          <w:tab w:leader="none" w:pos="116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ý(1)</w:t>
      </w:r>
    </w:p>
    <w:p>
      <w:pPr>
        <w:spacing w:after="0" w:line="7" w:lineRule="exact"/>
        <w:rPr>
          <w:rFonts w:ascii="Times New Roman" w:cs="Times New Roman" w:eastAsia="Times New Roman" w:hAnsi="Times New Roman"/>
          <w:sz w:val="18"/>
          <w:szCs w:val="18"/>
          <w:b w:val="1"/>
          <w:bCs w:val="1"/>
          <w:color w:val="auto"/>
        </w:rPr>
      </w:pPr>
    </w:p>
    <w:p>
      <w:pPr>
        <w:ind w:left="900" w:hanging="79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-1399540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8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Borders>
              <w:top w:val="single" w:sz="8" w:color="auto"/>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 2(d) or 2(e)</w:t>
            </w:r>
          </w:p>
        </w:tc>
        <w:tc>
          <w:tcPr>
            <w:tcW w:w="2520" w:type="dxa"/>
            <w:vAlign w:val="bottom"/>
            <w:tcBorders>
              <w:top w:val="single" w:sz="8" w:color="auto"/>
              <w:bottom w:val="single" w:sz="8" w:color="auto"/>
            </w:tcBorders>
            <w:shd w:val="clear" w:color="auto" w:fill="E5E5E5"/>
          </w:tcPr>
          <w:p>
            <w:pPr>
              <w:ind w:left="1820"/>
              <w:spacing w:after="0" w:line="181" w:lineRule="exact"/>
              <w:rPr>
                <w:sz w:val="20"/>
                <w:szCs w:val="20"/>
                <w:color w:val="auto"/>
              </w:rPr>
            </w:pPr>
            <w:r>
              <w:rPr>
                <w:rFonts w:ascii="MS PGothic" w:cs="MS PGothic" w:eastAsia="MS PGothic" w:hAnsi="MS PGothic"/>
                <w:sz w:val="18"/>
                <w:szCs w:val="18"/>
                <w:color w:val="auto"/>
              </w:rPr>
              <w:t>☐</w:t>
            </w:r>
          </w:p>
        </w:tc>
      </w:tr>
    </w:tbl>
    <w:p>
      <w:pPr>
        <w:ind w:left="900" w:hanging="79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 United States of America</w:t>
      </w:r>
    </w:p>
    <w:p>
      <w:pPr>
        <w:spacing w:after="0" w:line="31" w:lineRule="exact"/>
        <w:rPr>
          <w:rFonts w:ascii="Times New Roman" w:cs="Times New Roman" w:eastAsia="Times New Roman" w:hAnsi="Times New Roman"/>
          <w:sz w:val="18"/>
          <w:szCs w:val="18"/>
          <w:color w:val="auto"/>
        </w:rPr>
      </w:pPr>
    </w:p>
    <w:p>
      <w:pPr>
        <w:ind w:left="3040" w:hanging="559"/>
        <w:spacing w:after="0"/>
        <w:tabs>
          <w:tab w:leader="none" w:pos="3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34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18"/>
          <w:szCs w:val="18"/>
          <w:b w:val="1"/>
          <w:bCs w:val="1"/>
          <w:color w:val="auto"/>
        </w:rPr>
        <w:t>1,658,198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19685</wp:posOffset>
            </wp:positionV>
            <wp:extent cx="56235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 w:lineRule="exact"/>
        <w:rPr>
          <w:sz w:val="20"/>
          <w:szCs w:val="20"/>
          <w:color w:val="auto"/>
        </w:rPr>
      </w:pPr>
    </w:p>
    <w:p>
      <w:pPr>
        <w:ind w:left="560" w:hanging="55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1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31" w:lineRule="exact"/>
        <w:rPr>
          <w:rFonts w:ascii="Times New Roman" w:cs="Times New Roman" w:eastAsia="Times New Roman" w:hAnsi="Times New Roman"/>
          <w:sz w:val="18"/>
          <w:szCs w:val="18"/>
          <w:color w:val="auto"/>
        </w:rPr>
      </w:pPr>
    </w:p>
    <w:p>
      <w:pPr>
        <w:ind w:left="560" w:hanging="55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1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1,658,198 shares of Common Stock (2)</w:t>
      </w:r>
    </w:p>
    <w:p>
      <w:pPr>
        <w:spacing w:after="0" w:line="42" w:lineRule="exact"/>
        <w:rPr>
          <w:rFonts w:ascii="Times New Roman" w:cs="Times New Roman" w:eastAsia="Times New Roman" w:hAnsi="Times New Roman"/>
          <w:sz w:val="18"/>
          <w:szCs w:val="18"/>
          <w:color w:val="auto"/>
        </w:rPr>
      </w:pPr>
    </w:p>
    <w:p>
      <w:pPr>
        <w:ind w:left="560" w:hanging="55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-130810</wp:posOffset>
            </wp:positionV>
            <wp:extent cx="56235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-550545</wp:posOffset>
            </wp:positionV>
            <wp:extent cx="56235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720"/>
            <w:col w:w="8760"/>
          </w:cols>
          <w:pgMar w:left="320" w:top="900" w:right="339" w:bottom="1440" w:gutter="0" w:footer="0" w:header="0"/>
          <w:type w:val="continuous"/>
        </w:sectPr>
      </w:pPr>
    </w:p>
    <w:p>
      <w:pPr>
        <w:spacing w:after="0" w:line="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900" w:hanging="79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1,658,198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
        <w:spacing w:after="0" w:line="207" w:lineRule="exact"/>
        <w:tabs>
          <w:tab w:leader="none" w:pos="880" w:val="left"/>
          <w:tab w:leader="none" w:pos="10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0"/>
          <w:szCs w:val="20"/>
          <w:color w:val="auto"/>
        </w:rPr>
      </w:pPr>
    </w:p>
    <w:p>
      <w:pPr>
        <w:ind w:left="900" w:hanging="79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3.7% (3)</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4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by LV Singapore. Lightstone Singapore Associates serves as the general partner of LV Singapore. Messrs. Carusi and Plain and Ms. George, the individual managing directors of Lightstone Singapore Associates, share voting and dispositive power with respect to the shares held of record by LV Singapore, and may be deemed to own beneficially the shares held by LV Singapore.</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-978535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-1398270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p>
      <w:pPr>
        <w:spacing w:after="0" w:line="220" w:lineRule="exact"/>
        <w:rPr>
          <w:sz w:val="20"/>
          <w:szCs w:val="20"/>
          <w:color w:val="auto"/>
        </w:rPr>
      </w:pPr>
    </w:p>
    <w:p>
      <w:pPr>
        <w:ind w:left="900" w:hanging="79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Lightstone Singapore Associates, LLC</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40" w:hanging="238"/>
        <w:spacing w:after="0" w:line="207" w:lineRule="exact"/>
        <w:tabs>
          <w:tab w:leader="none" w:pos="1140"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60" w:hanging="258"/>
        <w:spacing w:after="0"/>
        <w:tabs>
          <w:tab w:leader="none" w:pos="116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ý(1)</w:t>
      </w:r>
    </w:p>
    <w:p>
      <w:pPr>
        <w:spacing w:after="0" w:line="7" w:lineRule="exact"/>
        <w:rPr>
          <w:rFonts w:ascii="Times New Roman" w:cs="Times New Roman" w:eastAsia="Times New Roman" w:hAnsi="Times New Roman"/>
          <w:sz w:val="18"/>
          <w:szCs w:val="18"/>
          <w:b w:val="1"/>
          <w:bCs w:val="1"/>
          <w:color w:val="auto"/>
        </w:rPr>
      </w:pPr>
    </w:p>
    <w:p>
      <w:pPr>
        <w:ind w:left="900" w:hanging="79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-1399540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8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Borders>
              <w:top w:val="single" w:sz="8" w:color="auto"/>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 2(d) or 2(e)</w:t>
            </w:r>
          </w:p>
        </w:tc>
        <w:tc>
          <w:tcPr>
            <w:tcW w:w="2520" w:type="dxa"/>
            <w:vAlign w:val="bottom"/>
            <w:tcBorders>
              <w:top w:val="single" w:sz="8" w:color="auto"/>
              <w:bottom w:val="single" w:sz="8" w:color="auto"/>
            </w:tcBorders>
            <w:shd w:val="clear" w:color="auto" w:fill="E5E5E5"/>
          </w:tcPr>
          <w:p>
            <w:pPr>
              <w:ind w:left="1820"/>
              <w:spacing w:after="0" w:line="181" w:lineRule="exact"/>
              <w:rPr>
                <w:sz w:val="20"/>
                <w:szCs w:val="20"/>
                <w:color w:val="auto"/>
              </w:rPr>
            </w:pPr>
            <w:r>
              <w:rPr>
                <w:rFonts w:ascii="MS PGothic" w:cs="MS PGothic" w:eastAsia="MS PGothic" w:hAnsi="MS PGothic"/>
                <w:sz w:val="18"/>
                <w:szCs w:val="18"/>
                <w:color w:val="auto"/>
              </w:rPr>
              <w:t>☐</w:t>
            </w:r>
          </w:p>
        </w:tc>
      </w:tr>
    </w:tbl>
    <w:p>
      <w:pPr>
        <w:ind w:left="900" w:hanging="79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 United States of America</w:t>
      </w:r>
    </w:p>
    <w:p>
      <w:pPr>
        <w:spacing w:after="0" w:line="31" w:lineRule="exact"/>
        <w:rPr>
          <w:rFonts w:ascii="Times New Roman" w:cs="Times New Roman" w:eastAsia="Times New Roman" w:hAnsi="Times New Roman"/>
          <w:sz w:val="18"/>
          <w:szCs w:val="18"/>
          <w:color w:val="auto"/>
        </w:rPr>
      </w:pPr>
    </w:p>
    <w:p>
      <w:pPr>
        <w:ind w:left="3040" w:hanging="559"/>
        <w:spacing w:after="0"/>
        <w:tabs>
          <w:tab w:leader="none" w:pos="3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34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18"/>
          <w:szCs w:val="18"/>
          <w:b w:val="1"/>
          <w:bCs w:val="1"/>
          <w:color w:val="auto"/>
        </w:rPr>
        <w:t>1,658,198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19685</wp:posOffset>
            </wp:positionV>
            <wp:extent cx="56235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 w:lineRule="exact"/>
        <w:rPr>
          <w:sz w:val="20"/>
          <w:szCs w:val="20"/>
          <w:color w:val="auto"/>
        </w:rPr>
      </w:pPr>
    </w:p>
    <w:p>
      <w:pPr>
        <w:ind w:left="560" w:hanging="559"/>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1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31" w:lineRule="exact"/>
        <w:rPr>
          <w:rFonts w:ascii="Times New Roman" w:cs="Times New Roman" w:eastAsia="Times New Roman" w:hAnsi="Times New Roman"/>
          <w:sz w:val="18"/>
          <w:szCs w:val="18"/>
          <w:color w:val="auto"/>
        </w:rPr>
      </w:pPr>
    </w:p>
    <w:p>
      <w:pPr>
        <w:ind w:left="560" w:hanging="559"/>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1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1,658,198 shares of Common Stock (2)</w:t>
      </w:r>
    </w:p>
    <w:p>
      <w:pPr>
        <w:spacing w:after="0" w:line="42" w:lineRule="exact"/>
        <w:rPr>
          <w:rFonts w:ascii="Times New Roman" w:cs="Times New Roman" w:eastAsia="Times New Roman" w:hAnsi="Times New Roman"/>
          <w:sz w:val="18"/>
          <w:szCs w:val="18"/>
          <w:color w:val="auto"/>
        </w:rPr>
      </w:pPr>
    </w:p>
    <w:p>
      <w:pPr>
        <w:ind w:left="560" w:hanging="559"/>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-130810</wp:posOffset>
            </wp:positionV>
            <wp:extent cx="56235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-550545</wp:posOffset>
            </wp:positionV>
            <wp:extent cx="56235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720"/>
            <w:col w:w="8760"/>
          </w:cols>
          <w:pgMar w:left="320" w:top="900" w:right="339" w:bottom="1440" w:gutter="0" w:footer="0" w:header="0"/>
          <w:type w:val="continuous"/>
        </w:sectPr>
      </w:pPr>
    </w:p>
    <w:p>
      <w:pPr>
        <w:spacing w:after="0" w:line="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900" w:hanging="79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1,658,198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
        <w:spacing w:after="0" w:line="207" w:lineRule="exact"/>
        <w:tabs>
          <w:tab w:leader="none" w:pos="880" w:val="left"/>
          <w:tab w:leader="none" w:pos="10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0"/>
          <w:szCs w:val="20"/>
          <w:color w:val="auto"/>
        </w:rPr>
      </w:pPr>
    </w:p>
    <w:p>
      <w:pPr>
        <w:ind w:left="900" w:hanging="79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3.7% (3)</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4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by LV Singapore. Lightstone Singapore Associates serves as the general partner of LV Singapore. Messrs. Carusi and Plain and Ms. George, the individual managing directors of Lightstone Singapore Associates, share voting and dispositive power with respect to the shares held of record by LV Singapore, and may be deemed to own beneficially the shares held by LV Singapore.</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-978535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-1398270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p>
      <w:pPr>
        <w:spacing w:after="0" w:line="220" w:lineRule="exact"/>
        <w:rPr>
          <w:sz w:val="20"/>
          <w:szCs w:val="20"/>
          <w:color w:val="auto"/>
        </w:rPr>
      </w:pPr>
    </w:p>
    <w:p>
      <w:pPr>
        <w:ind w:left="900" w:hanging="79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Michael A. Carusi</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40" w:hanging="238"/>
        <w:spacing w:after="0" w:line="207" w:lineRule="exact"/>
        <w:tabs>
          <w:tab w:leader="none" w:pos="1140"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60" w:hanging="258"/>
        <w:spacing w:after="0"/>
        <w:tabs>
          <w:tab w:leader="none" w:pos="116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ý(1)</w:t>
      </w:r>
    </w:p>
    <w:p>
      <w:pPr>
        <w:spacing w:after="0" w:line="7" w:lineRule="exact"/>
        <w:rPr>
          <w:rFonts w:ascii="Times New Roman" w:cs="Times New Roman" w:eastAsia="Times New Roman" w:hAnsi="Times New Roman"/>
          <w:sz w:val="18"/>
          <w:szCs w:val="18"/>
          <w:b w:val="1"/>
          <w:bCs w:val="1"/>
          <w:color w:val="auto"/>
        </w:rPr>
      </w:pPr>
    </w:p>
    <w:p>
      <w:pPr>
        <w:ind w:left="900" w:hanging="79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-1399540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8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Borders>
              <w:top w:val="single" w:sz="8" w:color="auto"/>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 2(d) or 2(e)</w:t>
            </w:r>
          </w:p>
        </w:tc>
        <w:tc>
          <w:tcPr>
            <w:tcW w:w="2520" w:type="dxa"/>
            <w:vAlign w:val="bottom"/>
            <w:tcBorders>
              <w:top w:val="single" w:sz="8" w:color="auto"/>
              <w:bottom w:val="single" w:sz="8" w:color="auto"/>
            </w:tcBorders>
            <w:shd w:val="clear" w:color="auto" w:fill="E5E5E5"/>
          </w:tcPr>
          <w:p>
            <w:pPr>
              <w:ind w:left="1820"/>
              <w:spacing w:after="0" w:line="181" w:lineRule="exact"/>
              <w:rPr>
                <w:sz w:val="20"/>
                <w:szCs w:val="20"/>
                <w:color w:val="auto"/>
              </w:rPr>
            </w:pPr>
            <w:r>
              <w:rPr>
                <w:rFonts w:ascii="MS PGothic" w:cs="MS PGothic" w:eastAsia="MS PGothic" w:hAnsi="MS PGothic"/>
                <w:sz w:val="18"/>
                <w:szCs w:val="18"/>
                <w:color w:val="auto"/>
              </w:rPr>
              <w:t>☐</w:t>
            </w:r>
          </w:p>
        </w:tc>
      </w:tr>
    </w:tbl>
    <w:p>
      <w:pPr>
        <w:ind w:left="900" w:hanging="79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of America</w:t>
      </w:r>
    </w:p>
    <w:p>
      <w:pPr>
        <w:spacing w:after="0" w:line="31" w:lineRule="exact"/>
        <w:rPr>
          <w:rFonts w:ascii="Times New Roman" w:cs="Times New Roman" w:eastAsia="Times New Roman" w:hAnsi="Times New Roman"/>
          <w:sz w:val="18"/>
          <w:szCs w:val="18"/>
          <w:color w:val="auto"/>
        </w:rPr>
      </w:pPr>
    </w:p>
    <w:p>
      <w:pPr>
        <w:ind w:left="3040" w:hanging="559"/>
        <w:spacing w:after="0"/>
        <w:tabs>
          <w:tab w:leader="none" w:pos="3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16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91"/>
        </w:trPr>
        <w:tc>
          <w:tcPr>
            <w:tcW w:w="1620" w:type="dxa"/>
            <w:vAlign w:val="bottom"/>
          </w:tcPr>
          <w:p>
            <w:pPr>
              <w:jc w:val="center"/>
              <w:ind w:right="65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842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Beneficially</w:t>
            </w:r>
          </w:p>
        </w:tc>
        <w:tc>
          <w:tcPr>
            <w:tcW w:w="440" w:type="dxa"/>
            <w:vAlign w:val="bottom"/>
          </w:tcPr>
          <w:p>
            <w:pPr>
              <w:spacing w:after="0"/>
              <w:rPr>
                <w:sz w:val="18"/>
                <w:szCs w:val="18"/>
                <w:color w:val="auto"/>
              </w:rPr>
            </w:pPr>
          </w:p>
        </w:tc>
        <w:tc>
          <w:tcPr>
            <w:tcW w:w="84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4,836,106 shares of Common Stock (2)</w:t>
            </w:r>
          </w:p>
        </w:tc>
        <w:tc>
          <w:tcPr>
            <w:tcW w:w="0" w:type="dxa"/>
            <w:vAlign w:val="bottom"/>
          </w:tcPr>
          <w:p>
            <w:pPr>
              <w:spacing w:after="0"/>
              <w:rPr>
                <w:sz w:val="1"/>
                <w:szCs w:val="1"/>
                <w:color w:val="auto"/>
              </w:rPr>
            </w:pPr>
          </w:p>
        </w:tc>
      </w:tr>
      <w:tr>
        <w:trPr>
          <w:trHeight w:val="234"/>
        </w:trPr>
        <w:tc>
          <w:tcPr>
            <w:tcW w:w="16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Owned by</w:t>
            </w:r>
          </w:p>
        </w:tc>
        <w:tc>
          <w:tcPr>
            <w:tcW w:w="44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20" w:type="dxa"/>
            <w:vAlign w:val="bottom"/>
          </w:tcPr>
          <w:p>
            <w:pPr>
              <w:jc w:val="center"/>
              <w:ind w:right="6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Pr>
          <w:p>
            <w:pPr>
              <w:jc w:val="right"/>
              <w:ind w:right="11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42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Reporting</w:t>
            </w:r>
          </w:p>
        </w:tc>
        <w:tc>
          <w:tcPr>
            <w:tcW w:w="44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Person With</w:t>
            </w:r>
          </w:p>
        </w:tc>
        <w:tc>
          <w:tcPr>
            <w:tcW w:w="440" w:type="dxa"/>
            <w:vAlign w:val="bottom"/>
          </w:tcPr>
          <w:p>
            <w:pPr>
              <w:spacing w:after="0"/>
              <w:rPr>
                <w:sz w:val="21"/>
                <w:szCs w:val="21"/>
                <w:color w:val="auto"/>
              </w:rPr>
            </w:pP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0</wp:posOffset>
            </wp:positionV>
            <wp:extent cx="56235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ind w:left="3040" w:hanging="559"/>
        <w:spacing w:after="0"/>
        <w:tabs>
          <w:tab w:leader="none" w:pos="3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16" w:lineRule="exact"/>
        <w:rPr>
          <w:rFonts w:ascii="Times New Roman" w:cs="Times New Roman" w:eastAsia="Times New Roman" w:hAnsi="Times New Roman"/>
          <w:sz w:val="18"/>
          <w:szCs w:val="18"/>
          <w:color w:val="auto"/>
        </w:rPr>
      </w:pPr>
    </w:p>
    <w:p>
      <w:pPr>
        <w:ind w:left="3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4,836,106 shares of Common Stock (2)</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4,836,106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
        <w:spacing w:after="0" w:line="207" w:lineRule="exact"/>
        <w:tabs>
          <w:tab w:leader="none" w:pos="880" w:val="left"/>
          <w:tab w:leader="none" w:pos="10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0"/>
          <w:szCs w:val="20"/>
          <w:color w:val="auto"/>
        </w:rPr>
      </w:pPr>
    </w:p>
    <w:p>
      <w:pPr>
        <w:ind w:left="900" w:hanging="79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10.7% (3)</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4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as follows: (i) 2,796,868 by LV LP, (ii) 381,040 by LV(A) LP and (iii) 1,658,198 by LV Singapore. LSV Associates serves as the general partner of LV LP and LV(A) LP. LSV Singapore Associates serves as the general partner of LV Singapore. Messrs. Carusi and Plain and Ms. George, the individual managing directors of LSV Associates and LV Singapore Associates, share voting and dispositive power with respect to the shares held of record by LV LP, LV(A) LP and LV Singapore.</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-1115695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-1535430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p>
      <w:pPr>
        <w:spacing w:after="0" w:line="220" w:lineRule="exact"/>
        <w:rPr>
          <w:sz w:val="20"/>
          <w:szCs w:val="20"/>
          <w:color w:val="auto"/>
        </w:rPr>
      </w:pPr>
    </w:p>
    <w:p>
      <w:pPr>
        <w:ind w:left="900" w:hanging="79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Jean M. George</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40" w:hanging="238"/>
        <w:spacing w:after="0" w:line="207" w:lineRule="exact"/>
        <w:tabs>
          <w:tab w:leader="none" w:pos="114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60" w:hanging="258"/>
        <w:spacing w:after="0"/>
        <w:tabs>
          <w:tab w:leader="none" w:pos="116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ý(1)</w:t>
      </w:r>
    </w:p>
    <w:p>
      <w:pPr>
        <w:spacing w:after="0" w:line="7" w:lineRule="exact"/>
        <w:rPr>
          <w:rFonts w:ascii="Times New Roman" w:cs="Times New Roman" w:eastAsia="Times New Roman" w:hAnsi="Times New Roman"/>
          <w:sz w:val="18"/>
          <w:szCs w:val="18"/>
          <w:b w:val="1"/>
          <w:bCs w:val="1"/>
          <w:color w:val="auto"/>
        </w:rPr>
      </w:pPr>
    </w:p>
    <w:p>
      <w:pPr>
        <w:ind w:left="900" w:hanging="79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-1399540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8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Borders>
              <w:top w:val="single" w:sz="8" w:color="auto"/>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 2(d) or 2(e)</w:t>
            </w:r>
          </w:p>
        </w:tc>
        <w:tc>
          <w:tcPr>
            <w:tcW w:w="2520" w:type="dxa"/>
            <w:vAlign w:val="bottom"/>
            <w:tcBorders>
              <w:top w:val="single" w:sz="8" w:color="auto"/>
              <w:bottom w:val="single" w:sz="8" w:color="auto"/>
            </w:tcBorders>
            <w:shd w:val="clear" w:color="auto" w:fill="E5E5E5"/>
          </w:tcPr>
          <w:p>
            <w:pPr>
              <w:ind w:left="1820"/>
              <w:spacing w:after="0" w:line="181" w:lineRule="exact"/>
              <w:rPr>
                <w:sz w:val="20"/>
                <w:szCs w:val="20"/>
                <w:color w:val="auto"/>
              </w:rPr>
            </w:pPr>
            <w:r>
              <w:rPr>
                <w:rFonts w:ascii="MS PGothic" w:cs="MS PGothic" w:eastAsia="MS PGothic" w:hAnsi="MS PGothic"/>
                <w:sz w:val="18"/>
                <w:szCs w:val="18"/>
                <w:color w:val="auto"/>
              </w:rPr>
              <w:t>☐</w:t>
            </w:r>
          </w:p>
        </w:tc>
      </w:tr>
    </w:tbl>
    <w:p>
      <w:pPr>
        <w:ind w:left="900" w:hanging="79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of America</w:t>
      </w:r>
    </w:p>
    <w:p>
      <w:pPr>
        <w:spacing w:after="0" w:line="31" w:lineRule="exact"/>
        <w:rPr>
          <w:rFonts w:ascii="Times New Roman" w:cs="Times New Roman" w:eastAsia="Times New Roman" w:hAnsi="Times New Roman"/>
          <w:sz w:val="18"/>
          <w:szCs w:val="18"/>
          <w:color w:val="auto"/>
        </w:rPr>
      </w:pPr>
    </w:p>
    <w:p>
      <w:pPr>
        <w:ind w:left="3040" w:hanging="559"/>
        <w:spacing w:after="0"/>
        <w:tabs>
          <w:tab w:leader="none" w:pos="30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342"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559"/>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19685</wp:posOffset>
            </wp:positionV>
            <wp:extent cx="56235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 w:lineRule="exact"/>
        <w:rPr>
          <w:sz w:val="20"/>
          <w:szCs w:val="20"/>
          <w:color w:val="auto"/>
        </w:rPr>
      </w:pPr>
    </w:p>
    <w:p>
      <w:pPr>
        <w:ind w:left="559" w:hanging="559"/>
        <w:spacing w:after="0"/>
        <w:tabs>
          <w:tab w:leader="none" w:pos="5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16" w:lineRule="exact"/>
        <w:rPr>
          <w:rFonts w:ascii="Times New Roman" w:cs="Times New Roman" w:eastAsia="Times New Roman" w:hAnsi="Times New Roman"/>
          <w:sz w:val="18"/>
          <w:szCs w:val="18"/>
          <w:color w:val="auto"/>
        </w:rPr>
      </w:pPr>
    </w:p>
    <w:p>
      <w:pPr>
        <w:ind w:left="5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4,836,106 shares of Common Stock (2)</w:t>
      </w:r>
    </w:p>
    <w:p>
      <w:pPr>
        <w:spacing w:after="0" w:line="42" w:lineRule="exact"/>
        <w:rPr>
          <w:rFonts w:ascii="Times New Roman" w:cs="Times New Roman" w:eastAsia="Times New Roman" w:hAnsi="Times New Roman"/>
          <w:sz w:val="18"/>
          <w:szCs w:val="18"/>
          <w:color w:val="auto"/>
        </w:rPr>
      </w:pPr>
    </w:p>
    <w:p>
      <w:pPr>
        <w:ind w:left="559" w:hanging="559"/>
        <w:spacing w:after="0"/>
        <w:tabs>
          <w:tab w:leader="none" w:pos="5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16" w:lineRule="exact"/>
        <w:rPr>
          <w:rFonts w:ascii="Times New Roman" w:cs="Times New Roman" w:eastAsia="Times New Roman" w:hAnsi="Times New Roman"/>
          <w:sz w:val="18"/>
          <w:szCs w:val="18"/>
          <w:color w:val="auto"/>
        </w:rPr>
      </w:pPr>
    </w:p>
    <w:p>
      <w:pPr>
        <w:ind w:left="5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31" w:lineRule="exact"/>
        <w:rPr>
          <w:rFonts w:ascii="Times New Roman" w:cs="Times New Roman" w:eastAsia="Times New Roman" w:hAnsi="Times New Roman"/>
          <w:sz w:val="18"/>
          <w:szCs w:val="18"/>
          <w:color w:val="auto"/>
        </w:rPr>
      </w:pPr>
    </w:p>
    <w:p>
      <w:pPr>
        <w:ind w:left="559" w:hanging="559"/>
        <w:spacing w:after="0"/>
        <w:tabs>
          <w:tab w:leader="none" w:pos="5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-130810</wp:posOffset>
            </wp:positionV>
            <wp:extent cx="56235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-550545</wp:posOffset>
            </wp:positionV>
            <wp:extent cx="56235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1" w:space="720"/>
            <w:col w:w="8759"/>
          </w:cols>
          <w:pgMar w:left="320" w:top="900" w:right="339" w:bottom="1440" w:gutter="0" w:footer="0" w:header="0"/>
          <w:type w:val="continuous"/>
        </w:sectPr>
      </w:pPr>
    </w:p>
    <w:p>
      <w:pPr>
        <w:spacing w:after="0" w:line="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4,836,106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900" w:hanging="79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4,836,106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
        <w:spacing w:after="0" w:line="207" w:lineRule="exact"/>
        <w:tabs>
          <w:tab w:leader="none" w:pos="880" w:val="left"/>
          <w:tab w:leader="none" w:pos="10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0"/>
          <w:szCs w:val="20"/>
          <w:color w:val="auto"/>
        </w:rPr>
      </w:pPr>
    </w:p>
    <w:p>
      <w:pPr>
        <w:ind w:left="900" w:hanging="79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10.7% (3)</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4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as follows: (i) 2,796,868 by LV LP, (ii) 381,040 by LV(A) LP and (iii) 1,658,198 by LV Singapore. LSV Associates serves as the general partner of LV LP and LV(A) LP. LSV Singapore Associates serves as the general partner of LV Singapore. Messrs. Carusi and Plain and Ms. George, the individual managing directors of LSV Associates and LV Singapore Associates, share voting and dispositive power with respect to the shares held of record by LV LP, LV(A) LP and LV Singapore.</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-1115695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-1535430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p>
      <w:pPr>
        <w:spacing w:after="0" w:line="220" w:lineRule="exact"/>
        <w:rPr>
          <w:sz w:val="20"/>
          <w:szCs w:val="20"/>
          <w:color w:val="auto"/>
        </w:rPr>
      </w:pPr>
    </w:p>
    <w:p>
      <w:pPr>
        <w:ind w:left="900" w:hanging="79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Henry A. Plain, Jr.</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40" w:hanging="238"/>
        <w:spacing w:after="0" w:line="207" w:lineRule="exact"/>
        <w:tabs>
          <w:tab w:leader="none" w:pos="1140" w:val="left"/>
        </w:tabs>
        <w:numPr>
          <w:ilvl w:val="1"/>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60" w:hanging="258"/>
        <w:spacing w:after="0"/>
        <w:tabs>
          <w:tab w:leader="none" w:pos="1160"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ý(1)</w:t>
      </w:r>
    </w:p>
    <w:p>
      <w:pPr>
        <w:spacing w:after="0" w:line="7" w:lineRule="exact"/>
        <w:rPr>
          <w:rFonts w:ascii="Times New Roman" w:cs="Times New Roman" w:eastAsia="Times New Roman" w:hAnsi="Times New Roman"/>
          <w:sz w:val="18"/>
          <w:szCs w:val="18"/>
          <w:b w:val="1"/>
          <w:bCs w:val="1"/>
          <w:color w:val="auto"/>
        </w:rPr>
      </w:pPr>
    </w:p>
    <w:p>
      <w:pPr>
        <w:ind w:left="900" w:hanging="79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-1399540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8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Borders>
              <w:top w:val="single" w:sz="8" w:color="auto"/>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 2(d) or 2(e)</w:t>
            </w:r>
          </w:p>
        </w:tc>
        <w:tc>
          <w:tcPr>
            <w:tcW w:w="2520" w:type="dxa"/>
            <w:vAlign w:val="bottom"/>
            <w:tcBorders>
              <w:top w:val="single" w:sz="8" w:color="auto"/>
              <w:bottom w:val="single" w:sz="8" w:color="auto"/>
            </w:tcBorders>
            <w:shd w:val="clear" w:color="auto" w:fill="E5E5E5"/>
          </w:tcPr>
          <w:p>
            <w:pPr>
              <w:ind w:left="1820"/>
              <w:spacing w:after="0" w:line="181" w:lineRule="exact"/>
              <w:rPr>
                <w:sz w:val="20"/>
                <w:szCs w:val="20"/>
                <w:color w:val="auto"/>
              </w:rPr>
            </w:pPr>
            <w:r>
              <w:rPr>
                <w:rFonts w:ascii="MS PGothic" w:cs="MS PGothic" w:eastAsia="MS PGothic" w:hAnsi="MS PGothic"/>
                <w:sz w:val="18"/>
                <w:szCs w:val="18"/>
                <w:color w:val="auto"/>
              </w:rPr>
              <w:t>☐</w:t>
            </w:r>
          </w:p>
        </w:tc>
      </w:tr>
    </w:tbl>
    <w:p>
      <w:pPr>
        <w:ind w:left="900" w:hanging="79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of America</w:t>
      </w:r>
    </w:p>
    <w:p>
      <w:pPr>
        <w:spacing w:after="0" w:line="31" w:lineRule="exact"/>
        <w:rPr>
          <w:rFonts w:ascii="Times New Roman" w:cs="Times New Roman" w:eastAsia="Times New Roman" w:hAnsi="Times New Roman"/>
          <w:sz w:val="18"/>
          <w:szCs w:val="18"/>
          <w:color w:val="auto"/>
        </w:rPr>
      </w:pPr>
    </w:p>
    <w:p>
      <w:pPr>
        <w:ind w:left="3040" w:hanging="559"/>
        <w:spacing w:after="0"/>
        <w:tabs>
          <w:tab w:leader="none" w:pos="30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342"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639"/>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559"/>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19685</wp:posOffset>
            </wp:positionV>
            <wp:extent cx="56235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 w:lineRule="exact"/>
        <w:rPr>
          <w:sz w:val="20"/>
          <w:szCs w:val="20"/>
          <w:color w:val="auto"/>
        </w:rPr>
      </w:pPr>
    </w:p>
    <w:p>
      <w:pPr>
        <w:ind w:left="559" w:hanging="559"/>
        <w:spacing w:after="0"/>
        <w:tabs>
          <w:tab w:leader="none" w:pos="5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16" w:lineRule="exact"/>
        <w:rPr>
          <w:rFonts w:ascii="Times New Roman" w:cs="Times New Roman" w:eastAsia="Times New Roman" w:hAnsi="Times New Roman"/>
          <w:sz w:val="18"/>
          <w:szCs w:val="18"/>
          <w:color w:val="auto"/>
        </w:rPr>
      </w:pPr>
    </w:p>
    <w:p>
      <w:pPr>
        <w:ind w:left="5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4,836,106 shares of Common Stock (2)</w:t>
      </w:r>
    </w:p>
    <w:p>
      <w:pPr>
        <w:spacing w:after="0" w:line="42" w:lineRule="exact"/>
        <w:rPr>
          <w:rFonts w:ascii="Times New Roman" w:cs="Times New Roman" w:eastAsia="Times New Roman" w:hAnsi="Times New Roman"/>
          <w:sz w:val="18"/>
          <w:szCs w:val="18"/>
          <w:color w:val="auto"/>
        </w:rPr>
      </w:pPr>
    </w:p>
    <w:p>
      <w:pPr>
        <w:ind w:left="559" w:hanging="559"/>
        <w:spacing w:after="0"/>
        <w:tabs>
          <w:tab w:leader="none" w:pos="5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16" w:lineRule="exact"/>
        <w:rPr>
          <w:rFonts w:ascii="Times New Roman" w:cs="Times New Roman" w:eastAsia="Times New Roman" w:hAnsi="Times New Roman"/>
          <w:sz w:val="18"/>
          <w:szCs w:val="18"/>
          <w:color w:val="auto"/>
        </w:rPr>
      </w:pPr>
    </w:p>
    <w:p>
      <w:pPr>
        <w:ind w:left="5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31" w:lineRule="exact"/>
        <w:rPr>
          <w:rFonts w:ascii="Times New Roman" w:cs="Times New Roman" w:eastAsia="Times New Roman" w:hAnsi="Times New Roman"/>
          <w:sz w:val="18"/>
          <w:szCs w:val="18"/>
          <w:color w:val="auto"/>
        </w:rPr>
      </w:pPr>
    </w:p>
    <w:p>
      <w:pPr>
        <w:ind w:left="559" w:hanging="559"/>
        <w:spacing w:after="0"/>
        <w:tabs>
          <w:tab w:leader="none" w:pos="5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-130810</wp:posOffset>
            </wp:positionV>
            <wp:extent cx="56235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-550545</wp:posOffset>
            </wp:positionV>
            <wp:extent cx="56235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1" w:space="720"/>
            <w:col w:w="8759"/>
          </w:cols>
          <w:pgMar w:left="320" w:top="900" w:right="339" w:bottom="1440" w:gutter="0" w:footer="0" w:header="0"/>
          <w:type w:val="continuous"/>
        </w:sectPr>
      </w:pPr>
    </w:p>
    <w:p>
      <w:pPr>
        <w:spacing w:after="0" w:line="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4,836,106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900" w:hanging="79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4,836,106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
        <w:spacing w:after="0" w:line="207" w:lineRule="exact"/>
        <w:tabs>
          <w:tab w:leader="none" w:pos="880" w:val="left"/>
          <w:tab w:leader="none" w:pos="10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0"/>
          <w:szCs w:val="20"/>
          <w:color w:val="auto"/>
        </w:rPr>
      </w:pPr>
    </w:p>
    <w:p>
      <w:pPr>
        <w:ind w:left="900" w:hanging="79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10.7% (3)</w:t>
      </w:r>
    </w:p>
    <w:p>
      <w:pPr>
        <w:spacing w:after="0" w:line="31" w:lineRule="exact"/>
        <w:rPr>
          <w:rFonts w:ascii="Times New Roman" w:cs="Times New Roman" w:eastAsia="Times New Roman" w:hAnsi="Times New Roman"/>
          <w:sz w:val="18"/>
          <w:szCs w:val="18"/>
          <w:color w:val="auto"/>
        </w:rPr>
      </w:pPr>
    </w:p>
    <w:p>
      <w:pPr>
        <w:ind w:left="900" w:hanging="79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4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as follows: (i) 2,796,868 by LV LP, (ii) 381,040 by LV(A) LP and (iii) 1,658,198 by LV Singapore. LSV Associates serves as the general partner of LV LP and LV(A) LP. LSV Singapore Associates serves as the general partner of LV Singapore. Messrs. Carusi and Plain and Ms. George, the individual managing directors of LSV Associates and LV Singapore Associates, share voting and dispositive power with respect to the shares held of record by LV LP, LV(A) LP and LV Singapore.</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-1115695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-1535430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constitutes the Schedule 13D filed by the undersigned (the “Schedule 13D”). This Schedule 13D is being filed by the Reporting Persons (as defined below) to report the acquisition of shares of Common Stock (as defined below) of the Issuer (as defined below) on February 5, 2021 as described in Item 3 below.</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class of equity securities to which this Schedule 13D relates is common stock, par value $0.0001 per share (the “Common Stock”) of Gemini Therapeutics, Inc., a Delaware corporation (the “Issuer” or “Gemini”). The principal executive offices of the Issuer are located at 300 One Kendall Square, 3rd Floor, Cambridge, Massachusetts 02139.</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jc w:val="both"/>
        <w:ind w:left="660" w:hanging="328"/>
        <w:spacing w:after="0" w:line="258"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and entities filing this statement are Lightstone Ventures, L.P. (“LV LP”), Lightstone Ventures (A), L.P. (“LV(A) LP”), LSV Associates, LLC (“LSV Associates”), Lightstone Singapore, L.P. (“LV Singapore”), Lightstone Singapore Associates, LLC (“Lightstone Singapore Associates,” together with LV LP, LV(A) LP, LSV Associates, and LV Singapore, the “LV Entities”), Michael A. Carusi, Jean M. George and Henry A. Plain, Jr. Together with the LV Entities, Messrs. Carusi and Plain and Ms. George are herein collectively referred to as the “Reporting Persons”).</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place of business of each of the Reporting Persons is 500 Boylston St., Suite 1380, Boston, MA 02116.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each of the Reporting Persons is the venture capital investment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nor the Listed Persons (as defined below) has been convicted in any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nor the Listed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Persons are United States citizens; the LV Entities are organized in Delaware, United States of America.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General Instruction C to Schedule 13D, information concerning the managing directors controlling LSV Associates and Lightstone Singapore Associates (the “Listed Persons”) required by Item 2 of Schedule 13D is listed on Schedule 1 hereto and is incorporated by reference herein.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2021, the Issuer completed the transactions contemplated by the Agreement and Plan of Merger Agreement, dated as of October 15, 2020 (the “Merger Agreement”), among the Issuer, FSG Merger Sub, Inc., a Delaware corporation and a wholly-owned subsidiary of the Issuer (“Merger Sub”), Gemini Therapeutics Sub, Inc., a Delaware corporation (“Old Gemini”), and Shareholder Representative Services LLC (the “Closing”), pursuant to which Merger Sub merged with and into Old Gemini (the “Business Combination”), with Old Gemini surviving the merger as a wholly-owned subsidiary of the Issuer.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LV LP, LV(A) LP and Lightstone Singapore purchased 350,000 shares, 6,000 shares and 44,000 shares, respectively, of Common Stock for an aggregate purchase price of $4,000,000 pursuant to a subscription agreement between the Issuer and certain investors and as a result of the Closing, LV LP and LV(A) LP received 2,446,868 shares, 375,040 shares and 1,614,198 shares, respectively, of Common Stock in the Business Combination in exchange for shares of Old Gemini.</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funds used by LV LP, LV(A) LP and Lightstone Singapore to acquire the securities described above were obtained from their general and limited partners.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Reporting Persons acquired the Common Stock for investment purposes. Except as set forth herein and except that the Reporting Persons or any of their affiliates may, from time to time or at any time, subject to market conditions and other factors, purchase additional Common Stock in the open market, in privately negotiated transactions or otherwise, or sell at any time all or a portion of the Common Stock now owned or hereafter acquired by them to one or more purchasers, as of the date of this Schedule 13D, none of the Reporting Persons has any present plans which relate to or would result in:</w:t>
      </w:r>
    </w:p>
    <w:p>
      <w:pPr>
        <w:spacing w:after="0" w:line="180"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the Issuer, or the disposition of securities of the Issuer;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extraordinary corporate transaction, such as a merger, reorganization or liquidation, involving the Issuer or any of its subsidiaries;</w:t>
      </w:r>
    </w:p>
    <w:p>
      <w:pPr>
        <w:spacing w:after="0" w:line="225" w:lineRule="exact"/>
        <w:rPr>
          <w:sz w:val="20"/>
          <w:szCs w:val="20"/>
          <w:color w:val="auto"/>
        </w:rPr>
      </w:pPr>
    </w:p>
    <w:p>
      <w:pPr>
        <w:jc w:val="both"/>
        <w:ind w:left="660" w:right="20" w:hanging="31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(c)</w:t>
        <w:tab/>
        <w:t>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w:t>
      </w:r>
    </w:p>
    <w:p>
      <w:pPr>
        <w:spacing w:after="0" w:line="176"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capitalization or dividend policy of the Issuer;</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Issuer’s charter, bylaws or instruments corresponding thereto or other actions which may impede the acquisition of control of the Issuer by any person;</w:t>
      </w:r>
    </w:p>
    <w:p>
      <w:pPr>
        <w:spacing w:after="0" w:line="37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of equity securities of the Issuer becoming eligible for termination of registration pursuant to Section 12(g)(4) of the Act;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similar to any of those enumerated above.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George, a managing director of LSV Associates and LV Singapore Associates, served on the board of directors of Old Gemini prior to the Closing and, following the Closing, Ms. George joined the board of directors of the Issuer. As a director of the Issuer, Ms. George may have influence over the corporate activities of the Issuer, including activities which may relate to the transactions described in clauses (a) through (j) of this Item 4.</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 The following information with respect to the ownership of the Common Stock of the Issuer by the Reporting Persons filing this Statement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13D is provided as of the date of this filing: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Sole</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Reporting Persons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Held</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38"/>
        </w:trPr>
        <w:tc>
          <w:tcPr>
            <w:tcW w:w="29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Directly (1)</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(3)</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2,796,868</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2,796,868</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2,796,868</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2,796,868</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381,040</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381,040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381,040</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381,040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LSV Associates (2)</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3,177,908</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3,177,908</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3,177,908</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LV Singapore LP</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1,658,198</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1,658,198</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1,658,198</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1,658,198</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Associates (2)</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1,658,198</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1,658,198</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1,658,198</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Michael A. Carusi</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4,836,106</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4,836,106</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4,836,106</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M. George</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4,836,106</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4,836,106</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4,836,106</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1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Henry A. Plain, Jr.</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4,836,106</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4,836,106</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4,836,106</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bl>
    <w:p>
      <w:pPr>
        <w:ind w:left="660" w:hanging="49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Common Stock currently underlying all Securities held by the Reporting Persons.</w:t>
      </w:r>
    </w:p>
    <w:p>
      <w:pPr>
        <w:spacing w:after="0" w:line="7" w:lineRule="exact"/>
        <w:rPr>
          <w:rFonts w:ascii="Times New Roman" w:cs="Times New Roman" w:eastAsia="Times New Roman" w:hAnsi="Times New Roman"/>
          <w:sz w:val="18"/>
          <w:szCs w:val="18"/>
          <w:color w:val="auto"/>
        </w:rPr>
      </w:pPr>
    </w:p>
    <w:p>
      <w:pPr>
        <w:jc w:val="both"/>
        <w:ind w:left="660" w:hanging="490"/>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LSV Associates serves as the general partner of LV LP and LV(A) LP. Lightstone Singapore Associates serves as the general partner of LV Singapore. Messrs. Carusi and Plain and Ms. George, the individual managing directors of LSV Associates and Lightstone Singapore Associates, share voting and dispositive power with respect to the shares held of record by LV LP, LV(A) LP and LV Singapore, and may be deemed to own beneficially the shares held by LV LP, LV(A) LP and LV Singapore.</w:t>
      </w:r>
    </w:p>
    <w:p>
      <w:pPr>
        <w:spacing w:after="0" w:line="1" w:lineRule="exact"/>
        <w:rPr>
          <w:rFonts w:ascii="Times New Roman" w:cs="Times New Roman" w:eastAsia="Times New Roman" w:hAnsi="Times New Roman"/>
          <w:sz w:val="18"/>
          <w:szCs w:val="18"/>
          <w:color w:val="auto"/>
        </w:rPr>
      </w:pPr>
    </w:p>
    <w:p>
      <w:pPr>
        <w:ind w:left="660" w:hanging="490"/>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information provided in Item 3 is hereby incorporated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5, 2021 (the “Closing Date”), New Gemini, Old Gemini, the FSDC Investors (as defined below) and the Major Gemini Investors (as defined below)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among other things, the FSDC Investors and the Major Gemini Investors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were granted certain registration rights with respect to registrable securities (as defined in the Registration Rights Agreement) held by them. The FSDC Investors include FS Development Holdings,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Robert Carey, Daniel Dubin and Deepka Pakianathan. The Major Gemini Investors include LV LP, LV(A) LP, LV Singapore, Atlas Venture Fund X, L.P., Atlas Venture Opportunity Fund I, L.P., OrbiMed Private Investments VI, LP and Wu Capital Investment LLC.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the Registration Rights Agreement provides for the following registration rights:</w:t>
      </w:r>
    </w:p>
    <w:p>
      <w:pPr>
        <w:spacing w:after="0" w:line="223" w:lineRule="exact"/>
        <w:rPr>
          <w:sz w:val="20"/>
          <w:szCs w:val="20"/>
          <w:color w:val="auto"/>
        </w:rPr>
      </w:pPr>
    </w:p>
    <w:p>
      <w:pPr>
        <w:jc w:val="both"/>
        <w:ind w:left="1140" w:hanging="336"/>
        <w:spacing w:after="0" w:line="257"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At any time after the Closing Date, and following the expiration of any lock-up to which an Investor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New Gemini will be required, upon the written request of either (i) FSDC Investors holding a majority of the Registrable Securities held by all FSDC Investors or (ii) Major Gemini Investors holding a majority of the Registrable Securities held by all Major Gemini Investors, to file a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182" w:lineRule="exact"/>
        <w:rPr>
          <w:rFonts w:ascii="Times New Roman" w:cs="Times New Roman" w:eastAsia="Times New Roman" w:hAnsi="Times New Roman"/>
          <w:sz w:val="18"/>
          <w:szCs w:val="18"/>
          <w:color w:val="auto"/>
        </w:rPr>
      </w:pPr>
    </w:p>
    <w:p>
      <w:pPr>
        <w:jc w:val="both"/>
        <w:ind w:left="1140" w:hanging="336"/>
        <w:spacing w:after="0" w:line="257"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New Gemini will be required, to file a shelf registration statement pursuant to Rule 415 of Securities Act as soon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practicable after the Closing Date and use reasonable best efforts to effect the registration of all of the registrable securities then held by Investors that are not covered by an effective registration statement as of the date that is 30 days after the Closing Date. At any time New Gemini has an effective shelf registration statement, if the Company shall receive a request from Investors holding registrable securities with an estimated market value of at least $5,000,000, to effect an underwritten shelf takedown, New Gemini shall use its reasonable best efforts to as expeditiously as possible to effect the underwritten shelf takedown.</w:t>
      </w:r>
    </w:p>
    <w:p>
      <w:pPr>
        <w:spacing w:after="0" w:line="182" w:lineRule="exact"/>
        <w:rPr>
          <w:rFonts w:ascii="Times New Roman" w:cs="Times New Roman" w:eastAsia="Times New Roman" w:hAnsi="Times New Roman"/>
          <w:sz w:val="18"/>
          <w:szCs w:val="18"/>
          <w:color w:val="auto"/>
        </w:rPr>
      </w:pPr>
    </w:p>
    <w:p>
      <w:pPr>
        <w:jc w:val="both"/>
        <w:ind w:left="1140" w:hanging="336"/>
        <w:spacing w:after="0" w:line="257"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demand registration rights and shelf registration rights. </w:t>
      </w:r>
      <w:r>
        <w:rPr>
          <w:rFonts w:ascii="Times New Roman" w:cs="Times New Roman" w:eastAsia="Times New Roman" w:hAnsi="Times New Roman"/>
          <w:sz w:val="18"/>
          <w:szCs w:val="18"/>
          <w:color w:val="auto"/>
        </w:rPr>
        <w:t>New Gemini shall not be obligated to effect: (a) more than one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Gemini Investors, including those made under a shelf registration statement.</w:t>
      </w:r>
    </w:p>
    <w:p>
      <w:pPr>
        <w:spacing w:after="0" w:line="182" w:lineRule="exact"/>
        <w:rPr>
          <w:rFonts w:ascii="Times New Roman" w:cs="Times New Roman" w:eastAsia="Times New Roman" w:hAnsi="Times New Roman"/>
          <w:sz w:val="18"/>
          <w:szCs w:val="18"/>
          <w:color w:val="auto"/>
        </w:rPr>
      </w:pPr>
    </w:p>
    <w:p>
      <w:pPr>
        <w:jc w:val="both"/>
        <w:ind w:left="1140" w:hanging="336"/>
        <w:spacing w:after="0" w:line="261"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At any time after the first anniversary of the Closing Date, if New Gemini proposes to file a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to register any of its equity securities under the Securities Act or to conduct a public offering, either for its own account or for the account of any other person, subject to certain exceptions, the Investors are entitled to include their registrable securities in such registration statement, subject to customary cut-back rights.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left="1140" w:hanging="336"/>
        <w:spacing w:after="0" w:line="258"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All fees, costs and expenses of underwritten registrations will be borne by New Gemini and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and selling commissions will be borne by the holders of the shares being registered. The Registration Rights Agreement contains customary cross-indemnification provisions, under which New Gemini is obligated to indemnify holders of registrable securities in the event of material misstatements or omissions in the registration statement attributable to New Gemini, and holders of registrable securities are obligated to indemnify New Gemini for material misstatements or omissions attributable to them.</w:t>
      </w:r>
    </w:p>
    <w:p>
      <w:pPr>
        <w:spacing w:after="0" w:line="183" w:lineRule="exact"/>
        <w:rPr>
          <w:rFonts w:ascii="Times New Roman" w:cs="Times New Roman" w:eastAsia="Times New Roman" w:hAnsi="Times New Roman"/>
          <w:sz w:val="18"/>
          <w:szCs w:val="18"/>
          <w:color w:val="auto"/>
        </w:rPr>
      </w:pPr>
    </w:p>
    <w:p>
      <w:pPr>
        <w:jc w:val="both"/>
        <w:ind w:left="1140" w:hanging="336"/>
        <w:spacing w:after="0" w:line="255"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Securities of New Gemini shall cease to be registrable securities upon the earlier of (i) tenth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w:t>
      </w:r>
    </w:p>
    <w:p>
      <w:pPr>
        <w:jc w:val="both"/>
        <w:ind w:left="1140" w:firstLine="2"/>
        <w:spacing w:after="0" w:line="255" w:lineRule="auto"/>
        <w:tabs>
          <w:tab w:leader="none" w:pos="140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Investor is an individual and such Investor is a director or an executive officer of Old Gemini or FSDC as of immediately prior to the consummation of the Merger, the date when such Investor is permitted to sell the Registrable Securities under Rule 144 (or any similar provision) under the Securities Act without limitation on the amount of securities sold or the manner of sale.</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the full text of the Registration Rights Agreement, a copy of which is filed herewith as Exhibit B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Closing Date, New Gemini, the Sponsor and the Major Gemini Investors (collectively, the “</w:t>
      </w:r>
      <w:r>
        <w:rPr>
          <w:rFonts w:ascii="Times New Roman" w:cs="Times New Roman" w:eastAsia="Times New Roman" w:hAnsi="Times New Roman"/>
          <w:sz w:val="18"/>
          <w:szCs w:val="18"/>
          <w:u w:val="single" w:color="auto"/>
          <w:color w:val="auto"/>
        </w:rPr>
        <w:t>Voting Parties</w:t>
      </w:r>
      <w:r>
        <w:rPr>
          <w:rFonts w:ascii="Times New Roman" w:cs="Times New Roman" w:eastAsia="Times New Roman" w:hAnsi="Times New Roman"/>
          <w:sz w:val="18"/>
          <w:szCs w:val="18"/>
          <w:color w:val="auto"/>
        </w:rPr>
        <w:t>”) entered into a Voting Agreement, pursuant to which each Voting Party agrees to vote all voting securities of New Gemini that it owns from time to time and that it may vote in an election of the Company’s directors in accordance with the provisions of the Voting Agreement, whether at a regular or special meeting of stockholders.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Voting Agreement, the post-Closing Board shall be comprised of seven directors, which must include Jason Meyenburg, Dr. Jim Tananbaum and Dr. Carl Gordon, divided into three classes, designated Class I, II and III, with Class I consisting of two directors, Class II consisting of three directors and Class III consisting of two Directors. Jean George and Dr. Carl Gordon shall constitute the initial members of Class I and shall be nominated in Class I, the members of which shall have an initial term that expires at the annual meeting of stockholders of New Gemini held in 2021; David Lubner, Dr. Tuyen Ong and Jason Rhodes shall constitute the initial members of Class II and shall be nominated in Class II, the members of which shall have an initial term that expires at the annual meeting of stockholders of New Gemini held in 2022; and Jason Meyenburg and Dr. Jim Tananbaum shall constitute the initial members of Class III and shall be nominated in Class III, the members of which shall have an initial term that expires at the annual meeting of stockholders of New Gemini held in 2023.</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Voting Agreement, until the earlier of (i) fifth anniversary of the Closing Date or (ii) the date on which Sponsor owns less than 1,217,563 shares of Common Stock, at each annual or special meeting of stockholders of New Gemini, Sponsor shall have the right to designate for election as a member of the Board, and the Board (including any committee thereof) shall nominate (and recommend for election and include such recommendation in a timely manner in any proxy statement or other applicable announcement to New Gemini’s stockholders), one individual to serve as a Class III Director. If Sponsor ceases to be entitled to nominate any directors, then such directors shall be nominated by the Board and approved by the holders of the outstanding shares of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Voting Agreement, Old Gemini shall have the authority to appoint four directors to the Board, with such procedures as are determined by Old Gemini’s Board.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directors elected pursuant to the terms of the Voting Agreement shall be removed from the Board only upon the vote or written consent of the Voting Party that is entitled to nominate, appoint or elect such director. Upon any decrease in the rights of any such Voting Party to nominate, appoint or elect any director, the applicable Voting Party shall promptly cause the removal or resignation of an applicable directors if requested by the Board. Upon any individual elected to serve as a director pursuant to the Voting Agreement ceasing to be a member of the Board, whether by death, resignation or removal or otherwise, only the Voting Party that was entitled to nominate, appoint or elect such individual shall have the right to fill any resulting vacancy in the Board; provided that such Voting Party still has the right to nominate, appoint or elect the applicable director.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Voting Agreement does not purport to be complete and is qualified in its entirety by the full text of the Voting Agreement, a copy of which is attached hereto as Exhibit C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Closing Date, New Gemini and certain of its stockholders, including LV LP, LV(A) LP and LV Singapore and optionholders entered into a Lockup Agreement pursuant to which such Stockholder Parties agreed not to transfer any shares of Common Stock or options to purchase Common Stock received as Merger consideration for a period of 180 days following the Closing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 does not purport to be complete and is qualified in its entirety by the full text of the Lockup Agreement, a copy of which is attached hereto as Exhibit D and is incorporated herein by reference.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Reporting Persons disclaim the membership in a group with any other parties to the Registration Rights Agreement or Voting Agreement, and this Schedule 13D shall not be deemed an admission that the Reporting Persons are members of a group for purposes of Section 13 or for any other purposes.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229"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(Incorporated by reference to Exhibit 10.1 to Amendment No. 1 to the Issuer’s Registration Statement on Form 8-A (SEC File No. 001-39438), filed with the Securities and Exchange Commission on February 5, 2021).</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Agreement (Incorporated by reference to Exhibit 10.2 to the Issuer’s Current Report on Form 8-K (SEC File No. 001-39438), filed with the Securities and Exchange Commission on February 11, 2021).</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Lockup Agreement (Incorporated by reference to Exhibit 10.3 to the Issuer’s Current Report on Form 8-K (SEC File No. 001-39438), filed with the Securities and Exchange Commission on February 11, 2021).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ENTURES</w:t>
      </w:r>
      <w:r>
        <w:rPr>
          <w:rFonts w:ascii="Times New Roman" w:cs="Times New Roman" w:eastAsia="Times New Roman" w:hAnsi="Times New Roman"/>
          <w:sz w:val="18"/>
          <w:szCs w:val="18"/>
          <w:color w:val="auto"/>
        </w:rPr>
        <w: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ENTURES</w:t>
      </w:r>
      <w:r>
        <w:rPr>
          <w:rFonts w:ascii="Times New Roman" w:cs="Times New Roman" w:eastAsia="Times New Roman" w:hAnsi="Times New Roman"/>
          <w:sz w:val="18"/>
          <w:szCs w:val="18"/>
          <w:color w:val="auto"/>
        </w:rPr>
        <w:t xml:space="preserve"> (A), L.P.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LLC</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6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LSV A</w:t>
            </w:r>
            <w:r>
              <w:rPr>
                <w:rFonts w:ascii="Times New Roman" w:cs="Times New Roman" w:eastAsia="Times New Roman" w:hAnsi="Times New Roman"/>
                <w:sz w:val="12"/>
                <w:szCs w:val="12"/>
                <w:color w:val="auto"/>
              </w:rPr>
              <w:t>SSOCIATES</w:t>
            </w:r>
            <w:r>
              <w:rPr>
                <w:rFonts w:ascii="Times New Roman" w:cs="Times New Roman" w:eastAsia="Times New Roman" w:hAnsi="Times New Roman"/>
                <w:sz w:val="18"/>
                <w:szCs w:val="18"/>
                <w:color w:val="auto"/>
              </w:rPr>
              <w:t>, LLC</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6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INGAPORE</w:t>
            </w:r>
            <w:r>
              <w:rPr>
                <w:rFonts w:ascii="Times New Roman" w:cs="Times New Roman" w:eastAsia="Times New Roman" w:hAnsi="Times New Roman"/>
                <w:sz w:val="18"/>
                <w:szCs w:val="18"/>
                <w:color w:val="auto"/>
              </w:rPr>
              <w:t>, L.P.</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Lightstone Singapore Associates, LLC</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6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INGAPORE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SSOCIATES</w:t>
            </w:r>
            <w:r>
              <w:rPr>
                <w:rFonts w:ascii="Times New Roman" w:cs="Times New Roman" w:eastAsia="Times New Roman" w:hAnsi="Times New Roman"/>
                <w:sz w:val="18"/>
                <w:szCs w:val="18"/>
                <w:color w:val="auto"/>
              </w:rPr>
              <w:t>,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6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918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Michael A. Carusi</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918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Jean M. George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918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Henry A. Plain, Jr.</w:t>
      </w:r>
    </w:p>
    <w:p>
      <w:pPr>
        <w:spacing w:after="0" w:line="200" w:lineRule="exact"/>
        <w:rPr>
          <w:sz w:val="20"/>
          <w:szCs w:val="20"/>
          <w:color w:val="auto"/>
        </w:rPr>
      </w:pPr>
    </w:p>
    <w:p>
      <w:pPr>
        <w:spacing w:after="0" w:line="2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constitute Federal criminal violations (See 18 U.S.C. 1001)</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 w:name="page16"/>
    <w:bookmarkEnd w:id="15"/>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A. Carusi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LSV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2884 Sand Hill Road, Suite 121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Managing Director of LSV Associates and LSV Associates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United States of America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Jean M. George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LSV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2884 Sand Hill Road, Suite 121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Managing Director of LSV Associates and LSV Associates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United States of America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Henry A. Plain, Jr.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LSV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2884 Sand Hill Road, Suite 121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Managing Director of LSV Associates and LSV Associates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United States of America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6" w:name="page17"/>
    <w:bookmarkEnd w:id="16"/>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regarding filing of joint Schedule 13D</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 the undersigned, hereby express my agreement that the attached Schedule 13D (and any amendments thereto) relating to the Common Stock of Gemini Therapeutics, Inc. is filed on behalf of each of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ENTURES</w:t>
      </w:r>
      <w:r>
        <w:rPr>
          <w:rFonts w:ascii="Times New Roman" w:cs="Times New Roman" w:eastAsia="Times New Roman" w:hAnsi="Times New Roman"/>
          <w:sz w:val="18"/>
          <w:szCs w:val="18"/>
          <w:color w:val="auto"/>
        </w:rPr>
        <w: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ENTURES</w:t>
      </w:r>
      <w:r>
        <w:rPr>
          <w:rFonts w:ascii="Times New Roman" w:cs="Times New Roman" w:eastAsia="Times New Roman" w:hAnsi="Times New Roman"/>
          <w:sz w:val="18"/>
          <w:szCs w:val="18"/>
          <w:color w:val="auto"/>
        </w:rPr>
        <w:t xml:space="preserve"> (A), L.P.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LLC</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6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LSV A</w:t>
            </w:r>
            <w:r>
              <w:rPr>
                <w:rFonts w:ascii="Times New Roman" w:cs="Times New Roman" w:eastAsia="Times New Roman" w:hAnsi="Times New Roman"/>
                <w:sz w:val="12"/>
                <w:szCs w:val="12"/>
                <w:color w:val="auto"/>
              </w:rPr>
              <w:t>SSOCIATES</w:t>
            </w:r>
            <w:r>
              <w:rPr>
                <w:rFonts w:ascii="Times New Roman" w:cs="Times New Roman" w:eastAsia="Times New Roman" w:hAnsi="Times New Roman"/>
                <w:sz w:val="18"/>
                <w:szCs w:val="18"/>
                <w:color w:val="auto"/>
              </w:rPr>
              <w:t>, LLC</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6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INGAPORE</w:t>
            </w:r>
            <w:r>
              <w:rPr>
                <w:rFonts w:ascii="Times New Roman" w:cs="Times New Roman" w:eastAsia="Times New Roman" w:hAnsi="Times New Roman"/>
                <w:sz w:val="18"/>
                <w:szCs w:val="18"/>
                <w:color w:val="auto"/>
              </w:rPr>
              <w:t>, L.P.</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Lightstone Singapore Associates, LLC</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6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INGAPORE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SSOCIATES</w:t>
            </w:r>
            <w:r>
              <w:rPr>
                <w:rFonts w:ascii="Times New Roman" w:cs="Times New Roman" w:eastAsia="Times New Roman" w:hAnsi="Times New Roman"/>
                <w:sz w:val="18"/>
                <w:szCs w:val="18"/>
                <w:color w:val="auto"/>
              </w:rPr>
              <w:t>,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6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918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Michael A. Carusi</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918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Jean M. George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918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Henry A. Plain, Jr.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lvl w:ilvl="1">
      <w:lvlJc w:val="left"/>
      <w:lvlText w:val="(%2)"/>
      <w:numFmt w:val="lowerLetter"/>
      <w:start w:val="1"/>
    </w:lvl>
  </w:abstractNum>
  <w:abstractNum w:abstractNumId="2">
    <w:nsid w:val="B03E0C6"/>
    <w:multiLevelType w:val="hybridMultilevel"/>
    <w:lvl w:ilvl="0">
      <w:lvlJc w:val="left"/>
      <w:lvlText w:val="%1."/>
      <w:numFmt w:val="decimal"/>
      <w:start w:val="6"/>
    </w:lvl>
    <w:lvl w:ilvl="1">
      <w:lvlJc w:val="left"/>
      <w:lvlText w:val="%2."/>
      <w:numFmt w:val="decimal"/>
      <w:start w:val="7"/>
    </w:lvl>
  </w:abstractNum>
  <w:abstractNum w:abstractNumId="3">
    <w:nsid w:val="189A769B"/>
    <w:multiLevelType w:val="hybridMultilevel"/>
    <w:lvl w:ilvl="0">
      <w:lvlJc w:val="left"/>
      <w:lvlText w:val="%1."/>
      <w:numFmt w:val="decimal"/>
      <w:start w:val="8"/>
    </w:lvl>
  </w:abstractNum>
  <w:abstractNum w:abstractNumId="4">
    <w:nsid w:val="54E49EB4"/>
    <w:multiLevelType w:val="hybridMultilevel"/>
    <w:lvl w:ilvl="0">
      <w:lvlJc w:val="left"/>
      <w:lvlText w:val="%1."/>
      <w:numFmt w:val="decimal"/>
      <w:start w:val="11"/>
    </w:lvl>
  </w:abstractNum>
  <w:abstractNum w:abstractNumId="5">
    <w:nsid w:val="71F32454"/>
    <w:multiLevelType w:val="hybridMultilevel"/>
    <w:lvl w:ilvl="0">
      <w:lvlJc w:val="left"/>
      <w:lvlText w:val="%1."/>
      <w:numFmt w:val="decimal"/>
      <w:start w:val="13"/>
    </w:lvl>
    <w:lvl w:ilvl="1">
      <w:lvlJc w:val="left"/>
      <w:lvlText w:val="(%2)"/>
      <w:numFmt w:val="decimal"/>
      <w:start w:val="1"/>
    </w:lvl>
  </w:abstractNum>
  <w:abstractNum w:abstractNumId="6">
    <w:nsid w:val="2CA88611"/>
    <w:multiLevelType w:val="hybridMultilevel"/>
    <w:lvl w:ilvl="0">
      <w:lvlJc w:val="left"/>
      <w:lvlText w:val="%1."/>
      <w:numFmt w:val="decimal"/>
      <w:start w:val="1"/>
    </w:lvl>
    <w:lvl w:ilvl="1">
      <w:lvlJc w:val="left"/>
      <w:lvlText w:val="(%2)"/>
      <w:numFmt w:val="lowerLetter"/>
      <w:start w:val="1"/>
    </w:lvl>
  </w:abstractNum>
  <w:abstractNum w:abstractNumId="7">
    <w:nsid w:val="836C40E"/>
    <w:multiLevelType w:val="hybridMultilevel"/>
    <w:lvl w:ilvl="0">
      <w:lvlJc w:val="left"/>
      <w:lvlText w:val="%1."/>
      <w:numFmt w:val="decimal"/>
      <w:start w:val="6"/>
    </w:lvl>
    <w:lvl w:ilvl="1">
      <w:lvlJc w:val="left"/>
      <w:lvlText w:val="%2."/>
      <w:numFmt w:val="decimal"/>
      <w:start w:val="7"/>
    </w:lvl>
  </w:abstractNum>
  <w:abstractNum w:abstractNumId="8">
    <w:nsid w:val="2901D82"/>
    <w:multiLevelType w:val="hybridMultilevel"/>
    <w:lvl w:ilvl="0">
      <w:lvlJc w:val="left"/>
      <w:lvlText w:val="%1."/>
      <w:numFmt w:val="decimal"/>
      <w:start w:val="8"/>
    </w:lvl>
  </w:abstractNum>
  <w:abstractNum w:abstractNumId="9">
    <w:nsid w:val="3A95F874"/>
    <w:multiLevelType w:val="hybridMultilevel"/>
    <w:lvl w:ilvl="0">
      <w:lvlJc w:val="left"/>
      <w:lvlText w:val="%1."/>
      <w:numFmt w:val="decimal"/>
      <w:start w:val="11"/>
    </w:lvl>
  </w:abstractNum>
  <w:abstractNum w:abstractNumId="10">
    <w:nsid w:val="8138641"/>
    <w:multiLevelType w:val="hybridMultilevel"/>
    <w:lvl w:ilvl="0">
      <w:lvlJc w:val="left"/>
      <w:lvlText w:val="%1."/>
      <w:numFmt w:val="decimal"/>
      <w:start w:val="13"/>
    </w:lvl>
    <w:lvl w:ilvl="1">
      <w:lvlJc w:val="left"/>
      <w:lvlText w:val="(%2)"/>
      <w:numFmt w:val="decimal"/>
      <w:start w:val="1"/>
    </w:lvl>
  </w:abstractNum>
  <w:abstractNum w:abstractNumId="11">
    <w:nsid w:val="1E7FF521"/>
    <w:multiLevelType w:val="hybridMultilevel"/>
    <w:lvl w:ilvl="0">
      <w:lvlJc w:val="left"/>
      <w:lvlText w:val="%1."/>
      <w:numFmt w:val="decimal"/>
      <w:start w:val="1"/>
    </w:lvl>
    <w:lvl w:ilvl="1">
      <w:lvlJc w:val="left"/>
      <w:lvlText w:val="(%2)"/>
      <w:numFmt w:val="lowerLetter"/>
      <w:start w:val="1"/>
    </w:lvl>
  </w:abstractNum>
  <w:abstractNum w:abstractNumId="12">
    <w:nsid w:val="7C3DBD3D"/>
    <w:multiLevelType w:val="hybridMultilevel"/>
    <w:lvl w:ilvl="0">
      <w:lvlJc w:val="left"/>
      <w:lvlText w:val="%1."/>
      <w:numFmt w:val="decimal"/>
      <w:start w:val="6"/>
    </w:lvl>
    <w:lvl w:ilvl="1">
      <w:lvlJc w:val="left"/>
      <w:lvlText w:val="%2."/>
      <w:numFmt w:val="decimal"/>
      <w:start w:val="7"/>
    </w:lvl>
  </w:abstractNum>
  <w:abstractNum w:abstractNumId="13">
    <w:nsid w:val="737B8DDC"/>
    <w:multiLevelType w:val="hybridMultilevel"/>
    <w:lvl w:ilvl="0">
      <w:lvlJc w:val="left"/>
      <w:lvlText w:val="%1."/>
      <w:numFmt w:val="decimal"/>
      <w:start w:val="8"/>
    </w:lvl>
  </w:abstractNum>
  <w:abstractNum w:abstractNumId="14">
    <w:nsid w:val="6CEAF087"/>
    <w:multiLevelType w:val="hybridMultilevel"/>
    <w:lvl w:ilvl="0">
      <w:lvlJc w:val="left"/>
      <w:lvlText w:val="%1."/>
      <w:numFmt w:val="decimal"/>
      <w:start w:val="11"/>
    </w:lvl>
  </w:abstractNum>
  <w:abstractNum w:abstractNumId="15">
    <w:nsid w:val="22221A70"/>
    <w:multiLevelType w:val="hybridMultilevel"/>
    <w:lvl w:ilvl="0">
      <w:lvlJc w:val="left"/>
      <w:lvlText w:val="%1."/>
      <w:numFmt w:val="decimal"/>
      <w:start w:val="13"/>
    </w:lvl>
    <w:lvl w:ilvl="1">
      <w:lvlJc w:val="left"/>
      <w:lvlText w:val="(%2)"/>
      <w:numFmt w:val="decimal"/>
      <w:start w:val="1"/>
    </w:lvl>
  </w:abstractNum>
  <w:abstractNum w:abstractNumId="16">
    <w:nsid w:val="4516DDE9"/>
    <w:multiLevelType w:val="hybridMultilevel"/>
    <w:lvl w:ilvl="0">
      <w:lvlJc w:val="left"/>
      <w:lvlText w:val="%1."/>
      <w:numFmt w:val="decimal"/>
      <w:start w:val="1"/>
    </w:lvl>
    <w:lvl w:ilvl="1">
      <w:lvlJc w:val="left"/>
      <w:lvlText w:val="(%2)"/>
      <w:numFmt w:val="lowerLetter"/>
      <w:start w:val="1"/>
    </w:lvl>
  </w:abstractNum>
  <w:abstractNum w:abstractNumId="17">
    <w:nsid w:val="3006C83E"/>
    <w:multiLevelType w:val="hybridMultilevel"/>
    <w:lvl w:ilvl="0">
      <w:lvlJc w:val="left"/>
      <w:lvlText w:val="%1."/>
      <w:numFmt w:val="decimal"/>
      <w:start w:val="6"/>
    </w:lvl>
    <w:lvl w:ilvl="1">
      <w:lvlJc w:val="left"/>
      <w:lvlText w:val="%2."/>
      <w:numFmt w:val="decimal"/>
      <w:start w:val="7"/>
    </w:lvl>
  </w:abstractNum>
  <w:abstractNum w:abstractNumId="18">
    <w:nsid w:val="614FD4A1"/>
    <w:multiLevelType w:val="hybridMultilevel"/>
    <w:lvl w:ilvl="0">
      <w:lvlJc w:val="left"/>
      <w:lvlText w:val="%1."/>
      <w:numFmt w:val="decimal"/>
      <w:start w:val="8"/>
    </w:lvl>
  </w:abstractNum>
  <w:abstractNum w:abstractNumId="19">
    <w:nsid w:val="419AC241"/>
    <w:multiLevelType w:val="hybridMultilevel"/>
    <w:lvl w:ilvl="0">
      <w:lvlJc w:val="left"/>
      <w:lvlText w:val="%1."/>
      <w:numFmt w:val="decimal"/>
      <w:start w:val="11"/>
    </w:lvl>
  </w:abstractNum>
  <w:abstractNum w:abstractNumId="20">
    <w:nsid w:val="5577F8E1"/>
    <w:multiLevelType w:val="hybridMultilevel"/>
    <w:lvl w:ilvl="0">
      <w:lvlJc w:val="left"/>
      <w:lvlText w:val="%1."/>
      <w:numFmt w:val="decimal"/>
      <w:start w:val="13"/>
    </w:lvl>
    <w:lvl w:ilvl="1">
      <w:lvlJc w:val="left"/>
      <w:lvlText w:val="(%2)"/>
      <w:numFmt w:val="decimal"/>
      <w:start w:val="1"/>
    </w:lvl>
  </w:abstractNum>
  <w:abstractNum w:abstractNumId="21">
    <w:nsid w:val="440BADFC"/>
    <w:multiLevelType w:val="hybridMultilevel"/>
    <w:lvl w:ilvl="0">
      <w:lvlJc w:val="left"/>
      <w:lvlText w:val="%1."/>
      <w:numFmt w:val="decimal"/>
      <w:start w:val="1"/>
    </w:lvl>
    <w:lvl w:ilvl="1">
      <w:lvlJc w:val="left"/>
      <w:lvlText w:val="(%2)"/>
      <w:numFmt w:val="lowerLetter"/>
      <w:start w:val="1"/>
    </w:lvl>
  </w:abstractNum>
  <w:abstractNum w:abstractNumId="22">
    <w:nsid w:val="5072367"/>
    <w:multiLevelType w:val="hybridMultilevel"/>
    <w:lvl w:ilvl="0">
      <w:lvlJc w:val="left"/>
      <w:lvlText w:val="%1."/>
      <w:numFmt w:val="decimal"/>
      <w:start w:val="6"/>
    </w:lvl>
    <w:lvl w:ilvl="1">
      <w:lvlJc w:val="left"/>
      <w:lvlText w:val="%2."/>
      <w:numFmt w:val="decimal"/>
      <w:start w:val="7"/>
    </w:lvl>
  </w:abstractNum>
  <w:abstractNum w:abstractNumId="23">
    <w:nsid w:val="3804823E"/>
    <w:multiLevelType w:val="hybridMultilevel"/>
    <w:lvl w:ilvl="0">
      <w:lvlJc w:val="left"/>
      <w:lvlText w:val="%1."/>
      <w:numFmt w:val="decimal"/>
      <w:start w:val="8"/>
    </w:lvl>
  </w:abstractNum>
  <w:abstractNum w:abstractNumId="24">
    <w:nsid w:val="77465F01"/>
    <w:multiLevelType w:val="hybridMultilevel"/>
    <w:lvl w:ilvl="0">
      <w:lvlJc w:val="left"/>
      <w:lvlText w:val="%1."/>
      <w:numFmt w:val="decimal"/>
      <w:start w:val="11"/>
    </w:lvl>
  </w:abstractNum>
  <w:abstractNum w:abstractNumId="25">
    <w:nsid w:val="7724C67E"/>
    <w:multiLevelType w:val="hybridMultilevel"/>
    <w:lvl w:ilvl="0">
      <w:lvlJc w:val="left"/>
      <w:lvlText w:val="%1."/>
      <w:numFmt w:val="decimal"/>
      <w:start w:val="13"/>
    </w:lvl>
    <w:lvl w:ilvl="1">
      <w:lvlJc w:val="left"/>
      <w:lvlText w:val="(%2)"/>
      <w:numFmt w:val="decimal"/>
      <w:start w:val="1"/>
    </w:lvl>
  </w:abstractNum>
  <w:abstractNum w:abstractNumId="26">
    <w:nsid w:val="5C482A97"/>
    <w:multiLevelType w:val="hybridMultilevel"/>
    <w:lvl w:ilvl="0">
      <w:lvlJc w:val="left"/>
      <w:lvlText w:val="%1."/>
      <w:numFmt w:val="decimal"/>
      <w:start w:val="1"/>
    </w:lvl>
    <w:lvl w:ilvl="1">
      <w:lvlJc w:val="left"/>
      <w:lvlText w:val="(%2)"/>
      <w:numFmt w:val="lowerLetter"/>
      <w:start w:val="1"/>
    </w:lvl>
  </w:abstractNum>
  <w:abstractNum w:abstractNumId="27">
    <w:nsid w:val="2463B9EA"/>
    <w:multiLevelType w:val="hybridMultilevel"/>
    <w:lvl w:ilvl="0">
      <w:lvlJc w:val="left"/>
      <w:lvlText w:val="%1."/>
      <w:numFmt w:val="decimal"/>
      <w:start w:val="6"/>
    </w:lvl>
    <w:lvl w:ilvl="1">
      <w:lvlJc w:val="left"/>
      <w:lvlText w:val="%2."/>
      <w:numFmt w:val="decimal"/>
      <w:start w:val="7"/>
    </w:lvl>
  </w:abstractNum>
  <w:abstractNum w:abstractNumId="28">
    <w:nsid w:val="5E884ADC"/>
    <w:multiLevelType w:val="hybridMultilevel"/>
    <w:lvl w:ilvl="0">
      <w:lvlJc w:val="left"/>
      <w:lvlText w:val="%1"/>
      <w:numFmt w:val="decimal"/>
      <w:start w:val="1"/>
    </w:lvl>
    <w:lvl w:ilvl="1">
      <w:lvlJc w:val="left"/>
      <w:lvlText w:val="%2."/>
      <w:numFmt w:val="decimal"/>
      <w:start w:val="10"/>
    </w:lvl>
  </w:abstractNum>
  <w:abstractNum w:abstractNumId="29">
    <w:nsid w:val="51EAD36B"/>
    <w:multiLevelType w:val="hybridMultilevel"/>
    <w:lvl w:ilvl="0">
      <w:lvlJc w:val="left"/>
      <w:lvlText w:val="%1."/>
      <w:numFmt w:val="decimal"/>
      <w:start w:val="11"/>
    </w:lvl>
    <w:lvl w:ilvl="1">
      <w:lvlJc w:val="left"/>
      <w:lvlText w:val="%2"/>
      <w:numFmt w:val="decimal"/>
      <w:start w:val="1"/>
    </w:lvl>
  </w:abstractNum>
  <w:abstractNum w:abstractNumId="30">
    <w:nsid w:val="2D517796"/>
    <w:multiLevelType w:val="hybridMultilevel"/>
    <w:lvl w:ilvl="0">
      <w:lvlJc w:val="left"/>
      <w:lvlText w:val="%1."/>
      <w:numFmt w:val="decimal"/>
      <w:start w:val="13"/>
    </w:lvl>
    <w:lvl w:ilvl="1">
      <w:lvlJc w:val="left"/>
      <w:lvlText w:val="(%2)"/>
      <w:numFmt w:val="decimal"/>
      <w:start w:val="1"/>
    </w:lvl>
  </w:abstractNum>
  <w:abstractNum w:abstractNumId="31">
    <w:nsid w:val="580BD78F"/>
    <w:multiLevelType w:val="hybridMultilevel"/>
    <w:lvl w:ilvl="0">
      <w:lvlJc w:val="left"/>
      <w:lvlText w:val="%1."/>
      <w:numFmt w:val="decimal"/>
      <w:start w:val="1"/>
    </w:lvl>
    <w:lvl w:ilvl="1">
      <w:lvlJc w:val="left"/>
      <w:lvlText w:val="(%2)"/>
      <w:numFmt w:val="lowerLetter"/>
      <w:start w:val="1"/>
    </w:lvl>
  </w:abstractNum>
  <w:abstractNum w:abstractNumId="32">
    <w:nsid w:val="153EA438"/>
    <w:multiLevelType w:val="hybridMultilevel"/>
    <w:lvl w:ilvl="0">
      <w:lvlJc w:val="left"/>
      <w:lvlText w:val="%1."/>
      <w:numFmt w:val="decimal"/>
      <w:start w:val="6"/>
    </w:lvl>
    <w:lvl w:ilvl="1">
      <w:lvlJc w:val="left"/>
      <w:lvlText w:val="%2."/>
      <w:numFmt w:val="decimal"/>
      <w:start w:val="7"/>
    </w:lvl>
  </w:abstractNum>
  <w:abstractNum w:abstractNumId="33">
    <w:nsid w:val="3855585C"/>
    <w:multiLevelType w:val="hybridMultilevel"/>
    <w:lvl w:ilvl="0">
      <w:lvlJc w:val="left"/>
      <w:lvlText w:val="%1."/>
      <w:numFmt w:val="decimal"/>
      <w:start w:val="8"/>
    </w:lvl>
  </w:abstractNum>
  <w:abstractNum w:abstractNumId="34">
    <w:nsid w:val="70A64E2A"/>
    <w:multiLevelType w:val="hybridMultilevel"/>
    <w:lvl w:ilvl="0">
      <w:lvlJc w:val="left"/>
      <w:lvlText w:val="%1."/>
      <w:numFmt w:val="decimal"/>
      <w:start w:val="11"/>
    </w:lvl>
  </w:abstractNum>
  <w:abstractNum w:abstractNumId="35">
    <w:nsid w:val="6A2342EC"/>
    <w:multiLevelType w:val="hybridMultilevel"/>
    <w:lvl w:ilvl="0">
      <w:lvlJc w:val="left"/>
      <w:lvlText w:val="%1."/>
      <w:numFmt w:val="decimal"/>
      <w:start w:val="13"/>
    </w:lvl>
    <w:lvl w:ilvl="1">
      <w:lvlJc w:val="left"/>
      <w:lvlText w:val="(%2)"/>
      <w:numFmt w:val="decimal"/>
      <w:start w:val="1"/>
    </w:lvl>
  </w:abstractNum>
  <w:abstractNum w:abstractNumId="36">
    <w:nsid w:val="2A487CB0"/>
    <w:multiLevelType w:val="hybridMultilevel"/>
    <w:lvl w:ilvl="0">
      <w:lvlJc w:val="left"/>
      <w:lvlText w:val="%1."/>
      <w:numFmt w:val="decimal"/>
      <w:start w:val="1"/>
    </w:lvl>
    <w:lvl w:ilvl="1">
      <w:lvlJc w:val="left"/>
      <w:lvlText w:val="(%2)"/>
      <w:numFmt w:val="lowerLetter"/>
      <w:start w:val="1"/>
    </w:lvl>
  </w:abstractNum>
  <w:abstractNum w:abstractNumId="37">
    <w:nsid w:val="1D4ED43B"/>
    <w:multiLevelType w:val="hybridMultilevel"/>
    <w:lvl w:ilvl="0">
      <w:lvlJc w:val="left"/>
      <w:lvlText w:val="%1."/>
      <w:numFmt w:val="decimal"/>
      <w:start w:val="6"/>
    </w:lvl>
    <w:lvl w:ilvl="1">
      <w:lvlJc w:val="left"/>
      <w:lvlText w:val="%2."/>
      <w:numFmt w:val="decimal"/>
      <w:start w:val="7"/>
    </w:lvl>
  </w:abstractNum>
  <w:abstractNum w:abstractNumId="38">
    <w:nsid w:val="725A06FB"/>
    <w:multiLevelType w:val="hybridMultilevel"/>
    <w:lvl w:ilvl="0">
      <w:lvlJc w:val="left"/>
      <w:lvlText w:val="%1."/>
      <w:numFmt w:val="decimal"/>
      <w:start w:val="8"/>
    </w:lvl>
  </w:abstractNum>
  <w:abstractNum w:abstractNumId="39">
    <w:nsid w:val="2CD89A32"/>
    <w:multiLevelType w:val="hybridMultilevel"/>
    <w:lvl w:ilvl="0">
      <w:lvlJc w:val="left"/>
      <w:lvlText w:val="%1."/>
      <w:numFmt w:val="decimal"/>
      <w:start w:val="11"/>
    </w:lvl>
  </w:abstractNum>
  <w:abstractNum w:abstractNumId="40">
    <w:nsid w:val="57E4CCAF"/>
    <w:multiLevelType w:val="hybridMultilevel"/>
    <w:lvl w:ilvl="0">
      <w:lvlJc w:val="left"/>
      <w:lvlText w:val="%1."/>
      <w:numFmt w:val="decimal"/>
      <w:start w:val="13"/>
    </w:lvl>
    <w:lvl w:ilvl="1">
      <w:lvlJc w:val="left"/>
      <w:lvlText w:val="(%2)"/>
      <w:numFmt w:val="decimal"/>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5"/>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lvl w:ilvl="1">
      <w:lvlJc w:val="left"/>
      <w:lvlText w:val="(%2)"/>
      <w:numFmt w:val="lowerLetter"/>
      <w:start w:val="25"/>
    </w:lvl>
  </w:abstractNum>
  <w:abstractNum w:abstractNumId="47">
    <w:nsid w:val="32FFF902"/>
    <w:multiLevelType w:val="hybridMultilevel"/>
    <w:lvl w:ilvl="0">
      <w:lvlJc w:val="left"/>
      <w:lvlText w:val="%1."/>
      <w:numFmt w:val="upperLetter"/>
      <w:start w:val="1"/>
    </w:lvl>
  </w:abstractNum>
  <w:abstractNum w:abstractNumId="48">
    <w:nsid w:val="684A481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2021-02-16T16:55:46Z</dcterms:created>
  <dcterms:modified xsi:type="dcterms:W3CDTF">2021-02-16T16:55:46Z</dcterms:modified>
</cp:coreProperties>
</file>