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Disc Medicine,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80"/>
              <w:spacing w:after="0"/>
              <w:rPr>
                <w:sz w:val="20"/>
                <w:szCs w:val="20"/>
                <w:color w:val="auto"/>
              </w:rPr>
            </w:pPr>
            <w:r>
              <w:rPr>
                <w:rFonts w:ascii="Arial" w:cs="Arial" w:eastAsia="Arial" w:hAnsi="Arial"/>
                <w:sz w:val="18"/>
                <w:szCs w:val="18"/>
                <w:b w:val="1"/>
                <w:bCs w:val="1"/>
                <w:color w:val="auto"/>
              </w:rPr>
              <w:t>001-39438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85-1612845</w:t>
            </w:r>
          </w:p>
        </w:tc>
      </w:tr>
      <w:tr>
        <w:trPr>
          <w:trHeight w:val="148"/>
        </w:trPr>
        <w:tc>
          <w:tcPr>
            <w:tcW w:w="350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00" w:type="dxa"/>
            <w:vAlign w:val="bottom"/>
          </w:tcPr>
          <w:p>
            <w:pPr>
              <w:jc w:val="center"/>
              <w:ind w:right="979"/>
              <w:spacing w:after="0"/>
              <w:rPr>
                <w:sz w:val="20"/>
                <w:szCs w:val="20"/>
                <w:color w:val="auto"/>
              </w:rPr>
            </w:pPr>
            <w:r>
              <w:rPr>
                <w:rFonts w:ascii="Arial" w:cs="Arial" w:eastAsia="Arial" w:hAnsi="Arial"/>
                <w:sz w:val="18"/>
                <w:szCs w:val="18"/>
                <w:b w:val="1"/>
                <w:bCs w:val="1"/>
                <w:color w:val="auto"/>
                <w:w w:val="89"/>
              </w:rPr>
              <w:t>321 Arsenal Street, Suite 101</w:t>
            </w:r>
          </w:p>
        </w:tc>
        <w:tc>
          <w:tcPr>
            <w:tcW w:w="3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500" w:type="dxa"/>
            <w:vAlign w:val="bottom"/>
          </w:tcPr>
          <w:p>
            <w:pPr>
              <w:jc w:val="center"/>
              <w:ind w:right="959"/>
              <w:spacing w:after="0"/>
              <w:rPr>
                <w:sz w:val="20"/>
                <w:szCs w:val="20"/>
                <w:color w:val="auto"/>
              </w:rPr>
            </w:pPr>
            <w:r>
              <w:rPr>
                <w:rFonts w:ascii="Arial" w:cs="Arial" w:eastAsia="Arial" w:hAnsi="Arial"/>
                <w:sz w:val="18"/>
                <w:szCs w:val="18"/>
                <w:b w:val="1"/>
                <w:bCs w:val="1"/>
                <w:color w:val="auto"/>
                <w:w w:val="89"/>
              </w:rPr>
              <w:t>Watertown, Massachusetts</w:t>
            </w:r>
          </w:p>
        </w:tc>
        <w:tc>
          <w:tcPr>
            <w:tcW w:w="322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02472</w:t>
            </w:r>
          </w:p>
        </w:tc>
      </w:tr>
      <w:tr>
        <w:trPr>
          <w:trHeight w:val="186"/>
        </w:trPr>
        <w:tc>
          <w:tcPr>
            <w:tcW w:w="350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7"/>
              </w:rPr>
              <w:t>IRON</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2"/>
              </w:rPr>
              <w:t>The Nasdaq Global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connection with the proposed registered underwritten public offering, Disc Medicine, Inc. (the “Company”) notified SVB Securities LLC that it has suspended the offering of any shares of its common stock, par value $0.0001 per share, pursuant to, the prospectus supplement, filed with the Securities and Exchange Commission (the “SEC”) on January 25, 2023 under the Company’s shelf Registration Statement on Form S-3 (File No. 333-269272), which became effective on January 24, 2023, relating to the Sales Agreement, dated January 25, 2023 (the “Sales Agreement”), by and between the Company and SVB Securities LLC covering the sale of up to $100 million shares (the “ATM Shares”) of its common stock. Prior to suspension, approximately $20 million of the ATM Shares had been sold and approximately $80 million of the ATM Shares remained available for sale pursuant to the Sales Agreement. The Company will not make any sales of common stock pursuant to the Sales Agreement unless and until a new prospectus supplement or registration statement is filed with the SEC; however, the Sales Agreement remains in full force and effect.</w:t>
      </w:r>
    </w:p>
    <w:p>
      <w:pPr>
        <w:spacing w:after="0" w:line="16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This Current Report on Form 8-K shall not constitute an offer to sell or a solicitation of an offer to buy any securities of the Company, which is being made only by means of a written prospectus meeting the requirements of Section 10 of the Securities Act of 1933, as amended (the “Securities Act”), nor shall there be any sale of the Company’s securities in any state or jurisdiction in which such offer, solicitation or sale would be unlawful prior to registration or qualification under the securities laws of such jurisdiction.</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Current Report on Form 8-K contains forward-looking statements within the meaning of Section 27A of the Securities Act and Section 21E of the Securities Exchange Act of 1934, as amended.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“seeks,” “endeavor,” “potential,” “continue,” and similar expressions, or the negative of these terms, or similar expressions. These forward-looking statements include statements about the Company’s anticipated public offering and the Company’s future expectations, plans and prospects. Accordingly, these statements involve estimates, assumptions, risks and uncertainties which could cause actual results to differ materially from those expressed in them, including the uncertainties related to market conditions and the completion of the public offering on the anticipated terms or at all. The Company’s forward-looking statements also involve assumptions that, if they prove incorrect, would cause its results to differ materially from those expressed or implied by such forward-looking statements. These and other risks concerning the Company’s business are described in additional detail in the Company’s Quarterly Report on Form 10-Q for the quarter ended March 31, 2023 and other documents filed by the Company from time to time with the SEC. The Company is under no obligation to, and expressly disclaims any such obligation to, update or alter its forward-looking statements, whether as a result of new information, future events or otherwise.</w:t>
      </w:r>
    </w:p>
    <w:p>
      <w:pPr>
        <w:sectPr>
          <w:pgSz w:w="11900" w:h="16838" w:orient="portrait"/>
          <w:cols w:equalWidth="0" w:num="1">
            <w:col w:w="10980"/>
          </w:cols>
          <w:pgMar w:left="440" w:top="513" w:right="47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DISC MEDICINE, INC.</w:t>
      </w:r>
    </w:p>
    <w:p>
      <w:pPr>
        <w:spacing w:after="0" w:line="225" w:lineRule="exact"/>
        <w:rPr>
          <w:sz w:val="20"/>
          <w:szCs w:val="20"/>
          <w:color w:val="auto"/>
        </w:rPr>
      </w:pPr>
    </w:p>
    <w:p>
      <w:pPr>
        <w:spacing w:after="0"/>
        <w:tabs>
          <w:tab w:leader="none" w:pos="5480" w:val="left"/>
          <w:tab w:leader="none" w:pos="6140" w:val="left"/>
        </w:tabs>
        <w:rPr>
          <w:sz w:val="20"/>
          <w:szCs w:val="20"/>
          <w:color w:val="auto"/>
        </w:rPr>
      </w:pPr>
      <w:r>
        <w:rPr>
          <w:rFonts w:ascii="Arial" w:cs="Arial" w:eastAsia="Arial" w:hAnsi="Arial"/>
          <w:sz w:val="18"/>
          <w:szCs w:val="18"/>
          <w:color w:val="auto"/>
        </w:rPr>
        <w:t>Date: June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Quisel, J.D., Ph.D.</w:t>
      </w:r>
    </w:p>
    <w:p>
      <w:pPr>
        <w:spacing w:after="0" w:line="9" w:lineRule="exact"/>
        <w:rPr>
          <w:sz w:val="20"/>
          <w:szCs w:val="20"/>
          <w:color w:val="auto"/>
        </w:rPr>
      </w:pPr>
    </w:p>
    <w:p>
      <w:pPr>
        <w:ind w:left="5500"/>
        <w:spacing w:after="0"/>
        <w:tabs>
          <w:tab w:leader="none" w:pos="6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sectPr>
      <w:pgSz w:w="11900" w:h="16838" w:orient="portrait"/>
      <w:cols w:equalWidth="0" w:num="1">
        <w:col w:w="10260"/>
      </w:cols>
      <w:pgMar w:left="4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2023-06-12T15:43:11Z</dcterms:created>
  <dcterms:modified xsi:type="dcterms:W3CDTF">2023-06-12T15:43:11Z</dcterms:modified>
</cp:coreProperties>
</file>