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Washington, D.C. 20549</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SCHEDULE 13D/A</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(Amendment No. 2)*</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Disc Medicine, Inc. (f/k/a 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(CUSIP Number)</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Robert Atchinson</w:t>
      </w:r>
    </w:p>
    <w:p>
      <w:pPr>
        <w:jc w:val="center"/>
        <w:ind w:right="-59"/>
        <w:spacing w:after="0" w:line="238" w:lineRule="auto"/>
        <w:rPr>
          <w:sz w:val="20"/>
          <w:szCs w:val="20"/>
          <w:color w:val="auto"/>
        </w:rPr>
      </w:pPr>
      <w:r>
        <w:rPr>
          <w:rFonts w:ascii="Arial" w:cs="Arial" w:eastAsia="Arial" w:hAnsi="Arial"/>
          <w:sz w:val="22"/>
          <w:szCs w:val="22"/>
          <w:color w:val="auto"/>
        </w:rPr>
        <w:t>Adage Capital Partners GP, L.L.C.</w:t>
      </w:r>
    </w:p>
    <w:p>
      <w:pPr>
        <w:jc w:val="center"/>
        <w:ind w:right="-59"/>
        <w:spacing w:after="0" w:line="230" w:lineRule="auto"/>
        <w:rPr>
          <w:sz w:val="20"/>
          <w:szCs w:val="20"/>
          <w:color w:val="auto"/>
        </w:rPr>
      </w:pPr>
      <w:r>
        <w:rPr>
          <w:rFonts w:ascii="Arial" w:cs="Arial" w:eastAsia="Arial" w:hAnsi="Arial"/>
          <w:sz w:val="22"/>
          <w:szCs w:val="22"/>
          <w:color w:val="auto"/>
        </w:rPr>
        <w:t>200 Clarendon Street, 52nd Floor</w:t>
      </w:r>
    </w:p>
    <w:p>
      <w:pPr>
        <w:jc w:val="center"/>
        <w:ind w:right="-59"/>
        <w:spacing w:after="0" w:line="233" w:lineRule="auto"/>
        <w:rPr>
          <w:sz w:val="20"/>
          <w:szCs w:val="20"/>
          <w:color w:val="auto"/>
        </w:rPr>
      </w:pPr>
      <w:r>
        <w:rPr>
          <w:rFonts w:ascii="Arial" w:cs="Arial" w:eastAsia="Arial" w:hAnsi="Arial"/>
          <w:sz w:val="22"/>
          <w:szCs w:val="22"/>
          <w:color w:val="auto"/>
        </w:rPr>
        <w:t>Boston, MA 02116</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(617) 867-2800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0" w:lineRule="exact"/>
        <w:rPr>
          <w:sz w:val="24"/>
          <w:szCs w:val="24"/>
          <w:color w:val="auto"/>
        </w:rPr>
      </w:pPr>
    </w:p>
    <w:p>
      <w:pPr>
        <w:ind w:right="100"/>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(Page 1 of 8 Pages)</w:t>
      </w:r>
    </w:p>
    <w:p>
      <w:pPr>
        <w:spacing w:after="0" w:line="233" w:lineRule="auto"/>
        <w:rPr>
          <w:sz w:val="20"/>
          <w:szCs w:val="20"/>
          <w:color w:val="auto"/>
        </w:rPr>
      </w:pPr>
      <w:r>
        <w:rPr>
          <w:rFonts w:ascii="Arial" w:cs="Arial" w:eastAsia="Arial" w:hAnsi="Arial"/>
          <w:sz w:val="14"/>
          <w:szCs w:val="14"/>
          <w:color w:val="auto"/>
        </w:rPr>
        <w:t>______________________________</w:t>
      </w:r>
    </w:p>
    <w:p>
      <w:pPr>
        <w:ind w:right="40" w:firstLine="8"/>
        <w:spacing w:after="0" w:line="234"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color w:val="auto"/>
        </w:rPr>
        <w:t>**The Reporting Persons are voluntarily exiting the reporting system prior to triggering a filing obligation.</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320" w:top="226"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494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CUSIP No. </w:t>
            </w:r>
            <w:r>
              <w:rPr>
                <w:rFonts w:ascii="Arial" w:cs="Arial" w:eastAsia="Arial" w:hAnsi="Arial"/>
                <w:sz w:val="21"/>
                <w:szCs w:val="21"/>
                <w:b w:val="1"/>
                <w:bCs w:val="1"/>
                <w:color w:val="auto"/>
              </w:rPr>
              <w:t>254604101</w:t>
            </w:r>
          </w:p>
        </w:tc>
        <w:tc>
          <w:tcPr>
            <w:tcW w:w="3160" w:type="dxa"/>
            <w:vAlign w:val="bottom"/>
          </w:tcPr>
          <w:p>
            <w:pPr>
              <w:ind w:left="440"/>
              <w:spacing w:after="0"/>
              <w:rPr>
                <w:sz w:val="20"/>
                <w:szCs w:val="20"/>
                <w:color w:val="auto"/>
              </w:rPr>
            </w:pPr>
            <w:r>
              <w:rPr>
                <w:rFonts w:ascii="Arial" w:cs="Arial" w:eastAsia="Arial" w:hAnsi="Arial"/>
                <w:sz w:val="18"/>
                <w:szCs w:val="18"/>
                <w:b w:val="1"/>
                <w:bCs w:val="1"/>
                <w:color w:val="auto"/>
              </w:rPr>
              <w:t>13D/A</w:t>
            </w:r>
          </w:p>
        </w:tc>
        <w:tc>
          <w:tcPr>
            <w:tcW w:w="3140" w:type="dxa"/>
            <w:vAlign w:val="bottom"/>
          </w:tcPr>
          <w:p>
            <w:pPr>
              <w:ind w:left="1680"/>
              <w:spacing w:after="0"/>
              <w:rPr>
                <w:sz w:val="20"/>
                <w:szCs w:val="20"/>
                <w:color w:val="auto"/>
              </w:rPr>
            </w:pPr>
            <w:r>
              <w:rPr>
                <w:rFonts w:ascii="Arial" w:cs="Arial" w:eastAsia="Arial" w:hAnsi="Arial"/>
                <w:sz w:val="20"/>
                <w:szCs w:val="20"/>
                <w:b w:val="1"/>
                <w:bCs w:val="1"/>
                <w:color w:val="auto"/>
                <w:w w:val="84"/>
              </w:rPr>
              <w:t>Page 2 of 8 Pages</w:t>
            </w:r>
          </w:p>
        </w:tc>
        <w:tc>
          <w:tcPr>
            <w:tcW w:w="0" w:type="dxa"/>
            <w:vAlign w:val="bottom"/>
          </w:tcPr>
          <w:p>
            <w:pPr>
              <w:spacing w:after="0"/>
              <w:rPr>
                <w:sz w:val="1"/>
                <w:szCs w:val="1"/>
                <w:color w:val="auto"/>
              </w:rPr>
            </w:pPr>
          </w:p>
        </w:tc>
      </w:tr>
      <w:tr>
        <w:trPr>
          <w:trHeight w:val="341"/>
        </w:trPr>
        <w:tc>
          <w:tcPr>
            <w:tcW w:w="1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1</w:t>
            </w:r>
          </w:p>
        </w:tc>
        <w:tc>
          <w:tcPr>
            <w:tcW w:w="3480" w:type="dxa"/>
            <w:vAlign w:val="bottom"/>
          </w:tcPr>
          <w:p>
            <w:pPr>
              <w:ind w:left="460"/>
              <w:spacing w:after="0"/>
              <w:rPr>
                <w:sz w:val="20"/>
                <w:szCs w:val="20"/>
                <w:color w:val="auto"/>
              </w:rPr>
            </w:pPr>
            <w:r>
              <w:rPr>
                <w:rFonts w:ascii="Arial" w:cs="Arial" w:eastAsia="Arial" w:hAnsi="Arial"/>
                <w:sz w:val="16"/>
                <w:szCs w:val="16"/>
                <w:color w:val="auto"/>
              </w:rPr>
              <w:t>NAME OF REPORTING PERSON</w:t>
            </w:r>
          </w:p>
        </w:tc>
        <w:tc>
          <w:tcPr>
            <w:tcW w:w="3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60" w:type="dxa"/>
            <w:vAlign w:val="bottom"/>
            <w:vMerge w:val="continue"/>
          </w:tcPr>
          <w:p>
            <w:pPr>
              <w:spacing w:after="0"/>
              <w:rPr>
                <w:sz w:val="14"/>
                <w:szCs w:val="14"/>
                <w:color w:val="auto"/>
              </w:rPr>
            </w:pPr>
          </w:p>
        </w:tc>
        <w:tc>
          <w:tcPr>
            <w:tcW w:w="3480" w:type="dxa"/>
            <w:vAlign w:val="bottom"/>
            <w:vMerge w:val="restart"/>
          </w:tcPr>
          <w:p>
            <w:pPr>
              <w:ind w:left="780"/>
              <w:spacing w:after="0"/>
              <w:rPr>
                <w:sz w:val="20"/>
                <w:szCs w:val="20"/>
                <w:color w:val="auto"/>
              </w:rPr>
            </w:pPr>
            <w:r>
              <w:rPr>
                <w:rFonts w:ascii="Arial" w:cs="Arial" w:eastAsia="Arial" w:hAnsi="Arial"/>
                <w:sz w:val="20"/>
                <w:szCs w:val="20"/>
                <w:color w:val="auto"/>
              </w:rPr>
              <w:t>Adage Capital Partners, L.P.</w:t>
            </w:r>
          </w:p>
        </w:tc>
        <w:tc>
          <w:tcPr>
            <w:tcW w:w="3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31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gridSpan w:val="2"/>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2</w:t>
            </w:r>
          </w:p>
        </w:tc>
        <w:tc>
          <w:tcPr>
            <w:tcW w:w="6640" w:type="dxa"/>
            <w:vAlign w:val="bottom"/>
            <w:gridSpan w:val="2"/>
          </w:tcPr>
          <w:p>
            <w:pPr>
              <w:ind w:left="46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9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40" w:type="dxa"/>
            <w:vAlign w:val="bottom"/>
          </w:tcPr>
          <w:p>
            <w:pPr>
              <w:ind w:left="19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920" w:hanging="1079"/>
        <w:spacing w:after="0" w:line="189"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w w:val="93"/>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WC</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Delaware</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350,062</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1.85%</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PN</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1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CUSIP No. </w:t>
            </w:r>
            <w:r>
              <w:rPr>
                <w:rFonts w:ascii="Arial" w:cs="Arial" w:eastAsia="Arial" w:hAnsi="Arial"/>
                <w:sz w:val="21"/>
                <w:szCs w:val="21"/>
                <w:b w:val="1"/>
                <w:bCs w:val="1"/>
                <w:color w:val="auto"/>
              </w:rPr>
              <w:t>254604101</w:t>
            </w:r>
          </w:p>
        </w:tc>
        <w:tc>
          <w:tcPr>
            <w:tcW w:w="2920" w:type="dxa"/>
            <w:vAlign w:val="bottom"/>
          </w:tcPr>
          <w:p>
            <w:pPr>
              <w:ind w:left="200"/>
              <w:spacing w:after="0"/>
              <w:rPr>
                <w:sz w:val="20"/>
                <w:szCs w:val="20"/>
                <w:color w:val="auto"/>
              </w:rPr>
            </w:pPr>
            <w:r>
              <w:rPr>
                <w:rFonts w:ascii="Arial" w:cs="Arial" w:eastAsia="Arial" w:hAnsi="Arial"/>
                <w:sz w:val="18"/>
                <w:szCs w:val="18"/>
                <w:b w:val="1"/>
                <w:bCs w:val="1"/>
                <w:color w:val="auto"/>
              </w:rPr>
              <w:t>13D/A</w:t>
            </w:r>
          </w:p>
        </w:tc>
        <w:tc>
          <w:tcPr>
            <w:tcW w:w="3140" w:type="dxa"/>
            <w:vAlign w:val="bottom"/>
          </w:tcPr>
          <w:p>
            <w:pPr>
              <w:ind w:left="1680"/>
              <w:spacing w:after="0"/>
              <w:rPr>
                <w:sz w:val="20"/>
                <w:szCs w:val="20"/>
                <w:color w:val="auto"/>
              </w:rPr>
            </w:pPr>
            <w:r>
              <w:rPr>
                <w:rFonts w:ascii="Arial" w:cs="Arial" w:eastAsia="Arial" w:hAnsi="Arial"/>
                <w:sz w:val="20"/>
                <w:szCs w:val="20"/>
                <w:b w:val="1"/>
                <w:bCs w:val="1"/>
                <w:color w:val="auto"/>
                <w:w w:val="84"/>
              </w:rPr>
              <w:t>Page 3 of 8 Pages</w:t>
            </w:r>
          </w:p>
        </w:tc>
        <w:tc>
          <w:tcPr>
            <w:tcW w:w="0" w:type="dxa"/>
            <w:vAlign w:val="bottom"/>
          </w:tcPr>
          <w:p>
            <w:pPr>
              <w:spacing w:after="0"/>
              <w:rPr>
                <w:sz w:val="1"/>
                <w:szCs w:val="1"/>
                <w:color w:val="auto"/>
              </w:rPr>
            </w:pPr>
          </w:p>
        </w:tc>
      </w:tr>
      <w:tr>
        <w:trPr>
          <w:trHeight w:val="543"/>
        </w:trPr>
        <w:tc>
          <w:tcPr>
            <w:tcW w:w="1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1</w:t>
            </w:r>
          </w:p>
        </w:tc>
        <w:tc>
          <w:tcPr>
            <w:tcW w:w="3720" w:type="dxa"/>
            <w:vAlign w:val="bottom"/>
          </w:tcPr>
          <w:p>
            <w:pPr>
              <w:ind w:left="460"/>
              <w:spacing w:after="0"/>
              <w:rPr>
                <w:sz w:val="20"/>
                <w:szCs w:val="20"/>
                <w:color w:val="auto"/>
              </w:rPr>
            </w:pPr>
            <w:r>
              <w:rPr>
                <w:rFonts w:ascii="Arial" w:cs="Arial" w:eastAsia="Arial" w:hAnsi="Arial"/>
                <w:sz w:val="16"/>
                <w:szCs w:val="16"/>
                <w:color w:val="auto"/>
              </w:rPr>
              <w:t>NAME OF REPORTING PERSON</w:t>
            </w:r>
          </w:p>
        </w:tc>
        <w:tc>
          <w:tcPr>
            <w:tcW w:w="2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60" w:type="dxa"/>
            <w:vAlign w:val="bottom"/>
            <w:vMerge w:val="continue"/>
          </w:tcPr>
          <w:p>
            <w:pPr>
              <w:spacing w:after="0"/>
              <w:rPr>
                <w:sz w:val="14"/>
                <w:szCs w:val="14"/>
                <w:color w:val="auto"/>
              </w:rPr>
            </w:pPr>
          </w:p>
        </w:tc>
        <w:tc>
          <w:tcPr>
            <w:tcW w:w="3720" w:type="dxa"/>
            <w:vAlign w:val="bottom"/>
            <w:vMerge w:val="restart"/>
          </w:tcPr>
          <w:p>
            <w:pPr>
              <w:ind w:left="780"/>
              <w:spacing w:after="0"/>
              <w:rPr>
                <w:sz w:val="20"/>
                <w:szCs w:val="20"/>
                <w:color w:val="auto"/>
              </w:rPr>
            </w:pPr>
            <w:r>
              <w:rPr>
                <w:rFonts w:ascii="Arial" w:cs="Arial" w:eastAsia="Arial" w:hAnsi="Arial"/>
                <w:sz w:val="20"/>
                <w:szCs w:val="20"/>
                <w:color w:val="auto"/>
                <w:w w:val="95"/>
              </w:rPr>
              <w:t>Adage Capital Partners GP, L.L.C.</w:t>
            </w:r>
          </w:p>
        </w:tc>
        <w:tc>
          <w:tcPr>
            <w:tcW w:w="2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29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gridSpan w:val="2"/>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2</w:t>
            </w:r>
          </w:p>
        </w:tc>
        <w:tc>
          <w:tcPr>
            <w:tcW w:w="6640" w:type="dxa"/>
            <w:vAlign w:val="bottom"/>
            <w:gridSpan w:val="2"/>
          </w:tcPr>
          <w:p>
            <w:pPr>
              <w:ind w:left="46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9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37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40" w:type="dxa"/>
            <w:vAlign w:val="bottom"/>
          </w:tcPr>
          <w:p>
            <w:pPr>
              <w:ind w:left="19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920" w:hanging="1079"/>
        <w:spacing w:after="0" w:line="189" w:lineRule="auto"/>
        <w:tabs>
          <w:tab w:leader="none" w:pos="192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w w:val="93"/>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AF</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Delaware</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350,062</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1.85%</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OO</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CUSIP No. </w:t>
            </w:r>
            <w:r>
              <w:rPr>
                <w:rFonts w:ascii="Arial" w:cs="Arial" w:eastAsia="Arial" w:hAnsi="Arial"/>
                <w:sz w:val="21"/>
                <w:szCs w:val="21"/>
                <w:b w:val="1"/>
                <w:bCs w:val="1"/>
                <w:color w:val="auto"/>
              </w:rPr>
              <w:t>254604101</w:t>
            </w:r>
          </w:p>
        </w:tc>
        <w:tc>
          <w:tcPr>
            <w:tcW w:w="3020" w:type="dxa"/>
            <w:vAlign w:val="bottom"/>
          </w:tcPr>
          <w:p>
            <w:pPr>
              <w:ind w:left="300"/>
              <w:spacing w:after="0"/>
              <w:rPr>
                <w:sz w:val="20"/>
                <w:szCs w:val="20"/>
                <w:color w:val="auto"/>
              </w:rPr>
            </w:pPr>
            <w:r>
              <w:rPr>
                <w:rFonts w:ascii="Arial" w:cs="Arial" w:eastAsia="Arial" w:hAnsi="Arial"/>
                <w:sz w:val="18"/>
                <w:szCs w:val="18"/>
                <w:b w:val="1"/>
                <w:bCs w:val="1"/>
                <w:color w:val="auto"/>
              </w:rPr>
              <w:t>13D/A</w:t>
            </w:r>
          </w:p>
        </w:tc>
        <w:tc>
          <w:tcPr>
            <w:tcW w:w="3140" w:type="dxa"/>
            <w:vAlign w:val="bottom"/>
          </w:tcPr>
          <w:p>
            <w:pPr>
              <w:ind w:left="1680"/>
              <w:spacing w:after="0"/>
              <w:rPr>
                <w:sz w:val="20"/>
                <w:szCs w:val="20"/>
                <w:color w:val="auto"/>
              </w:rPr>
            </w:pPr>
            <w:r>
              <w:rPr>
                <w:rFonts w:ascii="Arial" w:cs="Arial" w:eastAsia="Arial" w:hAnsi="Arial"/>
                <w:sz w:val="20"/>
                <w:szCs w:val="20"/>
                <w:b w:val="1"/>
                <w:bCs w:val="1"/>
                <w:color w:val="auto"/>
                <w:w w:val="84"/>
              </w:rPr>
              <w:t>Page 4 of 8 Pages</w:t>
            </w:r>
          </w:p>
        </w:tc>
        <w:tc>
          <w:tcPr>
            <w:tcW w:w="0" w:type="dxa"/>
            <w:vAlign w:val="bottom"/>
          </w:tcPr>
          <w:p>
            <w:pPr>
              <w:spacing w:after="0"/>
              <w:rPr>
                <w:sz w:val="1"/>
                <w:szCs w:val="1"/>
                <w:color w:val="auto"/>
              </w:rPr>
            </w:pPr>
          </w:p>
        </w:tc>
      </w:tr>
      <w:tr>
        <w:trPr>
          <w:trHeight w:val="543"/>
        </w:trPr>
        <w:tc>
          <w:tcPr>
            <w:tcW w:w="14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1</w:t>
            </w:r>
          </w:p>
        </w:tc>
        <w:tc>
          <w:tcPr>
            <w:tcW w:w="3620" w:type="dxa"/>
            <w:vAlign w:val="bottom"/>
          </w:tcPr>
          <w:p>
            <w:pPr>
              <w:ind w:left="460"/>
              <w:spacing w:after="0"/>
              <w:rPr>
                <w:sz w:val="20"/>
                <w:szCs w:val="20"/>
                <w:color w:val="auto"/>
              </w:rPr>
            </w:pPr>
            <w:r>
              <w:rPr>
                <w:rFonts w:ascii="Arial" w:cs="Arial" w:eastAsia="Arial" w:hAnsi="Arial"/>
                <w:sz w:val="16"/>
                <w:szCs w:val="16"/>
                <w:color w:val="auto"/>
              </w:rPr>
              <w:t>NAME OF REPORTING PERSON</w:t>
            </w:r>
          </w:p>
        </w:tc>
        <w:tc>
          <w:tcPr>
            <w:tcW w:w="30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60" w:type="dxa"/>
            <w:vAlign w:val="bottom"/>
            <w:vMerge w:val="continue"/>
          </w:tcPr>
          <w:p>
            <w:pPr>
              <w:spacing w:after="0"/>
              <w:rPr>
                <w:sz w:val="14"/>
                <w:szCs w:val="14"/>
                <w:color w:val="auto"/>
              </w:rPr>
            </w:pPr>
          </w:p>
        </w:tc>
        <w:tc>
          <w:tcPr>
            <w:tcW w:w="3620" w:type="dxa"/>
            <w:vAlign w:val="bottom"/>
            <w:vMerge w:val="restart"/>
          </w:tcPr>
          <w:p>
            <w:pPr>
              <w:ind w:left="780"/>
              <w:spacing w:after="0"/>
              <w:rPr>
                <w:sz w:val="20"/>
                <w:szCs w:val="20"/>
                <w:color w:val="auto"/>
              </w:rPr>
            </w:pPr>
            <w:r>
              <w:rPr>
                <w:rFonts w:ascii="Arial" w:cs="Arial" w:eastAsia="Arial" w:hAnsi="Arial"/>
                <w:sz w:val="20"/>
                <w:szCs w:val="20"/>
                <w:color w:val="auto"/>
              </w:rPr>
              <w:t>Adage Capital Advisors, L.L.C.</w:t>
            </w:r>
          </w:p>
        </w:tc>
        <w:tc>
          <w:tcPr>
            <w:tcW w:w="3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620" w:type="dxa"/>
            <w:vAlign w:val="bottom"/>
            <w:vMerge w:val="continue"/>
          </w:tcPr>
          <w:p>
            <w:pPr>
              <w:spacing w:after="0"/>
              <w:rPr>
                <w:sz w:val="6"/>
                <w:szCs w:val="6"/>
                <w:color w:val="auto"/>
              </w:rPr>
            </w:pPr>
          </w:p>
        </w:tc>
        <w:tc>
          <w:tcPr>
            <w:tcW w:w="30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gridSpan w:val="2"/>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2</w:t>
            </w:r>
          </w:p>
        </w:tc>
        <w:tc>
          <w:tcPr>
            <w:tcW w:w="6640" w:type="dxa"/>
            <w:vAlign w:val="bottom"/>
            <w:gridSpan w:val="2"/>
          </w:tcPr>
          <w:p>
            <w:pPr>
              <w:ind w:left="46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9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40" w:type="dxa"/>
            <w:vAlign w:val="bottom"/>
          </w:tcPr>
          <w:p>
            <w:pPr>
              <w:ind w:left="19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920" w:hanging="1079"/>
        <w:spacing w:after="0" w:line="189" w:lineRule="auto"/>
        <w:tabs>
          <w:tab w:leader="none" w:pos="1920" w:val="left"/>
        </w:tabs>
        <w:numPr>
          <w:ilvl w:val="0"/>
          <w:numId w:val="4"/>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w w:val="93"/>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AF</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Delaware</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350,062</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1.85%</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OO</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CUSIP No. </w:t>
            </w:r>
            <w:r>
              <w:rPr>
                <w:rFonts w:ascii="Arial" w:cs="Arial" w:eastAsia="Arial" w:hAnsi="Arial"/>
                <w:sz w:val="21"/>
                <w:szCs w:val="21"/>
                <w:b w:val="1"/>
                <w:bCs w:val="1"/>
                <w:color w:val="auto"/>
              </w:rPr>
              <w:t>254604101</w:t>
            </w:r>
          </w:p>
        </w:tc>
        <w:tc>
          <w:tcPr>
            <w:tcW w:w="3280" w:type="dxa"/>
            <w:vAlign w:val="bottom"/>
          </w:tcPr>
          <w:p>
            <w:pPr>
              <w:ind w:left="560"/>
              <w:spacing w:after="0"/>
              <w:rPr>
                <w:sz w:val="20"/>
                <w:szCs w:val="20"/>
                <w:color w:val="auto"/>
              </w:rPr>
            </w:pPr>
            <w:r>
              <w:rPr>
                <w:rFonts w:ascii="Arial" w:cs="Arial" w:eastAsia="Arial" w:hAnsi="Arial"/>
                <w:sz w:val="18"/>
                <w:szCs w:val="18"/>
                <w:b w:val="1"/>
                <w:bCs w:val="1"/>
                <w:color w:val="auto"/>
              </w:rPr>
              <w:t>13D/A</w:t>
            </w:r>
          </w:p>
        </w:tc>
        <w:tc>
          <w:tcPr>
            <w:tcW w:w="3140" w:type="dxa"/>
            <w:vAlign w:val="bottom"/>
          </w:tcPr>
          <w:p>
            <w:pPr>
              <w:ind w:left="1680"/>
              <w:spacing w:after="0"/>
              <w:rPr>
                <w:sz w:val="20"/>
                <w:szCs w:val="20"/>
                <w:color w:val="auto"/>
              </w:rPr>
            </w:pPr>
            <w:r>
              <w:rPr>
                <w:rFonts w:ascii="Arial" w:cs="Arial" w:eastAsia="Arial" w:hAnsi="Arial"/>
                <w:sz w:val="20"/>
                <w:szCs w:val="20"/>
                <w:b w:val="1"/>
                <w:bCs w:val="1"/>
                <w:color w:val="auto"/>
                <w:w w:val="84"/>
              </w:rPr>
              <w:t>Page 5 of 8 Pages</w:t>
            </w:r>
          </w:p>
        </w:tc>
        <w:tc>
          <w:tcPr>
            <w:tcW w:w="0" w:type="dxa"/>
            <w:vAlign w:val="bottom"/>
          </w:tcPr>
          <w:p>
            <w:pPr>
              <w:spacing w:after="0"/>
              <w:rPr>
                <w:sz w:val="1"/>
                <w:szCs w:val="1"/>
                <w:color w:val="auto"/>
              </w:rPr>
            </w:pPr>
          </w:p>
        </w:tc>
      </w:tr>
      <w:tr>
        <w:trPr>
          <w:trHeight w:val="543"/>
        </w:trPr>
        <w:tc>
          <w:tcPr>
            <w:tcW w:w="1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1</w:t>
            </w:r>
          </w:p>
        </w:tc>
        <w:tc>
          <w:tcPr>
            <w:tcW w:w="3360" w:type="dxa"/>
            <w:vAlign w:val="bottom"/>
          </w:tcPr>
          <w:p>
            <w:pPr>
              <w:ind w:left="460"/>
              <w:spacing w:after="0"/>
              <w:rPr>
                <w:sz w:val="20"/>
                <w:szCs w:val="20"/>
                <w:color w:val="auto"/>
              </w:rPr>
            </w:pPr>
            <w:r>
              <w:rPr>
                <w:rFonts w:ascii="Arial" w:cs="Arial" w:eastAsia="Arial" w:hAnsi="Arial"/>
                <w:sz w:val="16"/>
                <w:szCs w:val="16"/>
                <w:color w:val="auto"/>
              </w:rPr>
              <w:t>NAME OF REPORTING PERSON</w:t>
            </w:r>
          </w:p>
        </w:tc>
        <w:tc>
          <w:tcPr>
            <w:tcW w:w="3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60" w:type="dxa"/>
            <w:vAlign w:val="bottom"/>
            <w:vMerge w:val="continue"/>
          </w:tcPr>
          <w:p>
            <w:pPr>
              <w:spacing w:after="0"/>
              <w:rPr>
                <w:sz w:val="14"/>
                <w:szCs w:val="14"/>
                <w:color w:val="auto"/>
              </w:rPr>
            </w:pPr>
          </w:p>
        </w:tc>
        <w:tc>
          <w:tcPr>
            <w:tcW w:w="3360" w:type="dxa"/>
            <w:vAlign w:val="bottom"/>
            <w:vMerge w:val="restart"/>
          </w:tcPr>
          <w:p>
            <w:pPr>
              <w:ind w:left="780"/>
              <w:spacing w:after="0"/>
              <w:rPr>
                <w:sz w:val="20"/>
                <w:szCs w:val="20"/>
                <w:color w:val="auto"/>
              </w:rPr>
            </w:pPr>
            <w:r>
              <w:rPr>
                <w:rFonts w:ascii="Arial" w:cs="Arial" w:eastAsia="Arial" w:hAnsi="Arial"/>
                <w:sz w:val="20"/>
                <w:szCs w:val="20"/>
                <w:color w:val="auto"/>
              </w:rPr>
              <w:t>Robert Atchinson</w:t>
            </w:r>
          </w:p>
        </w:tc>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gridSpan w:val="2"/>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2</w:t>
            </w:r>
          </w:p>
        </w:tc>
        <w:tc>
          <w:tcPr>
            <w:tcW w:w="6640" w:type="dxa"/>
            <w:vAlign w:val="bottom"/>
            <w:gridSpan w:val="2"/>
          </w:tcPr>
          <w:p>
            <w:pPr>
              <w:ind w:left="46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9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33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40" w:type="dxa"/>
            <w:vAlign w:val="bottom"/>
          </w:tcPr>
          <w:p>
            <w:pPr>
              <w:ind w:left="19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920" w:hanging="1079"/>
        <w:spacing w:after="0" w:line="189" w:lineRule="auto"/>
        <w:tabs>
          <w:tab w:leader="none" w:pos="192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w w:val="93"/>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AF</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w w:val="93"/>
              </w:rPr>
              <w:t>United States</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350,062</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1.85%</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IN</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CUSIP No. </w:t>
            </w:r>
            <w:r>
              <w:rPr>
                <w:rFonts w:ascii="Arial" w:cs="Arial" w:eastAsia="Arial" w:hAnsi="Arial"/>
                <w:sz w:val="21"/>
                <w:szCs w:val="21"/>
                <w:b w:val="1"/>
                <w:bCs w:val="1"/>
                <w:color w:val="auto"/>
              </w:rPr>
              <w:t>254604101</w:t>
            </w:r>
          </w:p>
        </w:tc>
        <w:tc>
          <w:tcPr>
            <w:tcW w:w="3280" w:type="dxa"/>
            <w:vAlign w:val="bottom"/>
          </w:tcPr>
          <w:p>
            <w:pPr>
              <w:ind w:left="560"/>
              <w:spacing w:after="0"/>
              <w:rPr>
                <w:sz w:val="20"/>
                <w:szCs w:val="20"/>
                <w:color w:val="auto"/>
              </w:rPr>
            </w:pPr>
            <w:r>
              <w:rPr>
                <w:rFonts w:ascii="Arial" w:cs="Arial" w:eastAsia="Arial" w:hAnsi="Arial"/>
                <w:sz w:val="18"/>
                <w:szCs w:val="18"/>
                <w:b w:val="1"/>
                <w:bCs w:val="1"/>
                <w:color w:val="auto"/>
              </w:rPr>
              <w:t>13D/A</w:t>
            </w:r>
          </w:p>
        </w:tc>
        <w:tc>
          <w:tcPr>
            <w:tcW w:w="3140" w:type="dxa"/>
            <w:vAlign w:val="bottom"/>
          </w:tcPr>
          <w:p>
            <w:pPr>
              <w:ind w:left="1680"/>
              <w:spacing w:after="0"/>
              <w:rPr>
                <w:sz w:val="20"/>
                <w:szCs w:val="20"/>
                <w:color w:val="auto"/>
              </w:rPr>
            </w:pPr>
            <w:r>
              <w:rPr>
                <w:rFonts w:ascii="Arial" w:cs="Arial" w:eastAsia="Arial" w:hAnsi="Arial"/>
                <w:sz w:val="20"/>
                <w:szCs w:val="20"/>
                <w:b w:val="1"/>
                <w:bCs w:val="1"/>
                <w:color w:val="auto"/>
                <w:w w:val="84"/>
              </w:rPr>
              <w:t>Page 6 of 8 Pages</w:t>
            </w:r>
          </w:p>
        </w:tc>
        <w:tc>
          <w:tcPr>
            <w:tcW w:w="0" w:type="dxa"/>
            <w:vAlign w:val="bottom"/>
          </w:tcPr>
          <w:p>
            <w:pPr>
              <w:spacing w:after="0"/>
              <w:rPr>
                <w:sz w:val="1"/>
                <w:szCs w:val="1"/>
                <w:color w:val="auto"/>
              </w:rPr>
            </w:pPr>
          </w:p>
        </w:tc>
      </w:tr>
      <w:tr>
        <w:trPr>
          <w:trHeight w:val="341"/>
        </w:trPr>
        <w:tc>
          <w:tcPr>
            <w:tcW w:w="1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1</w:t>
            </w:r>
          </w:p>
        </w:tc>
        <w:tc>
          <w:tcPr>
            <w:tcW w:w="3360" w:type="dxa"/>
            <w:vAlign w:val="bottom"/>
          </w:tcPr>
          <w:p>
            <w:pPr>
              <w:ind w:left="460"/>
              <w:spacing w:after="0"/>
              <w:rPr>
                <w:sz w:val="20"/>
                <w:szCs w:val="20"/>
                <w:color w:val="auto"/>
              </w:rPr>
            </w:pPr>
            <w:r>
              <w:rPr>
                <w:rFonts w:ascii="Arial" w:cs="Arial" w:eastAsia="Arial" w:hAnsi="Arial"/>
                <w:sz w:val="16"/>
                <w:szCs w:val="16"/>
                <w:color w:val="auto"/>
              </w:rPr>
              <w:t>NAME OF REPORTING PERSON</w:t>
            </w:r>
          </w:p>
        </w:tc>
        <w:tc>
          <w:tcPr>
            <w:tcW w:w="3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60" w:type="dxa"/>
            <w:vAlign w:val="bottom"/>
            <w:vMerge w:val="continue"/>
          </w:tcPr>
          <w:p>
            <w:pPr>
              <w:spacing w:after="0"/>
              <w:rPr>
                <w:sz w:val="14"/>
                <w:szCs w:val="14"/>
                <w:color w:val="auto"/>
              </w:rPr>
            </w:pPr>
          </w:p>
        </w:tc>
        <w:tc>
          <w:tcPr>
            <w:tcW w:w="3360" w:type="dxa"/>
            <w:vAlign w:val="bottom"/>
            <w:vMerge w:val="restart"/>
          </w:tcPr>
          <w:p>
            <w:pPr>
              <w:ind w:left="780"/>
              <w:spacing w:after="0"/>
              <w:rPr>
                <w:sz w:val="20"/>
                <w:szCs w:val="20"/>
                <w:color w:val="auto"/>
              </w:rPr>
            </w:pPr>
            <w:r>
              <w:rPr>
                <w:rFonts w:ascii="Arial" w:cs="Arial" w:eastAsia="Arial" w:hAnsi="Arial"/>
                <w:sz w:val="20"/>
                <w:szCs w:val="20"/>
                <w:color w:val="auto"/>
              </w:rPr>
              <w:t>Phillip Gross</w:t>
            </w:r>
          </w:p>
        </w:tc>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gridSpan w:val="2"/>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51"/>
              <w:spacing w:after="0"/>
              <w:rPr>
                <w:sz w:val="20"/>
                <w:szCs w:val="20"/>
                <w:color w:val="auto"/>
              </w:rPr>
            </w:pPr>
            <w:r>
              <w:rPr>
                <w:rFonts w:ascii="Arial" w:cs="Arial" w:eastAsia="Arial" w:hAnsi="Arial"/>
                <w:sz w:val="29"/>
                <w:szCs w:val="29"/>
                <w:b w:val="1"/>
                <w:bCs w:val="1"/>
                <w:color w:val="auto"/>
              </w:rPr>
              <w:t>2</w:t>
            </w:r>
          </w:p>
        </w:tc>
        <w:tc>
          <w:tcPr>
            <w:tcW w:w="6640" w:type="dxa"/>
            <w:vAlign w:val="bottom"/>
            <w:gridSpan w:val="2"/>
          </w:tcPr>
          <w:p>
            <w:pPr>
              <w:ind w:left="46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90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33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40" w:type="dxa"/>
            <w:vAlign w:val="bottom"/>
          </w:tcPr>
          <w:p>
            <w:pPr>
              <w:ind w:left="190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920" w:hanging="1079"/>
        <w:spacing w:after="0" w:line="189" w:lineRule="auto"/>
        <w:tabs>
          <w:tab w:leader="none" w:pos="1920" w:val="left"/>
        </w:tabs>
        <w:numPr>
          <w:ilvl w:val="0"/>
          <w:numId w:val="6"/>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w w:val="93"/>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AF</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w w:val="93"/>
              </w:rPr>
              <w:t>United States</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ind w:left="340"/>
              <w:spacing w:after="0"/>
              <w:rPr>
                <w:sz w:val="20"/>
                <w:szCs w:val="20"/>
                <w:color w:val="auto"/>
              </w:rPr>
            </w:pPr>
            <w:r>
              <w:rPr>
                <w:rFonts w:ascii="Arial" w:cs="Arial" w:eastAsia="Arial" w:hAnsi="Arial"/>
                <w:sz w:val="20"/>
                <w:szCs w:val="20"/>
                <w:color w:val="auto"/>
              </w:rPr>
              <w:t>350,062</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350,062</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1.85%</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IN</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 w:name="page7"/>
    <w:bookmarkEnd w:id="6"/>
    <w:p>
      <w:pPr>
        <w:spacing w:after="0"/>
        <w:tabs>
          <w:tab w:leader="none" w:pos="5360" w:val="left"/>
          <w:tab w:leader="none" w:pos="9760" w:val="left"/>
        </w:tabs>
        <w:rPr>
          <w:sz w:val="20"/>
          <w:szCs w:val="20"/>
          <w:color w:val="auto"/>
        </w:rPr>
      </w:pPr>
      <w:r>
        <w:rPr>
          <w:rFonts w:ascii="Arial" w:cs="Arial" w:eastAsia="Arial" w:hAnsi="Arial"/>
          <w:sz w:val="20"/>
          <w:szCs w:val="20"/>
          <w:b w:val="1"/>
          <w:bCs w:val="1"/>
          <w:color w:val="auto"/>
        </w:rPr>
        <w:t xml:space="preserve">CUSIP No. </w:t>
      </w:r>
      <w:r>
        <w:rPr>
          <w:rFonts w:ascii="Arial" w:cs="Arial" w:eastAsia="Arial" w:hAnsi="Arial"/>
          <w:sz w:val="21"/>
          <w:szCs w:val="21"/>
          <w:b w:val="1"/>
          <w:bCs w:val="1"/>
          <w:color w:val="auto"/>
        </w:rPr>
        <w:t>254604101</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6"/>
          <w:szCs w:val="16"/>
          <w:b w:val="1"/>
          <w:bCs w:val="1"/>
          <w:color w:val="auto"/>
        </w:rPr>
        <w:t>Page 7 of 8 Pages</w:t>
      </w:r>
    </w:p>
    <w:p>
      <w:pPr>
        <w:spacing w:after="0" w:line="31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This Amendment No. 2 ("</w:t>
      </w:r>
      <w:r>
        <w:rPr>
          <w:rFonts w:ascii="Arial" w:cs="Arial" w:eastAsia="Arial" w:hAnsi="Arial"/>
          <w:sz w:val="19"/>
          <w:szCs w:val="19"/>
          <w:u w:val="single" w:color="auto"/>
          <w:color w:val="auto"/>
        </w:rPr>
        <w:t>Amendment No. 2</w:t>
      </w:r>
      <w:r>
        <w:rPr>
          <w:rFonts w:ascii="Arial" w:cs="Arial" w:eastAsia="Arial" w:hAnsi="Arial"/>
          <w:sz w:val="19"/>
          <w:szCs w:val="19"/>
          <w:color w:val="auto"/>
        </w:rPr>
        <w:t>") amends and supplements the statement on Schedule 13D filed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on October 11, 2022 (the "</w:t>
      </w:r>
      <w:r>
        <w:rPr>
          <w:rFonts w:ascii="Arial" w:cs="Arial" w:eastAsia="Arial" w:hAnsi="Arial"/>
          <w:sz w:val="19"/>
          <w:szCs w:val="19"/>
          <w:u w:val="single" w:color="auto"/>
          <w:color w:val="auto"/>
        </w:rPr>
        <w:t>Original Schedule 13D</w:t>
      </w:r>
      <w:r>
        <w:rPr>
          <w:rFonts w:ascii="Arial" w:cs="Arial" w:eastAsia="Arial" w:hAnsi="Arial"/>
          <w:sz w:val="19"/>
          <w:szCs w:val="19"/>
          <w:color w:val="auto"/>
        </w:rPr>
        <w:t>"), as amended by Amendment No. 1 filed with the SEC on October 27, 2022 (“</w:t>
      </w:r>
      <w:r>
        <w:rPr>
          <w:rFonts w:ascii="Arial" w:cs="Arial" w:eastAsia="Arial" w:hAnsi="Arial"/>
          <w:sz w:val="19"/>
          <w:szCs w:val="19"/>
          <w:u w:val="single" w:color="auto"/>
          <w:color w:val="auto"/>
        </w:rPr>
        <w:t>Amendment No. 1</w:t>
      </w:r>
      <w:r>
        <w:rPr>
          <w:rFonts w:ascii="Arial" w:cs="Arial" w:eastAsia="Arial" w:hAnsi="Arial"/>
          <w:sz w:val="19"/>
          <w:szCs w:val="19"/>
          <w:color w:val="auto"/>
        </w:rPr>
        <w:t>” and together with the Original Schedule 13D and this Amendment No. 2, the "</w:t>
      </w:r>
      <w:r>
        <w:rPr>
          <w:rFonts w:ascii="Arial" w:cs="Arial" w:eastAsia="Arial" w:hAnsi="Arial"/>
          <w:sz w:val="19"/>
          <w:szCs w:val="19"/>
          <w:u w:val="single" w:color="auto"/>
          <w:color w:val="auto"/>
        </w:rPr>
        <w:t>Schedule 13D</w:t>
      </w:r>
      <w:r>
        <w:rPr>
          <w:rFonts w:ascii="Arial" w:cs="Arial" w:eastAsia="Arial" w:hAnsi="Arial"/>
          <w:sz w:val="19"/>
          <w:szCs w:val="19"/>
          <w:color w:val="auto"/>
        </w:rPr>
        <w:t>"). This Amendment No. 2 amends Items 1 and 5 as set forth below. This Amendment No. 2 is the final amendment to the Schedule 13D and constitutes an "exit filing" for the Reporting Persons.</w:t>
      </w:r>
    </w:p>
    <w:p>
      <w:pPr>
        <w:spacing w:after="0" w:line="128"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SECURITY AND ISSUER</w:t>
      </w:r>
    </w:p>
    <w:p>
      <w:pPr>
        <w:spacing w:after="0" w:line="1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Item 1 of the Schedule 13D is hereby amended and restated as follows:</w:t>
      </w:r>
    </w:p>
    <w:p>
      <w:pPr>
        <w:spacing w:after="0" w:line="215" w:lineRule="exact"/>
        <w:rPr>
          <w:sz w:val="20"/>
          <w:szCs w:val="20"/>
          <w:color w:val="auto"/>
        </w:rPr>
      </w:pPr>
    </w:p>
    <w:p>
      <w:pPr>
        <w:ind w:left="1360" w:right="240"/>
        <w:spacing w:after="0" w:line="238" w:lineRule="auto"/>
        <w:rPr>
          <w:sz w:val="20"/>
          <w:szCs w:val="20"/>
          <w:color w:val="auto"/>
        </w:rPr>
      </w:pPr>
      <w:r>
        <w:rPr>
          <w:rFonts w:ascii="Arial" w:cs="Arial" w:eastAsia="Arial" w:hAnsi="Arial"/>
          <w:sz w:val="22"/>
          <w:szCs w:val="22"/>
          <w:color w:val="auto"/>
        </w:rPr>
        <w:t>This statement on Schedule 13D (the "</w:t>
      </w:r>
      <w:r>
        <w:rPr>
          <w:rFonts w:ascii="Arial" w:cs="Arial" w:eastAsia="Arial" w:hAnsi="Arial"/>
          <w:sz w:val="22"/>
          <w:szCs w:val="22"/>
          <w:u w:val="single" w:color="auto"/>
          <w:color w:val="auto"/>
        </w:rPr>
        <w:t>Schedule 13D</w:t>
      </w:r>
      <w:r>
        <w:rPr>
          <w:rFonts w:ascii="Arial" w:cs="Arial" w:eastAsia="Arial" w:hAnsi="Arial"/>
          <w:sz w:val="22"/>
          <w:szCs w:val="22"/>
          <w:color w:val="auto"/>
        </w:rPr>
        <w:t>") relates to the Common Stock, $0.0001 par value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Disc Medicine, Inc. (f/k/a Gemini Therapeutics, Inc.), a Delaware corporation (the "</w:t>
      </w:r>
      <w:r>
        <w:rPr>
          <w:rFonts w:ascii="Arial" w:cs="Arial" w:eastAsia="Arial" w:hAnsi="Arial"/>
          <w:sz w:val="22"/>
          <w:szCs w:val="22"/>
          <w:u w:val="single" w:color="auto"/>
          <w:color w:val="auto"/>
        </w:rPr>
        <w:t>Issuer</w:t>
      </w:r>
      <w:r>
        <w:rPr>
          <w:rFonts w:ascii="Arial" w:cs="Arial" w:eastAsia="Arial" w:hAnsi="Arial"/>
          <w:sz w:val="22"/>
          <w:szCs w:val="22"/>
          <w:color w:val="auto"/>
        </w:rPr>
        <w:t>"). The Issuer's principal executive offices are located at 321 Arsenal Street, Suite 101, Watertown, MA 02472.</w:t>
      </w:r>
    </w:p>
    <w:p>
      <w:pPr>
        <w:spacing w:after="0" w:line="165"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INTEREST IN SECURITIES OF THE ISSUER</w:t>
      </w:r>
    </w:p>
    <w:p>
      <w:pPr>
        <w:spacing w:after="0" w:line="1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Item 5 of the Schedule 13D is hereby amended and restated as follows:</w:t>
      </w:r>
    </w:p>
    <w:p>
      <w:pPr>
        <w:spacing w:after="0" w:line="215" w:lineRule="exact"/>
        <w:rPr>
          <w:sz w:val="20"/>
          <w:szCs w:val="20"/>
          <w:color w:val="auto"/>
        </w:rPr>
      </w:pPr>
    </w:p>
    <w:p>
      <w:pPr>
        <w:ind w:left="1360" w:right="140" w:hanging="1249"/>
        <w:spacing w:after="0" w:line="235" w:lineRule="auto"/>
        <w:tabs>
          <w:tab w:leader="none" w:pos="1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See rows (11) and (13) of the cover pages to this Schedule 13D for the aggregate number of shares of Common Stock and percentages of the shares of Common Stock beneficially owned by each of the Reporting Persons. The percentages used in this Schedule 13D are calculated based upon 18,882,850 shares of Common Stock reported to be outstanding in the Company’s Prospectus filed pursuant to Rule 424(b)(5) with the Securities and Exchange Commission on February 14, 2023, after giving effect to the completion of the offering, as described therein.</w:t>
      </w:r>
    </w:p>
    <w:p>
      <w:pPr>
        <w:spacing w:after="0" w:line="214" w:lineRule="exact"/>
        <w:rPr>
          <w:rFonts w:ascii="Arial" w:cs="Arial" w:eastAsia="Arial" w:hAnsi="Arial"/>
          <w:sz w:val="22"/>
          <w:szCs w:val="22"/>
          <w:color w:val="auto"/>
        </w:rPr>
      </w:pPr>
    </w:p>
    <w:p>
      <w:pPr>
        <w:ind w:left="1360" w:right="120" w:hanging="1249"/>
        <w:spacing w:after="0"/>
        <w:tabs>
          <w:tab w:leader="none" w:pos="1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13" w:lineRule="exact"/>
        <w:rPr>
          <w:rFonts w:ascii="Arial" w:cs="Arial" w:eastAsia="Arial" w:hAnsi="Arial"/>
          <w:sz w:val="22"/>
          <w:szCs w:val="22"/>
          <w:color w:val="auto"/>
        </w:rPr>
      </w:pPr>
    </w:p>
    <w:p>
      <w:pPr>
        <w:ind w:left="1360" w:right="340" w:hanging="1249"/>
        <w:spacing w:after="0" w:line="250" w:lineRule="auto"/>
        <w:tabs>
          <w:tab w:leader="none" w:pos="1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Reporting Persons did not enter into any transactions in the shares of Common Stock during the past sixty days.</w:t>
      </w:r>
    </w:p>
    <w:p>
      <w:pPr>
        <w:spacing w:after="0" w:line="201" w:lineRule="exact"/>
        <w:rPr>
          <w:rFonts w:ascii="Arial" w:cs="Arial" w:eastAsia="Arial" w:hAnsi="Arial"/>
          <w:sz w:val="22"/>
          <w:szCs w:val="22"/>
          <w:color w:val="auto"/>
        </w:rPr>
      </w:pPr>
    </w:p>
    <w:p>
      <w:pPr>
        <w:ind w:left="1360" w:right="620" w:hanging="1249"/>
        <w:spacing w:after="0" w:line="274" w:lineRule="auto"/>
        <w:tabs>
          <w:tab w:leader="none" w:pos="1360" w:val="left"/>
        </w:tabs>
        <w:numPr>
          <w:ilvl w:val="0"/>
          <w:numId w:val="7"/>
        </w:numPr>
        <w:rPr>
          <w:rFonts w:ascii="Arial" w:cs="Arial" w:eastAsia="Arial" w:hAnsi="Arial"/>
          <w:sz w:val="21"/>
          <w:szCs w:val="21"/>
          <w:color w:val="auto"/>
        </w:rPr>
      </w:pPr>
      <w:r>
        <w:rPr>
          <w:rFonts w:ascii="Arial" w:cs="Arial" w:eastAsia="Arial" w:hAnsi="Arial"/>
          <w:sz w:val="21"/>
          <w:szCs w:val="21"/>
          <w:color w:val="auto"/>
        </w:rPr>
        <w:t>No person other than the Reporting Persons is known to have the right to receive, or the power to direct the receipt of dividends from, or proceeds from the sale of, such shares of Common Stock.</w:t>
      </w:r>
    </w:p>
    <w:p>
      <w:pPr>
        <w:spacing w:after="0" w:line="177" w:lineRule="exact"/>
        <w:rPr>
          <w:rFonts w:ascii="Arial" w:cs="Arial" w:eastAsia="Arial" w:hAnsi="Arial"/>
          <w:sz w:val="21"/>
          <w:szCs w:val="21"/>
          <w:color w:val="auto"/>
        </w:rPr>
      </w:pPr>
    </w:p>
    <w:p>
      <w:pPr>
        <w:ind w:left="1360" w:hanging="1249"/>
        <w:spacing w:after="0"/>
        <w:tabs>
          <w:tab w:leader="none" w:pos="136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December 29, 2022.</w:t>
      </w:r>
    </w:p>
    <w:p>
      <w:pPr>
        <w:sectPr>
          <w:pgSz w:w="11900" w:h="16838" w:orient="portrait"/>
          <w:cols w:equalWidth="0" w:num="1">
            <w:col w:w="11240"/>
          </w:cols>
          <w:pgMar w:left="320" w:top="220" w:right="339" w:bottom="1440" w:gutter="0" w:footer="0" w:header="0"/>
        </w:sectPr>
      </w:pPr>
    </w:p>
    <w:bookmarkStart w:id="7" w:name="page8"/>
    <w:bookmarkEnd w:id="7"/>
    <w:p>
      <w:pPr>
        <w:spacing w:after="0"/>
        <w:tabs>
          <w:tab w:leader="none" w:pos="5360" w:val="left"/>
          <w:tab w:leader="none" w:pos="9760" w:val="left"/>
        </w:tabs>
        <w:rPr>
          <w:sz w:val="20"/>
          <w:szCs w:val="20"/>
          <w:color w:val="auto"/>
        </w:rPr>
      </w:pPr>
      <w:r>
        <w:rPr>
          <w:rFonts w:ascii="Arial" w:cs="Arial" w:eastAsia="Arial" w:hAnsi="Arial"/>
          <w:sz w:val="20"/>
          <w:szCs w:val="20"/>
          <w:b w:val="1"/>
          <w:bCs w:val="1"/>
          <w:color w:val="auto"/>
        </w:rPr>
        <w:t xml:space="preserve">CUSIP No. </w:t>
      </w:r>
      <w:r>
        <w:rPr>
          <w:rFonts w:ascii="Arial" w:cs="Arial" w:eastAsia="Arial" w:hAnsi="Arial"/>
          <w:sz w:val="21"/>
          <w:szCs w:val="21"/>
          <w:b w:val="1"/>
          <w:bCs w:val="1"/>
          <w:color w:val="auto"/>
        </w:rPr>
        <w:t>254604101</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6"/>
          <w:szCs w:val="16"/>
          <w:b w:val="1"/>
          <w:bCs w:val="1"/>
          <w:color w:val="auto"/>
        </w:rPr>
        <w:t>Page 8 of 8 Pages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each of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16, 2023</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L.P.</w:t>
      </w:r>
    </w:p>
    <w:p>
      <w:pPr>
        <w:spacing w:after="0" w:line="238" w:lineRule="auto"/>
        <w:rPr>
          <w:sz w:val="20"/>
          <w:szCs w:val="20"/>
          <w:color w:val="auto"/>
        </w:rPr>
      </w:pPr>
      <w:r>
        <w:rPr>
          <w:rFonts w:ascii="Arial" w:cs="Arial" w:eastAsia="Arial" w:hAnsi="Arial"/>
          <w:sz w:val="22"/>
          <w:szCs w:val="22"/>
          <w:color w:val="auto"/>
        </w:rPr>
        <w:t>By: Adage Capital Partners GP, L.L.C.,</w:t>
      </w:r>
    </w:p>
    <w:p>
      <w:pPr>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Adage Capital Advisors,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97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GP, L.L.C.</w:t>
      </w:r>
    </w:p>
    <w:p>
      <w:pPr>
        <w:spacing w:after="0" w:line="238" w:lineRule="auto"/>
        <w:rPr>
          <w:sz w:val="20"/>
          <w:szCs w:val="20"/>
          <w:color w:val="auto"/>
        </w:rPr>
      </w:pPr>
      <w:r>
        <w:rPr>
          <w:rFonts w:ascii="Arial" w:cs="Arial" w:eastAsia="Arial" w:hAnsi="Arial"/>
          <w:sz w:val="22"/>
          <w:szCs w:val="22"/>
          <w:color w:val="auto"/>
        </w:rPr>
        <w:t>By: Adage Capital Advisors, L.L.C.,</w:t>
      </w: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97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ADVISORS,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97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97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ROBERT ATCHINSON, individually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97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PHILLIP GROSS, individually</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2023-02-16T15:23:26Z</dcterms:created>
  <dcterms:modified xsi:type="dcterms:W3CDTF">2023-02-16T15:23:26Z</dcterms:modified>
</cp:coreProperties>
</file>