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506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50621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Ashiya Mona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520" w:type="dxa"/>
            <w:vAlign w:val="bottom"/>
            <w:tcBorders>
              <w:top w:val="single" w:sz="8" w:color="0000EE"/>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12/18/2023</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5. Amount of</w:t>
            </w:r>
          </w:p>
        </w:tc>
        <w:tc>
          <w:tcPr>
            <w:tcW w:w="130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400"/>
              <w:spacing w:after="0" w:line="129"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4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12/18/2023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1,724</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w:t>
            </w:r>
          </w:p>
        </w:tc>
        <w:tc>
          <w:tcPr>
            <w:tcW w:w="780" w:type="dxa"/>
            <w:vAlign w:val="bottom"/>
            <w:tcBorders>
              <w:bottom w:val="single" w:sz="8" w:color="2C2C2C"/>
            </w:tcBorders>
            <w:gridSpan w:val="2"/>
          </w:tcPr>
          <w:p>
            <w:pPr>
              <w:jc w:val="center"/>
              <w:ind w:left="240"/>
              <w:spacing w:after="0"/>
              <w:rPr>
                <w:sz w:val="20"/>
                <w:szCs w:val="20"/>
                <w:color w:val="auto"/>
              </w:rPr>
            </w:pPr>
            <w:r>
              <w:rPr>
                <w:rFonts w:ascii="Times New Roman" w:cs="Times New Roman" w:eastAsia="Times New Roman" w:hAnsi="Times New Roman"/>
                <w:sz w:val="17"/>
                <w:szCs w:val="17"/>
                <w:color w:val="0000FF"/>
                <w:w w:val="99"/>
              </w:rPr>
              <w:t>1,724</w:t>
            </w: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71"/>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12/18/2023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1,724</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59.24</w:t>
            </w:r>
          </w:p>
        </w:tc>
        <w:tc>
          <w:tcPr>
            <w:tcW w:w="780" w:type="dxa"/>
            <w:vAlign w:val="bottom"/>
            <w:gridSpan w:val="2"/>
          </w:tcPr>
          <w:p>
            <w:pPr>
              <w:jc w:val="center"/>
              <w:ind w:left="260"/>
              <w:spacing w:after="0"/>
              <w:rPr>
                <w:sz w:val="20"/>
                <w:szCs w:val="20"/>
                <w:color w:val="auto"/>
              </w:rPr>
            </w:pPr>
            <w:r>
              <w:rPr>
                <w:rFonts w:ascii="Times New Roman" w:cs="Times New Roman" w:eastAsia="Times New Roman" w:hAnsi="Times New Roman"/>
                <w:sz w:val="17"/>
                <w:szCs w:val="17"/>
                <w:color w:val="0000FF"/>
                <w:w w:val="93"/>
              </w:rPr>
              <w:t>0</w:t>
            </w:r>
          </w:p>
        </w:tc>
        <w:tc>
          <w:tcPr>
            <w:tcW w:w="740" w:type="dxa"/>
            <w:vAlign w:val="bottom"/>
          </w:tcPr>
          <w:p>
            <w:pPr>
              <w:spacing w:after="0"/>
              <w:rPr>
                <w:sz w:val="22"/>
                <w:szCs w:val="22"/>
                <w:color w:val="auto"/>
              </w:rPr>
            </w:pPr>
          </w:p>
        </w:tc>
        <w:tc>
          <w:tcPr>
            <w:tcW w:w="560" w:type="dxa"/>
            <w:vAlign w:val="bottom"/>
          </w:tcPr>
          <w:p>
            <w:pPr>
              <w:jc w:val="center"/>
              <w:ind w:right="371"/>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20" w:type="dxa"/>
            <w:vAlign w:val="bottom"/>
            <w:gridSpan w:val="3"/>
            <w:vMerge w:val="restart"/>
          </w:tcPr>
          <w:p>
            <w:pPr>
              <w:jc w:val="center"/>
              <w:ind w:right="341"/>
              <w:spacing w:after="0"/>
              <w:rPr>
                <w:sz w:val="20"/>
                <w:szCs w:val="20"/>
                <w:color w:val="auto"/>
              </w:rPr>
            </w:pPr>
            <w:r>
              <w:rPr>
                <w:rFonts w:ascii="Times New Roman" w:cs="Times New Roman" w:eastAsia="Times New Roman" w:hAnsi="Times New Roman"/>
                <w:sz w:val="17"/>
                <w:szCs w:val="17"/>
                <w:color w:val="0000FF"/>
              </w:rPr>
              <w:t>580,207</w:t>
            </w:r>
          </w:p>
        </w:tc>
        <w:tc>
          <w:tcPr>
            <w:tcW w:w="560" w:type="dxa"/>
            <w:vAlign w:val="bottom"/>
            <w:vMerge w:val="restart"/>
          </w:tcPr>
          <w:p>
            <w:pPr>
              <w:jc w:val="center"/>
              <w:ind w:right="39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3"/>
            <w:vMerge w:val="restart"/>
          </w:tcPr>
          <w:p>
            <w:pPr>
              <w:jc w:val="center"/>
              <w:ind w:right="341"/>
              <w:spacing w:after="0"/>
              <w:rPr>
                <w:sz w:val="20"/>
                <w:szCs w:val="20"/>
                <w:color w:val="auto"/>
              </w:rPr>
            </w:pPr>
            <w:r>
              <w:rPr>
                <w:rFonts w:ascii="Times New Roman" w:cs="Times New Roman" w:eastAsia="Times New Roman" w:hAnsi="Times New Roman"/>
                <w:sz w:val="17"/>
                <w:szCs w:val="17"/>
                <w:color w:val="0000FF"/>
              </w:rPr>
              <w:t>897,625</w:t>
            </w:r>
          </w:p>
        </w:tc>
        <w:tc>
          <w:tcPr>
            <w:tcW w:w="560" w:type="dxa"/>
            <w:vAlign w:val="bottom"/>
            <w:tcBorders>
              <w:top w:val="single" w:sz="8" w:color="2C2C2C"/>
            </w:tcBorders>
            <w:vMerge w:val="restart"/>
          </w:tcPr>
          <w:p>
            <w:pPr>
              <w:jc w:val="center"/>
              <w:ind w:right="39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(3)(5)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3"/>
            <w:vMerge w:val="restart"/>
          </w:tcPr>
          <w:p>
            <w:pPr>
              <w:jc w:val="center"/>
              <w:ind w:right="341"/>
              <w:spacing w:after="0"/>
              <w:rPr>
                <w:sz w:val="20"/>
                <w:szCs w:val="20"/>
                <w:color w:val="auto"/>
              </w:rPr>
            </w:pPr>
            <w:r>
              <w:rPr>
                <w:rFonts w:ascii="Times New Roman" w:cs="Times New Roman" w:eastAsia="Times New Roman" w:hAnsi="Times New Roman"/>
                <w:sz w:val="17"/>
                <w:szCs w:val="17"/>
                <w:color w:val="0000FF"/>
              </w:rPr>
              <w:t>224,405</w:t>
            </w:r>
          </w:p>
        </w:tc>
        <w:tc>
          <w:tcPr>
            <w:tcW w:w="560" w:type="dxa"/>
            <w:vAlign w:val="bottom"/>
            <w:tcBorders>
              <w:top w:val="single" w:sz="8" w:color="2C2C2C"/>
            </w:tcBorders>
            <w:vMerge w:val="restart"/>
          </w:tcPr>
          <w:p>
            <w:pPr>
              <w:jc w:val="center"/>
              <w:ind w:right="39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(4)(5)</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40" w:type="dxa"/>
            <w:vAlign w:val="bottom"/>
            <w:gridSpan w:val="8"/>
          </w:tcPr>
          <w:p>
            <w:pPr>
              <w:ind w:left="6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3"/>
              </w:rPr>
              <w:t>Form:</w:t>
            </w:r>
          </w:p>
        </w:tc>
        <w:tc>
          <w:tcPr>
            <w:tcW w:w="32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12/18/2023</w:t>
            </w:r>
          </w:p>
        </w:tc>
        <w:tc>
          <w:tcPr>
            <w:tcW w:w="1100" w:type="dxa"/>
            <w:vAlign w:val="bottom"/>
          </w:tcPr>
          <w:p>
            <w:pPr>
              <w:spacing w:after="0"/>
              <w:rPr>
                <w:sz w:val="16"/>
                <w:szCs w:val="16"/>
                <w:color w:val="auto"/>
              </w:rPr>
            </w:pPr>
          </w:p>
        </w:tc>
        <w:tc>
          <w:tcPr>
            <w:tcW w:w="4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1,724</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10/03/2031</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1,724</w:t>
            </w:r>
          </w:p>
        </w:tc>
        <w:tc>
          <w:tcPr>
            <w:tcW w:w="780" w:type="dxa"/>
            <w:vAlign w:val="bottom"/>
            <w:gridSpan w:val="2"/>
          </w:tcPr>
          <w:p>
            <w:pPr>
              <w:jc w:val="right"/>
              <w:ind w:right="2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0000FF"/>
                <w:w w:val="74"/>
              </w:rPr>
              <w:t>D</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2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exercise of stock options granted to Carl L. Gordon ("Gordon") on October 4, 2021 by Gemini Therapeutics, Inc. ("Gemini"). On December 29, 2022, Gemstone Merger Sub, Inc., a wholly owned subsidiary of Gemini, merged with and into Disc Medicine Opco, Inc. ("Disc"), with Disc continuing as a wholly owned subsidiary of Gemini and the surviving corporation of the merger. In connection with the merger, Disc changed its name to Disc Medicine, Inc. Gordon is a member of OrbiMed Advisors LLC ("OrbiMed Advisors") and was a member of Gemini's board of directors. Pursuant to an agreement with OrbiMed Advisors, Gordon assigned these stock options to OrbiMed Advisors.</w:t>
      </w:r>
    </w:p>
    <w:p>
      <w:pPr>
        <w:spacing w:after="0" w:line="27"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7" w:lineRule="exact"/>
        <w:rPr>
          <w:rFonts w:ascii="Times New Roman" w:cs="Times New Roman" w:eastAsia="Times New Roman" w:hAnsi="Times New Roman"/>
          <w:sz w:val="13"/>
          <w:szCs w:val="13"/>
          <w:color w:val="008000"/>
        </w:rPr>
      </w:pPr>
    </w:p>
    <w:p>
      <w:pPr>
        <w:ind w:left="40" w:right="34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7" w:lineRule="exact"/>
        <w:rPr>
          <w:rFonts w:ascii="Times New Roman" w:cs="Times New Roman" w:eastAsia="Times New Roman" w:hAnsi="Times New Roman"/>
          <w:sz w:val="13"/>
          <w:szCs w:val="13"/>
          <w:color w:val="008000"/>
        </w:rPr>
      </w:pPr>
    </w:p>
    <w:p>
      <w:pPr>
        <w:ind w:left="40" w:right="1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7" w:lineRule="exact"/>
        <w:rPr>
          <w:rFonts w:ascii="Times New Roman" w:cs="Times New Roman" w:eastAsia="Times New Roman" w:hAnsi="Times New Roman"/>
          <w:sz w:val="13"/>
          <w:szCs w:val="13"/>
          <w:color w:val="008000"/>
        </w:rPr>
      </w:pPr>
    </w:p>
    <w:p>
      <w:pPr>
        <w:ind w:left="40" w:right="4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GP VIII, GP VI, and Genesis GP disclaims beneficial ownership of the securities reported herein for purposes of Rule 16a-1(a) under the Securities Exchange Act of 1934, as amended (the "Exchange Act"), except to the extent of her or its pecuniary interest therein, if any. This report shall not be deemed an admission that any of the Reporting Person, OrbiMed Advisors, GP VIII, GP VI, or Genesis GP is a beneficial owner of such securities for purposes of Section 16 of the Exchange Act, or for any other purpose.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vested on October 4, 2022.</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Mona Ashiya</w:t>
            </w:r>
          </w:p>
        </w:tc>
        <w:tc>
          <w:tcPr>
            <w:tcW w:w="9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12/20/2023</w:t>
            </w:r>
          </w:p>
        </w:tc>
      </w:tr>
      <w:tr>
        <w:trPr>
          <w:trHeight w:val="20"/>
        </w:trPr>
        <w:tc>
          <w:tcPr>
            <w:tcW w:w="6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656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r>
        <w:trPr>
          <w:trHeight w:val="195"/>
        </w:trPr>
        <w:tc>
          <w:tcPr>
            <w:tcW w:w="860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860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860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407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2023-12-20T17:19:50Z</dcterms:created>
  <dcterms:modified xsi:type="dcterms:W3CDTF">2023-12-20T17:19:50Z</dcterms:modified>
</cp:coreProperties>
</file>