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14, 2021</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20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2">
            <w:col w:w="7180" w:space="720"/>
            <w:col w:w="3120"/>
          </w:cols>
          <w:pgMar w:left="440" w:top="229" w:right="439" w:bottom="204"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4"/>
          <w:szCs w:val="14"/>
          <w:b w:val="1"/>
          <w:bCs w:val="1"/>
          <w:color w:val="auto"/>
        </w:rPr>
        <w:t>(I.R.S. Employer</w:t>
      </w:r>
    </w:p>
    <w:p>
      <w:pPr>
        <w:jc w:val="center"/>
        <w:ind w:right="19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400"/>
          </w:cols>
          <w:pgMar w:left="440" w:top="229" w:right="439" w:bottom="204"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300 One Kendall Square, 3</w:t>
      </w:r>
      <w:r>
        <w:rPr>
          <w:rFonts w:ascii="Arial" w:cs="Arial" w:eastAsia="Arial" w:hAnsi="Arial"/>
          <w:sz w:val="13"/>
          <w:szCs w:val="13"/>
          <w:b w:val="1"/>
          <w:bCs w:val="1"/>
          <w:color w:val="auto"/>
        </w:rPr>
        <w:t>rd</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401-4400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020"/>
          </w:cols>
          <w:pgMar w:left="440" w:top="229" w:right="439" w:bottom="204" w:gutter="0" w:footer="0" w:header="0"/>
          <w:type w:val="continuous"/>
        </w:sectPr>
      </w:pP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Gemini Therapeutics, Inc. 2021 Employee Stock Purchase Plan (the “2021 ESPP”)</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300 One Kendall Square, 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401-4400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Benjamin K. Marsh,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204" w:gutter="0" w:footer="0" w:header="0"/>
          <w:type w:val="continuous"/>
        </w:sectPr>
      </w:pPr>
    </w:p>
    <w:p>
      <w:pPr>
        <w:spacing w:after="0" w:line="211" w:lineRule="exact"/>
        <w:rPr>
          <w:sz w:val="24"/>
          <w:szCs w:val="24"/>
          <w:color w:val="auto"/>
        </w:rPr>
      </w:pPr>
    </w:p>
    <w:p>
      <w:pPr>
        <w:ind w:left="8480"/>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2">
            <w:col w:w="10080" w:space="720"/>
            <w:col w:w="220"/>
          </w:cols>
          <w:pgMar w:left="440" w:top="229" w:right="439" w:bottom="204"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520" w:space="360"/>
            <w:col w:w="5880" w:space="720"/>
            <w:col w:w="1980" w:space="340"/>
            <w:col w:w="220"/>
          </w:cols>
          <w:pgMar w:left="440" w:top="229" w:right="439" w:bottom="204" w:gutter="0" w:footer="0" w:header="0"/>
          <w:type w:val="continuous"/>
        </w:sectPr>
      </w:pPr>
    </w:p>
    <w:p>
      <w:pPr>
        <w:spacing w:after="0" w:line="33" w:lineRule="exact"/>
        <w:rPr>
          <w:sz w:val="24"/>
          <w:szCs w:val="24"/>
          <w:color w:val="auto"/>
        </w:rPr>
      </w:pPr>
    </w:p>
    <w:p>
      <w:pPr>
        <w:ind w:left="84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460" w:space="340"/>
            <w:col w:w="220"/>
          </w:cols>
          <w:pgMar w:left="440" w:top="229" w:right="439" w:bottom="204" w:gutter="0" w:footer="0" w:header="0"/>
          <w:type w:val="continuous"/>
        </w:sectPr>
      </w:pPr>
    </w:p>
    <w:p>
      <w:pPr>
        <w:spacing w:after="0" w:line="4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2021 Employee Stock Purchase Plan (Common stock, par value of</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$0.0001 per share)</w:t>
            </w:r>
          </w:p>
        </w:tc>
        <w:tc>
          <w:tcPr>
            <w:tcW w:w="1540" w:type="dxa"/>
            <w:vAlign w:val="bottom"/>
            <w:tcBorders>
              <w:bottom w:val="single" w:sz="8" w:color="auto"/>
              <w:right w:val="single" w:sz="8" w:color="auto"/>
            </w:tcBorders>
          </w:tcPr>
          <w:p>
            <w:pPr>
              <w:jc w:val="right"/>
              <w:ind w:right="261"/>
              <w:spacing w:after="0"/>
              <w:rPr>
                <w:sz w:val="20"/>
                <w:szCs w:val="20"/>
                <w:color w:val="auto"/>
              </w:rPr>
            </w:pPr>
            <w:r>
              <w:rPr>
                <w:rFonts w:ascii="Arial" w:cs="Arial" w:eastAsia="Arial" w:hAnsi="Arial"/>
                <w:sz w:val="18"/>
                <w:szCs w:val="18"/>
                <w:color w:val="auto"/>
              </w:rPr>
              <w:t>430,551(2)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$3.13(3)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$1,346,763.53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$124.84</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430,551 shares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$1,346,763.53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$124.84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29" w:right="439" w:bottom="204" w:gutter="0" w:footer="0" w:header="0"/>
          <w:type w:val="continuous"/>
        </w:sectPr>
      </w:pPr>
    </w:p>
    <w:bookmarkStart w:id="1" w:name="page2"/>
    <w:bookmarkEnd w:id="1"/>
    <w:p>
      <w:pPr>
        <w:ind w:left="424" w:right="600" w:hanging="424"/>
        <w:spacing w:after="0" w:line="285"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1" w:lineRule="exact"/>
        <w:rPr>
          <w:rFonts w:ascii="Arial" w:cs="Arial" w:eastAsia="Arial" w:hAnsi="Arial"/>
          <w:sz w:val="16"/>
          <w:szCs w:val="16"/>
          <w:color w:val="auto"/>
        </w:rPr>
      </w:pP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430,551 shares of common stock initially reserved for future issuance under the 2021 ESPP. The 2021 ESPP provides that the number of shares reserved and available for issuance under the 2021 ESPP will automatically increase on January 1, 2023 and each January 1 thereafter through January 1, 2031 by an amount equal to the least of: (i) 1% of the outstanding number of shares of common stock on the immediately preceding December 31st, (ii) 430,551 shares of common stock, or (iii) such number of shares of common stock as determined by the administrator of the 2021 ESPP.</w:t>
      </w:r>
    </w:p>
    <w:p>
      <w:pPr>
        <w:spacing w:after="0" w:line="1"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of the Securities Act, and based on 85% of $3.68, the average of the high and low sale prices of the common stock as reported on Nasdaq on October 8, 2021 (such date being within five business days of the date that this Registration Statement was filed with the Commission). Pursuant to the 2021 ESPP, the purchase price of the shares of common stock reserved for issuance thereunder will be 85% of the fair market value of a share of common stock on the first trading day of the offering period or on the exercise date, whichever is less.</w:t>
      </w:r>
    </w:p>
    <w:p>
      <w:pPr>
        <w:spacing w:after="0" w:line="19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Proposed sales to take place as soon after the effective date of the Registration Statement as awards are granted, exercised or distributed under the above-named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139"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131" w:lineRule="exact"/>
        <w:rPr>
          <w:sz w:val="20"/>
          <w:szCs w:val="20"/>
          <w:color w:val="auto"/>
        </w:rPr>
      </w:pPr>
    </w:p>
    <w:p>
      <w:pPr>
        <w:ind w:left="760" w:right="20" w:hanging="31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w:t>
      </w:r>
      <w:hyperlink r:id="rId18">
        <w:r>
          <w:rPr>
            <w:rFonts w:ascii="Arial" w:cs="Arial" w:eastAsia="Arial" w:hAnsi="Arial"/>
            <w:sz w:val="18"/>
            <w:szCs w:val="18"/>
            <w:u w:val="single" w:color="auto"/>
            <w:color w:val="0000EE"/>
          </w:rPr>
          <w:t>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by the registrant with the Commission pursuant to Rule 424(b) under the Securities Act, on January 19, 2021, relating to the Registration Statement on </w:t>
      </w:r>
      <w:hyperlink r:id="rId19">
        <w:r>
          <w:rPr>
            <w:rFonts w:ascii="Arial" w:cs="Arial" w:eastAsia="Arial" w:hAnsi="Arial"/>
            <w:sz w:val="18"/>
            <w:szCs w:val="18"/>
            <w:u w:val="single" w:color="auto"/>
            <w:color w:val="0000EE"/>
          </w:rPr>
          <w:t>Form S-4</w:t>
        </w:r>
      </w:hyperlink>
      <w:r>
        <w:rPr>
          <w:rFonts w:ascii="Arial" w:cs="Arial" w:eastAsia="Arial" w:hAnsi="Arial"/>
          <w:sz w:val="18"/>
          <w:szCs w:val="18"/>
          <w:color w:val="auto"/>
        </w:rPr>
        <w:t>, as amended (File No. 333- 249785);</w:t>
      </w:r>
    </w:p>
    <w:p>
      <w:pPr>
        <w:spacing w:after="0" w:line="62" w:lineRule="exact"/>
        <w:rPr>
          <w:rFonts w:ascii="Arial" w:cs="Arial" w:eastAsia="Arial" w:hAnsi="Arial"/>
          <w:sz w:val="18"/>
          <w:szCs w:val="18"/>
          <w:color w:val="auto"/>
        </w:rPr>
      </w:pPr>
    </w:p>
    <w:p>
      <w:pPr>
        <w:ind w:left="760" w:right="360" w:hanging="31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2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(as filed with the Commission on March 29, 2021);</w:t>
      </w:r>
    </w:p>
    <w:p>
      <w:pPr>
        <w:spacing w:after="0" w:line="62" w:lineRule="exact"/>
        <w:rPr>
          <w:rFonts w:ascii="Arial" w:cs="Arial" w:eastAsia="Arial" w:hAnsi="Arial"/>
          <w:sz w:val="18"/>
          <w:szCs w:val="18"/>
          <w:color w:val="auto"/>
        </w:rPr>
      </w:pPr>
    </w:p>
    <w:p>
      <w:pPr>
        <w:ind w:left="760" w:right="120" w:hanging="31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quarterly periods ended </w:t>
      </w:r>
      <w:hyperlink r:id="rId21">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filed with the Commission on May 13, 2021) and </w:t>
      </w:r>
      <w:hyperlink r:id="rId22">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Commission on August 12, 2021);</w:t>
      </w:r>
    </w:p>
    <w:p>
      <w:pPr>
        <w:spacing w:after="0" w:line="62" w:lineRule="exact"/>
        <w:rPr>
          <w:rFonts w:ascii="Arial" w:cs="Arial" w:eastAsia="Arial" w:hAnsi="Arial"/>
          <w:sz w:val="18"/>
          <w:szCs w:val="18"/>
          <w:color w:val="auto"/>
        </w:rPr>
      </w:pPr>
    </w:p>
    <w:p>
      <w:pPr>
        <w:jc w:val="both"/>
        <w:ind w:left="760" w:right="140" w:hanging="319"/>
        <w:spacing w:after="0" w:line="286"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contained in the registrant’s registration statement on </w:t>
      </w:r>
      <w:hyperlink r:id="rId23">
        <w:r>
          <w:rPr>
            <w:rFonts w:ascii="Arial" w:cs="Arial" w:eastAsia="Arial" w:hAnsi="Arial"/>
            <w:sz w:val="17"/>
            <w:szCs w:val="17"/>
            <w:u w:val="single" w:color="auto"/>
            <w:color w:val="0000EE"/>
          </w:rPr>
          <w:t>Form 8-A/A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000-249785) filed by the registrant with the Commission under Section 12(b) of the Securities Exchange Act of 1934, as amended (the “Exchange Act”), on February 5, 2021, including any amendments or reports filed for the purpose of updating such description;</w:t>
      </w:r>
    </w:p>
    <w:p>
      <w:pPr>
        <w:spacing w:after="0" w:line="57" w:lineRule="exact"/>
        <w:rPr>
          <w:rFonts w:ascii="Arial" w:cs="Arial" w:eastAsia="Arial" w:hAnsi="Arial"/>
          <w:sz w:val="17"/>
          <w:szCs w:val="17"/>
          <w:color w:val="auto"/>
        </w:rPr>
      </w:pPr>
    </w:p>
    <w:p>
      <w:pPr>
        <w:ind w:left="760" w:right="140" w:hanging="31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registration statement on </w:t>
      </w:r>
      <w:hyperlink r:id="rId24">
        <w:r>
          <w:rPr>
            <w:rFonts w:ascii="Arial" w:cs="Arial" w:eastAsia="Arial" w:hAnsi="Arial"/>
            <w:sz w:val="18"/>
            <w:szCs w:val="18"/>
            <w:u w:val="single" w:color="auto"/>
            <w:color w:val="0000EE"/>
          </w:rPr>
          <w:t>Form S-1/A</w:t>
        </w:r>
      </w:hyperlink>
      <w:r>
        <w:rPr>
          <w:rFonts w:ascii="Arial" w:cs="Arial" w:eastAsia="Arial" w:hAnsi="Arial"/>
          <w:sz w:val="18"/>
          <w:szCs w:val="18"/>
          <w:color w:val="auto"/>
        </w:rPr>
        <w:t>, as amended, filed by the registrant with the Commission under the Securities Act, on March 29, 2021 (File No. 333-253175); and</w:t>
      </w:r>
    </w:p>
    <w:p>
      <w:pPr>
        <w:spacing w:after="0" w:line="62" w:lineRule="exact"/>
        <w:rPr>
          <w:rFonts w:ascii="Arial" w:cs="Arial" w:eastAsia="Arial" w:hAnsi="Arial"/>
          <w:sz w:val="18"/>
          <w:szCs w:val="18"/>
          <w:color w:val="auto"/>
        </w:rPr>
      </w:pPr>
    </w:p>
    <w:p>
      <w:pPr>
        <w:ind w:left="760" w:right="40" w:hanging="319"/>
        <w:spacing w:after="0" w:line="279" w:lineRule="auto"/>
        <w:tabs>
          <w:tab w:leader="none" w:pos="760" w:val="left"/>
        </w:tabs>
        <w:numPr>
          <w:ilvl w:val="0"/>
          <w:numId w:val="2"/>
        </w:numPr>
        <w:rPr>
          <w:rFonts w:ascii="Arial" w:cs="Arial" w:eastAsia="Arial" w:hAnsi="Arial"/>
          <w:sz w:val="17"/>
          <w:szCs w:val="17"/>
          <w:color w:val="0000EE"/>
        </w:rPr>
      </w:pPr>
      <w:hyperlink r:id="rId25">
        <w:r>
          <w:rPr>
            <w:rFonts w:ascii="Arial" w:cs="Arial" w:eastAsia="Arial" w:hAnsi="Arial"/>
            <w:sz w:val="17"/>
            <w:szCs w:val="17"/>
            <w:color w:val="auto"/>
          </w:rPr>
          <w:t xml:space="preserve">The registrant’s Current Reports on Form 8-K filed with the Commission on </w:t>
        </w:r>
        <w:r>
          <w:rPr>
            <w:rFonts w:ascii="Arial" w:cs="Arial" w:eastAsia="Arial" w:hAnsi="Arial"/>
            <w:sz w:val="17"/>
            <w:szCs w:val="17"/>
            <w:u w:val="single" w:color="auto"/>
            <w:color w:val="0000EE"/>
          </w:rPr>
          <w:t>August 14,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August 20,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October 20,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January</w:t>
        </w:r>
      </w:hyperlink>
      <w:r>
        <w:rPr>
          <w:rFonts w:ascii="Arial" w:cs="Arial" w:eastAsia="Arial" w:hAnsi="Arial"/>
          <w:sz w:val="17"/>
          <w:szCs w:val="17"/>
          <w:color w:val="auto"/>
        </w:rPr>
        <w:t xml:space="preserve"> </w:t>
      </w:r>
      <w:hyperlink r:id="rId25">
        <w:r>
          <w:rPr>
            <w:rFonts w:ascii="Arial" w:cs="Arial" w:eastAsia="Arial" w:hAnsi="Arial"/>
            <w:sz w:val="17"/>
            <w:szCs w:val="17"/>
            <w:u w:val="single" w:color="auto"/>
            <w:color w:val="0000EE"/>
          </w:rPr>
          <w:t>19, 2021</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26">
        <w:r>
          <w:rPr>
            <w:rFonts w:ascii="Arial" w:cs="Arial" w:eastAsia="Arial" w:hAnsi="Arial"/>
            <w:sz w:val="17"/>
            <w:szCs w:val="17"/>
            <w:u w:val="single" w:color="auto"/>
            <w:color w:val="0000EE"/>
          </w:rPr>
          <w:t>January 28, 2021</w:t>
        </w:r>
      </w:hyperlink>
      <w:hyperlink r:id="rId2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27">
        <w:r>
          <w:rPr>
            <w:rFonts w:ascii="Arial" w:cs="Arial" w:eastAsia="Arial" w:hAnsi="Arial"/>
            <w:sz w:val="17"/>
            <w:szCs w:val="17"/>
            <w:u w:val="single" w:color="auto"/>
            <w:color w:val="0000EE"/>
          </w:rPr>
          <w:t>February 3, 2021</w:t>
        </w:r>
      </w:hyperlink>
      <w:hyperlink r:id="rId2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28">
        <w:r>
          <w:rPr>
            <w:rFonts w:ascii="Arial" w:cs="Arial" w:eastAsia="Arial" w:hAnsi="Arial"/>
            <w:sz w:val="17"/>
            <w:szCs w:val="17"/>
            <w:u w:val="single" w:color="auto"/>
            <w:color w:val="0000EE"/>
          </w:rPr>
          <w:t>February 5, 2021</w:t>
        </w:r>
      </w:hyperlink>
      <w:hyperlink r:id="rId2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29">
        <w:r>
          <w:rPr>
            <w:rFonts w:ascii="Arial" w:cs="Arial" w:eastAsia="Arial" w:hAnsi="Arial"/>
            <w:sz w:val="17"/>
            <w:szCs w:val="17"/>
            <w:u w:val="single" w:color="auto"/>
            <w:color w:val="0000EE"/>
          </w:rPr>
          <w:t xml:space="preserve">February 11, 2021 </w:t>
        </w:r>
      </w:hyperlink>
      <w:hyperlink r:id="rId25">
        <w:r>
          <w:rPr>
            <w:rFonts w:ascii="Arial" w:cs="Arial" w:eastAsia="Arial" w:hAnsi="Arial"/>
            <w:sz w:val="17"/>
            <w:szCs w:val="17"/>
            <w:color w:val="000000"/>
          </w:rPr>
          <w:t>(as amended on</w:t>
        </w:r>
        <w:r>
          <w:rPr>
            <w:rFonts w:ascii="Arial" w:cs="Arial" w:eastAsia="Arial" w:hAnsi="Arial"/>
            <w:sz w:val="17"/>
            <w:szCs w:val="17"/>
            <w:color w:val="0000EE"/>
          </w:rPr>
          <w:t xml:space="preserve"> </w:t>
        </w:r>
      </w:hyperlink>
      <w:hyperlink r:id="rId30">
        <w:r>
          <w:rPr>
            <w:rFonts w:ascii="Arial" w:cs="Arial" w:eastAsia="Arial" w:hAnsi="Arial"/>
            <w:sz w:val="17"/>
            <w:szCs w:val="17"/>
            <w:u w:val="single" w:color="auto"/>
            <w:color w:val="0000EE"/>
          </w:rPr>
          <w:t>March 29, 2021</w:t>
        </w:r>
      </w:hyperlink>
      <w:hyperlink r:id="rId2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1">
        <w:r>
          <w:rPr>
            <w:rFonts w:ascii="Arial" w:cs="Arial" w:eastAsia="Arial" w:hAnsi="Arial"/>
            <w:sz w:val="17"/>
            <w:szCs w:val="17"/>
            <w:u w:val="single" w:color="auto"/>
            <w:color w:val="0000EE"/>
          </w:rPr>
          <w:t>February 23,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32">
        <w:r>
          <w:rPr>
            <w:rFonts w:ascii="Arial" w:cs="Arial" w:eastAsia="Arial" w:hAnsi="Arial"/>
            <w:sz w:val="17"/>
            <w:szCs w:val="17"/>
            <w:u w:val="single" w:color="auto"/>
            <w:color w:val="0000EE"/>
          </w:rPr>
          <w:t>March 29, 2021</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u w:val="single" w:color="auto"/>
            <w:color w:val="0000EE"/>
          </w:rPr>
          <w:t>two filings</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14, 2021</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7, 2021</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13, 2021</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June 23, 2021</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August 12, 2021</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August 17, 2021</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September</w:t>
        </w:r>
      </w:hyperlink>
      <w:r>
        <w:rPr>
          <w:rFonts w:ascii="Arial" w:cs="Arial" w:eastAsia="Arial" w:hAnsi="Arial"/>
          <w:sz w:val="17"/>
          <w:szCs w:val="17"/>
          <w:color w:val="0000EE"/>
        </w:rPr>
        <w:t xml:space="preserve"> </w:t>
      </w:r>
      <w:hyperlink r:id="rId32">
        <w:r>
          <w:rPr>
            <w:rFonts w:ascii="Arial" w:cs="Arial" w:eastAsia="Arial" w:hAnsi="Arial"/>
            <w:sz w:val="17"/>
            <w:szCs w:val="17"/>
            <w:u w:val="single" w:color="auto"/>
            <w:color w:val="0000EE"/>
          </w:rPr>
          <w:t>9, 2021</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3">
        <w:r>
          <w:rPr>
            <w:rFonts w:ascii="Arial" w:cs="Arial" w:eastAsia="Arial" w:hAnsi="Arial"/>
            <w:sz w:val="17"/>
            <w:szCs w:val="17"/>
            <w:u w:val="single" w:color="auto"/>
            <w:color w:val="0000EE"/>
          </w:rPr>
          <w:t>October 1, 2021</w:t>
        </w:r>
      </w:hyperlink>
      <w:hyperlink r:id="rId32">
        <w:r>
          <w:rPr>
            <w:rFonts w:ascii="Arial" w:cs="Arial" w:eastAsia="Arial" w:hAnsi="Arial"/>
            <w:sz w:val="17"/>
            <w:szCs w:val="17"/>
            <w:color w:val="000000"/>
          </w:rPr>
          <w:t>, and</w:t>
        </w:r>
        <w:r>
          <w:rPr>
            <w:rFonts w:ascii="Arial" w:cs="Arial" w:eastAsia="Arial" w:hAnsi="Arial"/>
            <w:sz w:val="17"/>
            <w:szCs w:val="17"/>
            <w:color w:val="0000EE"/>
          </w:rPr>
          <w:t xml:space="preserve"> </w:t>
        </w:r>
      </w:hyperlink>
      <w:hyperlink r:id="rId34">
        <w:r>
          <w:rPr>
            <w:rFonts w:ascii="Arial" w:cs="Arial" w:eastAsia="Arial" w:hAnsi="Arial"/>
            <w:sz w:val="17"/>
            <w:szCs w:val="17"/>
            <w:u w:val="single" w:color="auto"/>
            <w:color w:val="0000EE"/>
          </w:rPr>
          <w:t xml:space="preserve">October 6, 2021 </w:t>
        </w:r>
      </w:hyperlink>
      <w:hyperlink r:id="rId32">
        <w:r>
          <w:rPr>
            <w:rFonts w:ascii="Arial" w:cs="Arial" w:eastAsia="Arial" w:hAnsi="Arial"/>
            <w:sz w:val="17"/>
            <w:szCs w:val="17"/>
            <w:color w:val="000000"/>
          </w:rPr>
          <w:t>(other than information furnished rather than filed).</w:t>
        </w:r>
      </w:hyperlink>
    </w:p>
    <w:p>
      <w:pPr>
        <w:spacing w:after="0" w:line="171" w:lineRule="exact"/>
        <w:rPr>
          <w:rFonts w:ascii="Arial" w:cs="Arial" w:eastAsia="Arial" w:hAnsi="Arial"/>
          <w:sz w:val="17"/>
          <w:szCs w:val="17"/>
          <w:color w:val="0000EE"/>
        </w:rPr>
      </w:pPr>
    </w:p>
    <w:p>
      <w:pPr>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7" w:lineRule="exact"/>
        <w:rPr>
          <w:rFonts w:ascii="Arial" w:cs="Arial" w:eastAsia="Arial" w:hAnsi="Arial"/>
          <w:sz w:val="17"/>
          <w:szCs w:val="17"/>
          <w:color w:val="0000EE"/>
        </w:rPr>
      </w:pPr>
    </w:p>
    <w:p>
      <w:pPr>
        <w:ind w:right="4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rFonts w:ascii="Arial" w:cs="Arial" w:eastAsia="Arial" w:hAnsi="Arial"/>
          <w:sz w:val="17"/>
          <w:szCs w:val="17"/>
          <w:color w:val="0000EE"/>
        </w:rPr>
      </w:pPr>
    </w:p>
    <w:p>
      <w:pPr>
        <w:ind w:right="32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274" w:lineRule="exact"/>
        <w:rPr>
          <w:rFonts w:ascii="Arial" w:cs="Arial" w:eastAsia="Arial" w:hAnsi="Arial"/>
          <w:sz w:val="17"/>
          <w:szCs w:val="17"/>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7"/>
          <w:szCs w:val="17"/>
          <w:color w:val="0000EE"/>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registrant has adopted provisions in the registrant’s certificate of incorporation and bylaws, which became effective in connection with the completion of the registrant’s business combination on February 5, 2021, that limit or eliminate the personal liability of the registrant’s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w:t>
      </w:r>
    </w:p>
    <w:p>
      <w:pPr>
        <w:spacing w:after="0" w:line="77"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registrant’s bylaws provide that:</w:t>
      </w:r>
    </w:p>
    <w:p>
      <w:pPr>
        <w:spacing w:after="0" w:line="131" w:lineRule="exact"/>
        <w:rPr>
          <w:sz w:val="20"/>
          <w:szCs w:val="20"/>
          <w:color w:val="auto"/>
        </w:rPr>
      </w:pPr>
    </w:p>
    <w:p>
      <w:pPr>
        <w:ind w:left="960" w:right="2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will indemnify its directors, officers and, in the discretion of its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will advance expenses, including attorneys’ fees, to its directors and, in the discretion of its board of directors, to its officers and certain employees, in connection with legal proceedings relating to their service for or on behalf of the registrant, subject to limited exceptions</w:t>
      </w:r>
    </w:p>
    <w:p>
      <w:pPr>
        <w:spacing w:after="0" w:line="184"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The registrant has entered into indemnification agreements with several of its directors and executive officers. These agreements provide that the registrant will indemnify each of its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such affiliates or other third parties to advance expenses or to provide indemnification for the expenses or liabilities incurred by those directors are secondary.</w:t>
      </w:r>
    </w:p>
    <w:p>
      <w:pPr>
        <w:sectPr>
          <w:pgSz w:w="11900" w:h="16838" w:orient="portrait"/>
          <w:cols w:equalWidth="0" w:num="1">
            <w:col w:w="10940"/>
          </w:cols>
          <w:pgMar w:left="440" w:top="270" w:right="519" w:bottom="1440" w:gutter="0" w:footer="0" w:header="0"/>
        </w:sectPr>
      </w:pPr>
    </w:p>
    <w:bookmarkStart w:id="4" w:name="page5"/>
    <w:bookmarkEnd w:id="4"/>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60" w:type="dxa"/>
            <w:vAlign w:val="bottom"/>
            <w:gridSpan w:val="2"/>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64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8"/>
              </w:rPr>
              <w:t>Exhibit</w:t>
            </w:r>
          </w:p>
        </w:tc>
        <w:tc>
          <w:tcPr>
            <w:tcW w:w="29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37">
        <w:r>
          <w:rPr>
            <w:rFonts w:ascii="Arial" w:cs="Arial" w:eastAsia="Arial" w:hAnsi="Arial"/>
            <w:sz w:val="16"/>
            <w:szCs w:val="16"/>
            <w:u w:val="single" w:color="auto"/>
            <w:color w:val="0000EE"/>
          </w:rPr>
          <w:t>Form of Specimen Common Stock Certificate (incorporated by reference to Exhibit 4.1 to Form S-4/A filed on January 19, 2021).</w:t>
        </w:r>
      </w:hyperlink>
    </w:p>
    <w:p>
      <w:pPr>
        <w:spacing w:after="0" w:line="117" w:lineRule="exact"/>
        <w:rPr>
          <w:sz w:val="20"/>
          <w:szCs w:val="20"/>
          <w:color w:val="auto"/>
        </w:rPr>
      </w:pPr>
    </w:p>
    <w:p>
      <w:pPr>
        <w:ind w:left="884" w:right="60" w:hanging="78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8">
        <w:r>
          <w:rPr>
            <w:rFonts w:ascii="Arial" w:cs="Arial" w:eastAsia="Arial" w:hAnsi="Arial"/>
            <w:sz w:val="18"/>
            <w:szCs w:val="18"/>
            <w:u w:val="single" w:color="auto"/>
            <w:color w:val="0000EE"/>
          </w:rPr>
          <w:t>Amended and Restated Articles of Incorporation of Gemini Therapeutics, Inc. (incorporated by reference to Exhibit 3.1 to Form 10-K filed</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on March 29, 2021).</w:t>
        </w:r>
      </w:hyperlink>
    </w:p>
    <w:p>
      <w:pPr>
        <w:spacing w:after="0" w:line="62" w:lineRule="exact"/>
        <w:rPr>
          <w:sz w:val="20"/>
          <w:szCs w:val="20"/>
          <w:color w:val="auto"/>
        </w:rPr>
      </w:pPr>
    </w:p>
    <w:p>
      <w:pPr>
        <w:ind w:left="8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39">
        <w:r>
          <w:rPr>
            <w:rFonts w:ascii="Arial" w:cs="Arial" w:eastAsia="Arial" w:hAnsi="Arial"/>
            <w:sz w:val="16"/>
            <w:szCs w:val="16"/>
            <w:u w:val="single" w:color="auto"/>
            <w:color w:val="0000EE"/>
          </w:rPr>
          <w:t>Amended and Restated By-laws of Gemini Therapeutics, Inc. (incorporated by reference to Exhibit 3.2 to Form 10-K filed on March 29,</w:t>
        </w:r>
      </w:hyperlink>
    </w:p>
    <w:p>
      <w:pPr>
        <w:spacing w:after="0" w:line="23" w:lineRule="exact"/>
        <w:rPr>
          <w:sz w:val="20"/>
          <w:szCs w:val="20"/>
          <w:color w:val="auto"/>
        </w:rPr>
      </w:pPr>
    </w:p>
    <w:p>
      <w:pPr>
        <w:ind w:left="884"/>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2021).</w:t>
        </w:r>
      </w:hyperlink>
    </w:p>
    <w:p>
      <w:pPr>
        <w:spacing w:after="0" w:line="103" w:lineRule="exact"/>
        <w:rPr>
          <w:sz w:val="20"/>
          <w:szCs w:val="20"/>
          <w:color w:val="auto"/>
        </w:rPr>
      </w:pPr>
    </w:p>
    <w:p>
      <w:pPr>
        <w:ind w:left="8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8">
        <w:r>
          <w:rPr>
            <w:rFonts w:ascii="Arial" w:cs="Arial" w:eastAsia="Arial" w:hAnsi="Arial"/>
            <w:sz w:val="16"/>
            <w:szCs w:val="16"/>
            <w:u w:val="single" w:color="auto"/>
            <w:color w:val="0000EE"/>
          </w:rPr>
          <w:t>Opinion of Goodwin Procter LLP.</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
        <w:r>
          <w:rPr>
            <w:rFonts w:ascii="Arial" w:cs="Arial" w:eastAsia="Arial" w:hAnsi="Arial"/>
            <w:sz w:val="16"/>
            <w:szCs w:val="16"/>
            <w:u w:val="single" w:color="auto"/>
            <w:color w:val="0000EE"/>
          </w:rPr>
          <w:t>Consent of Ernst &amp; Young LLP, independent registered accounting firm for Gemini Therapeutics, Inc.</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8">
        <w:r>
          <w:rPr>
            <w:rFonts w:ascii="Arial" w:cs="Arial" w:eastAsia="Arial" w:hAnsi="Arial"/>
            <w:sz w:val="16"/>
            <w:szCs w:val="16"/>
            <w:u w:val="single" w:color="auto"/>
            <w:color w:val="0000EE"/>
          </w:rPr>
          <w:t>Consent of Goodwin Procter LLP (included as part of Exhibit 5.1).</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10">
        <w:r>
          <w:rPr>
            <w:rFonts w:ascii="Arial" w:cs="Arial" w:eastAsia="Arial" w:hAnsi="Arial"/>
            <w:sz w:val="16"/>
            <w:szCs w:val="16"/>
            <w:u w:val="single" w:color="auto"/>
            <w:color w:val="0000EE"/>
          </w:rPr>
          <w:t>Consent of WithumSmith+Brown, PC, independent registered accounting firm for FS Development Corp.</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24.4*</w:t>
      </w:r>
      <w:r>
        <w:rPr>
          <w:sz w:val="20"/>
          <w:szCs w:val="20"/>
          <w:color w:val="auto"/>
        </w:rPr>
        <w:tab/>
      </w:r>
      <w:hyperlink w:anchor="page7">
        <w:r>
          <w:rPr>
            <w:rFonts w:ascii="Arial" w:cs="Arial" w:eastAsia="Arial" w:hAnsi="Arial"/>
            <w:sz w:val="16"/>
            <w:szCs w:val="16"/>
            <w:u w:val="single" w:color="auto"/>
            <w:color w:val="0000EE"/>
          </w:rPr>
          <w:t>Power of Attorney (included on signature page).</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40">
        <w:r>
          <w:rPr>
            <w:rFonts w:ascii="Arial" w:cs="Arial" w:eastAsia="Arial" w:hAnsi="Arial"/>
            <w:sz w:val="16"/>
            <w:szCs w:val="16"/>
            <w:u w:val="single" w:color="auto"/>
            <w:color w:val="0000EE"/>
          </w:rPr>
          <w:t>2021 Employee Stock Purchase Plan (incorporated by reference to Annex 1 to Proxy Statement on Schedule 14A filed on August 17, 2021)</w:t>
        </w:r>
      </w:hyperlink>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registrant hereby undertakes:</w:t>
      </w:r>
    </w:p>
    <w:p>
      <w:pPr>
        <w:spacing w:after="0" w:line="117"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4" w:right="100" w:hanging="4"/>
        <w:spacing w:after="0" w:line="293" w:lineRule="auto"/>
        <w:tabs>
          <w:tab w:leader="none" w:pos="269"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 w:right="260" w:hanging="4"/>
        <w:spacing w:after="0" w:line="27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0944"/>
          </w:cols>
          <w:pgMar w:left="436" w:top="274" w:right="519" w:bottom="1440" w:gutter="0" w:footer="0" w:header="0"/>
        </w:sectPr>
      </w:pPr>
    </w:p>
    <w:bookmarkStart w:id="5" w:name="page6"/>
    <w:bookmarkEnd w:id="5"/>
    <w:p>
      <w:pPr>
        <w:ind w:left="4" w:right="16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w:t>
      </w:r>
      <w:r>
        <w:rPr>
          <w:rFonts w:ascii="Arial" w:cs="Arial" w:eastAsia="Arial" w:hAnsi="Arial"/>
          <w:sz w:val="17"/>
          <w:szCs w:val="17"/>
          <w:color w:val="auto"/>
        </w:rPr>
        <w:t>, that paragraphs (a)(1)(i) and (a)(1)(ii) herein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57" w:lineRule="exact"/>
        <w:rPr>
          <w:sz w:val="20"/>
          <w:szCs w:val="20"/>
          <w:color w:val="auto"/>
        </w:rPr>
      </w:pPr>
    </w:p>
    <w:p>
      <w:pPr>
        <w:ind w:left="4" w:right="140" w:hanging="4"/>
        <w:spacing w:after="0" w:line="26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 w:hanging="4"/>
        <w:spacing w:after="0" w:line="277"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4" w:right="140" w:hanging="4"/>
        <w:spacing w:after="0" w:line="257"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left="4" w:right="60" w:hanging="4"/>
        <w:spacing w:after="0" w:line="254"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Massachusetts, on October 14, 2021.</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GEMINI THERAPEUTICS, INC.</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Meyenburg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KNOW ALL BY THESE PRESENT, that each individual whose signature appears below hereby constitutes and appoints Jason Meyenberg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 in the capacities and on the date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00" w:type="dxa"/>
            <w:vAlign w:val="bottom"/>
          </w:tcPr>
          <w:p>
            <w:pPr>
              <w:jc w:val="center"/>
              <w:ind w:left="95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Meyenberg</w:t>
            </w: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c>
          <w:tcPr>
            <w:tcW w:w="2300" w:type="dxa"/>
            <w:vAlign w:val="bottom"/>
          </w:tcPr>
          <w:p>
            <w:pPr>
              <w:jc w:val="center"/>
              <w:ind w:left="952"/>
              <w:spacing w:after="0"/>
              <w:rPr>
                <w:sz w:val="20"/>
                <w:szCs w:val="20"/>
                <w:color w:val="auto"/>
              </w:rPr>
            </w:pPr>
            <w:r>
              <w:rPr>
                <w:rFonts w:ascii="Arial" w:cs="Arial" w:eastAsia="Arial" w:hAnsi="Arial"/>
                <w:sz w:val="18"/>
                <w:szCs w:val="18"/>
                <w:color w:val="auto"/>
                <w:w w:val="90"/>
              </w:rPr>
              <w:t>October 14,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8"/>
              </w:rPr>
              <w:t>Jason Meyenberg</w:t>
            </w:r>
          </w:p>
        </w:tc>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Georges Gemayel</w:t>
            </w: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7"/>
              </w:rPr>
              <w:t>Chair</w:t>
            </w:r>
          </w:p>
        </w:tc>
        <w:tc>
          <w:tcPr>
            <w:tcW w:w="2300" w:type="dxa"/>
            <w:vAlign w:val="bottom"/>
          </w:tcPr>
          <w:p>
            <w:pPr>
              <w:jc w:val="center"/>
              <w:ind w:left="952"/>
              <w:spacing w:after="0"/>
              <w:rPr>
                <w:sz w:val="20"/>
                <w:szCs w:val="20"/>
                <w:color w:val="auto"/>
              </w:rPr>
            </w:pPr>
            <w:r>
              <w:rPr>
                <w:rFonts w:ascii="Arial" w:cs="Arial" w:eastAsia="Arial" w:hAnsi="Arial"/>
                <w:sz w:val="18"/>
                <w:szCs w:val="18"/>
                <w:color w:val="auto"/>
                <w:w w:val="90"/>
              </w:rPr>
              <w:t>October 14,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Dr. Georges Gemayel</w:t>
            </w:r>
          </w:p>
        </w:tc>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Carl Gordon</w:t>
            </w: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2300" w:type="dxa"/>
            <w:vAlign w:val="bottom"/>
          </w:tcPr>
          <w:p>
            <w:pPr>
              <w:jc w:val="center"/>
              <w:ind w:left="952"/>
              <w:spacing w:after="0"/>
              <w:rPr>
                <w:sz w:val="20"/>
                <w:szCs w:val="20"/>
                <w:color w:val="auto"/>
              </w:rPr>
            </w:pPr>
            <w:r>
              <w:rPr>
                <w:rFonts w:ascii="Arial" w:cs="Arial" w:eastAsia="Arial" w:hAnsi="Arial"/>
                <w:sz w:val="18"/>
                <w:szCs w:val="18"/>
                <w:color w:val="auto"/>
                <w:w w:val="90"/>
              </w:rPr>
              <w:t>October 14,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Dr. Carl Gordon</w:t>
            </w:r>
          </w:p>
        </w:tc>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Lubner</w:t>
            </w: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2300" w:type="dxa"/>
            <w:vAlign w:val="bottom"/>
          </w:tcPr>
          <w:p>
            <w:pPr>
              <w:jc w:val="center"/>
              <w:ind w:left="952"/>
              <w:spacing w:after="0"/>
              <w:rPr>
                <w:sz w:val="20"/>
                <w:szCs w:val="20"/>
                <w:color w:val="auto"/>
              </w:rPr>
            </w:pPr>
            <w:r>
              <w:rPr>
                <w:rFonts w:ascii="Arial" w:cs="Arial" w:eastAsia="Arial" w:hAnsi="Arial"/>
                <w:sz w:val="18"/>
                <w:szCs w:val="18"/>
                <w:color w:val="auto"/>
                <w:w w:val="90"/>
              </w:rPr>
              <w:t>October 14,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David Lubner</w:t>
            </w:r>
          </w:p>
        </w:tc>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Tuyen Ong</w:t>
            </w: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2300" w:type="dxa"/>
            <w:vAlign w:val="bottom"/>
          </w:tcPr>
          <w:p>
            <w:pPr>
              <w:jc w:val="center"/>
              <w:ind w:left="952"/>
              <w:spacing w:after="0"/>
              <w:rPr>
                <w:sz w:val="20"/>
                <w:szCs w:val="20"/>
                <w:color w:val="auto"/>
              </w:rPr>
            </w:pPr>
            <w:r>
              <w:rPr>
                <w:rFonts w:ascii="Arial" w:cs="Arial" w:eastAsia="Arial" w:hAnsi="Arial"/>
                <w:sz w:val="18"/>
                <w:szCs w:val="18"/>
                <w:color w:val="auto"/>
                <w:w w:val="90"/>
              </w:rPr>
              <w:t>October 14,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Dr. Tuyen Ong</w:t>
            </w:r>
          </w:p>
        </w:tc>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Jason Rhodes</w:t>
            </w: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2300" w:type="dxa"/>
            <w:vAlign w:val="bottom"/>
          </w:tcPr>
          <w:p>
            <w:pPr>
              <w:jc w:val="center"/>
              <w:ind w:left="952"/>
              <w:spacing w:after="0"/>
              <w:rPr>
                <w:sz w:val="20"/>
                <w:szCs w:val="20"/>
                <w:color w:val="auto"/>
              </w:rPr>
            </w:pPr>
            <w:r>
              <w:rPr>
                <w:rFonts w:ascii="Arial" w:cs="Arial" w:eastAsia="Arial" w:hAnsi="Arial"/>
                <w:sz w:val="18"/>
                <w:szCs w:val="18"/>
                <w:color w:val="auto"/>
                <w:w w:val="90"/>
              </w:rPr>
              <w:t>October 14,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5"/>
              </w:rPr>
              <w:t>Jason Rhodes</w:t>
            </w:r>
          </w:p>
        </w:tc>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Jim Tananbaum</w:t>
            </w: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2300" w:type="dxa"/>
            <w:vAlign w:val="bottom"/>
          </w:tcPr>
          <w:p>
            <w:pPr>
              <w:jc w:val="center"/>
              <w:ind w:left="952"/>
              <w:spacing w:after="0"/>
              <w:rPr>
                <w:sz w:val="20"/>
                <w:szCs w:val="20"/>
                <w:color w:val="auto"/>
              </w:rPr>
            </w:pPr>
            <w:r>
              <w:rPr>
                <w:rFonts w:ascii="Arial" w:cs="Arial" w:eastAsia="Arial" w:hAnsi="Arial"/>
                <w:sz w:val="18"/>
                <w:szCs w:val="18"/>
                <w:color w:val="auto"/>
                <w:w w:val="90"/>
              </w:rPr>
              <w:t>October 14,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Dr. Jim Tananbaum</w:t>
            </w:r>
          </w:p>
        </w:tc>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ectPr>
          <w:pgSz w:w="11900" w:h="16838" w:orient="portrait"/>
          <w:cols w:equalWidth="0" w:num="1">
            <w:col w:w="10900"/>
          </w:cols>
          <w:pgMar w:left="440" w:top="270" w:right="5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300 One Kendall Square,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or about the date hereof relating to an aggregate of 430,551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$0.0001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Gemini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that may be issued pursuant to the Company’s 2021 Employee Stock Purchase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2021 Employee Stock Purchase Plan of Gemini Therapeutics, Inc. (f/k/a FS Development Corp.) of our reports (a) dated March 29, 2021, with respect to the financial statements of Gemini Therapeutics, Inc., included in amendment No.1 to the Registration Statement (Form S-1 333-253175) and in amendment No.1 to the Current Report (Form 8-K 001-39438), both for the year ended December 31, 2020 and (b) dated October 30, 2020, with respect to the financial statements of Gemini Therapeutics, Inc., included in the Registration Statement, as amended (Form S-4 333-249785) for the year ended December 31, 2019, filed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14, 2021</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of our report dated March 29, 2021, relating to the financial statements of FS Development Corp. appearing in the entity’s Annual Report on Form 10-K for the period from June 25, 2020 (inception) through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13,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18" Type="http://schemas.openxmlformats.org/officeDocument/2006/relationships/hyperlink" Target="http://www.sec.gov/Archives/edgar/data/0001816736/000121390021002893/f424b30121_fsdevel.htm" TargetMode="External"/><Relationship Id="rId19" Type="http://schemas.openxmlformats.org/officeDocument/2006/relationships/hyperlink" Target="http://www.sec.gov/Archives/edgar/data/1816736/000121390021002636/fs42021a5_fsdevelopment.htm" TargetMode="External"/><Relationship Id="rId20" Type="http://schemas.openxmlformats.org/officeDocument/2006/relationships/hyperlink" Target="http://www.sec.gov/Archives/edgar/data/1816736/000121390021018272/f10k2020_geminitherape.htm" TargetMode="External"/><Relationship Id="rId21" Type="http://schemas.openxmlformats.org/officeDocument/2006/relationships/hyperlink" Target="http://www.sec.gov/Archives/edgar/data/1816736/000156459021027214/gmtx-10q_20210331.htm" TargetMode="External"/><Relationship Id="rId22" Type="http://schemas.openxmlformats.org/officeDocument/2006/relationships/hyperlink" Target="http://www.sec.gov/ix?doc=/Archives/edgar/data/1816736/000156459021043697/gmtx-10q_20210630.htm" TargetMode="External"/><Relationship Id="rId23" Type="http://schemas.openxmlformats.org/officeDocument/2006/relationships/hyperlink" Target="http://www.sec.gov/Archives/edgar/data/1816736/000121390021007091/ea134758-8a12ba1_gemini.htm" TargetMode="External"/><Relationship Id="rId24" Type="http://schemas.openxmlformats.org/officeDocument/2006/relationships/hyperlink" Target="http://www.sec.gov/Archives/edgar/data/1816736/000121390021018286/ea138289-s1a1_geminitherap.htm" TargetMode="External"/><Relationship Id="rId25" Type="http://schemas.openxmlformats.org/officeDocument/2006/relationships/hyperlink" Target="http://www.sec.gov/Archives/edgar/data/1816736/000121390021002872/ea133565-8k_fsdevelopment.htm" TargetMode="External"/><Relationship Id="rId26" Type="http://schemas.openxmlformats.org/officeDocument/2006/relationships/hyperlink" Target="http://www.sec.gov/Archives/edgar/data/1816736/000121390021004927/ea134150-8k_fsdevelopment.htm" TargetMode="External"/><Relationship Id="rId27" Type="http://schemas.openxmlformats.org/officeDocument/2006/relationships/hyperlink" Target="http://www.sec.gov/Archives/edgar/data/1816736/000121390021006401/ea134551-8k_fsdevelop.htm" TargetMode="External"/><Relationship Id="rId28" Type="http://schemas.openxmlformats.org/officeDocument/2006/relationships/hyperlink" Target="http://www.sec.gov/Archives/edgar/data/1816736/000121390021007136/ea134776-8k_geminithera.htm" TargetMode="External"/><Relationship Id="rId29" Type="http://schemas.openxmlformats.org/officeDocument/2006/relationships/hyperlink" Target="http://www.sec.gov/Archives/edgar/data/1816736/000121390021008478/ea135023-8k_geminitherap.htm" TargetMode="External"/><Relationship Id="rId30" Type="http://schemas.openxmlformats.org/officeDocument/2006/relationships/hyperlink" Target="http://www.sec.gov/Archives/edgar/data/1816736/000121390021018279/ea138016-8ka1_geminithera.htm" TargetMode="External"/><Relationship Id="rId31" Type="http://schemas.openxmlformats.org/officeDocument/2006/relationships/hyperlink" Target="http://www.sec.gov/Archives/edgar/data/1816736/000121390021011131/ea136304-8k_geminithera.htm" TargetMode="External"/><Relationship Id="rId32" Type="http://schemas.openxmlformats.org/officeDocument/2006/relationships/hyperlink" Target="http://www.sec.gov/ix?doc=/Archives/edgar/data/1816736/000119312521268317/d213539d8k.htm" TargetMode="External"/><Relationship Id="rId33" Type="http://schemas.openxmlformats.org/officeDocument/2006/relationships/hyperlink" Target="http://www.sec.gov/ix?doc=/Archives/edgar/data/1816736/000119312521288747/d237497d8k.htm" TargetMode="External"/><Relationship Id="rId34" Type="http://schemas.openxmlformats.org/officeDocument/2006/relationships/hyperlink" Target="http://www.sec.gov/ix?doc=/Archives/edgar/data/1816736/000119312521292589/d213931d8k.htm" TargetMode="External"/><Relationship Id="rId37" Type="http://schemas.openxmlformats.org/officeDocument/2006/relationships/hyperlink" Target="http://www.sec.gov/Archives/edgar/data/1816736/000121390021002636/fs42021a5ex4-1_fsdevelop.htm" TargetMode="External"/><Relationship Id="rId38" Type="http://schemas.openxmlformats.org/officeDocument/2006/relationships/hyperlink" Target="http://www.sec.gov/Archives/edgar/data/1816736/000121390021002636/fs42021a5_fsdevelopment.htm#T52" TargetMode="External"/><Relationship Id="rId39" Type="http://schemas.openxmlformats.org/officeDocument/2006/relationships/hyperlink" Target="http://www.sec.gov/Archives/edgar/data/1816736/000121390021002636/fs42021a5_fsdevelopment.htm#T53" TargetMode="External"/><Relationship Id="rId40" Type="http://schemas.openxmlformats.org/officeDocument/2006/relationships/hyperlink" Target="http://www.sec.gov/Archives/edgar/data/0001816736/000119312521248368/d218356ddef14a.htm#tx218356_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2021-10-14T15:04:03Z</dcterms:created>
  <dcterms:modified xsi:type="dcterms:W3CDTF">2021-10-14T15:04:03Z</dcterms:modified>
</cp:coreProperties>
</file>